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68FC" w14:textId="3B8EF221" w:rsidR="007F1602" w:rsidRPr="00191B92" w:rsidRDefault="00BE66FB" w:rsidP="005A145A">
      <w:pPr>
        <w:jc w:val="center"/>
        <w:rPr>
          <w:b/>
          <w:color w:val="000000"/>
        </w:rPr>
      </w:pPr>
      <w:r w:rsidRPr="00191B92">
        <w:rPr>
          <w:b/>
          <w:color w:val="000000"/>
        </w:rPr>
        <w:t>DERINIMO PAŽYMA</w:t>
      </w:r>
    </w:p>
    <w:p w14:paraId="78F326EE" w14:textId="21D1F8E9" w:rsidR="00B152D4" w:rsidRPr="00B152D4" w:rsidRDefault="00B77051" w:rsidP="00F67627">
      <w:pPr>
        <w:jc w:val="center"/>
        <w:rPr>
          <w:b/>
          <w:color w:val="000000"/>
        </w:rPr>
      </w:pPr>
      <w:r>
        <w:rPr>
          <w:b/>
          <w:color w:val="000000"/>
        </w:rPr>
        <w:t>d</w:t>
      </w:r>
      <w:r w:rsidR="00B152D4" w:rsidRPr="00B152D4">
        <w:rPr>
          <w:b/>
          <w:color w:val="000000"/>
        </w:rPr>
        <w:t>ėl Lietuvos Respublikos Vyriausybės nutarimo ,,Dėl Lietuvos Respublikos Vyriausybės 2000 m. balandžio 28 d. nutarimo Nr. 478 „Dėl Lietuvos Respublikos transporto lengvatų įstatymo įgyvendinimo“ pakeiti</w:t>
      </w:r>
      <w:r w:rsidR="001D0754">
        <w:rPr>
          <w:b/>
          <w:color w:val="000000"/>
        </w:rPr>
        <w:t>mo</w:t>
      </w:r>
      <w:r>
        <w:rPr>
          <w:b/>
          <w:color w:val="000000"/>
        </w:rPr>
        <w:t>“</w:t>
      </w:r>
      <w:r w:rsidR="001D0754">
        <w:rPr>
          <w:b/>
          <w:color w:val="000000"/>
        </w:rPr>
        <w:t xml:space="preserve"> projekto (toliau – P</w:t>
      </w:r>
      <w:r w:rsidR="00B152D4" w:rsidRPr="00B152D4">
        <w:rPr>
          <w:b/>
          <w:color w:val="000000"/>
        </w:rPr>
        <w:t>rojektas)</w:t>
      </w:r>
    </w:p>
    <w:p w14:paraId="7ACF68FF" w14:textId="77777777" w:rsidR="00A166BC" w:rsidRPr="00B152D4" w:rsidRDefault="00A166BC" w:rsidP="005A145A">
      <w:pPr>
        <w:rPr>
          <w:b/>
          <w:color w:val="000000"/>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6231"/>
        <w:gridCol w:w="6526"/>
      </w:tblGrid>
      <w:tr w:rsidR="00A166BC" w:rsidRPr="009A66ED" w14:paraId="7ACF6904" w14:textId="77777777" w:rsidTr="009A37F0">
        <w:tc>
          <w:tcPr>
            <w:tcW w:w="2836" w:type="dxa"/>
          </w:tcPr>
          <w:p w14:paraId="7ACF6900" w14:textId="77777777" w:rsidR="00A166BC" w:rsidRPr="009A66ED" w:rsidRDefault="00A166BC" w:rsidP="005A145A">
            <w:pPr>
              <w:ind w:right="60"/>
              <w:rPr>
                <w:b/>
                <w:color w:val="00000A"/>
              </w:rPr>
            </w:pPr>
            <w:r w:rsidRPr="009A66ED">
              <w:rPr>
                <w:b/>
                <w:color w:val="00000A"/>
              </w:rPr>
              <w:t>Institucijos pavadinimas,</w:t>
            </w:r>
          </w:p>
          <w:p w14:paraId="7ACF6901" w14:textId="77777777" w:rsidR="00A166BC" w:rsidRPr="009A66ED" w:rsidRDefault="00A166BC" w:rsidP="005A145A">
            <w:pPr>
              <w:ind w:right="60"/>
              <w:rPr>
                <w:b/>
                <w:color w:val="00000A"/>
              </w:rPr>
            </w:pPr>
            <w:r w:rsidRPr="009A66ED">
              <w:rPr>
                <w:b/>
                <w:color w:val="00000A"/>
              </w:rPr>
              <w:t>rašto data ir numeris</w:t>
            </w:r>
          </w:p>
        </w:tc>
        <w:tc>
          <w:tcPr>
            <w:tcW w:w="6231" w:type="dxa"/>
          </w:tcPr>
          <w:p w14:paraId="7ACF6902" w14:textId="77777777" w:rsidR="00A166BC" w:rsidRPr="009A66ED" w:rsidRDefault="00A166BC" w:rsidP="005A145A">
            <w:pPr>
              <w:ind w:right="60"/>
              <w:rPr>
                <w:b/>
                <w:color w:val="00000A"/>
              </w:rPr>
            </w:pPr>
            <w:r w:rsidRPr="009A66ED">
              <w:rPr>
                <w:b/>
                <w:color w:val="00000A"/>
              </w:rPr>
              <w:t>Pastabos ir pasiūlymai</w:t>
            </w:r>
          </w:p>
        </w:tc>
        <w:tc>
          <w:tcPr>
            <w:tcW w:w="6526" w:type="dxa"/>
          </w:tcPr>
          <w:p w14:paraId="7ACF6903" w14:textId="56D41CBE" w:rsidR="00A166BC" w:rsidRPr="009A66ED" w:rsidRDefault="00A166BC" w:rsidP="005A145A">
            <w:pPr>
              <w:ind w:right="60"/>
              <w:rPr>
                <w:b/>
                <w:color w:val="00000A"/>
              </w:rPr>
            </w:pPr>
            <w:r w:rsidRPr="009A66ED">
              <w:rPr>
                <w:b/>
                <w:color w:val="00000A"/>
              </w:rPr>
              <w:t xml:space="preserve">Žyma apie </w:t>
            </w:r>
            <w:r w:rsidR="00BE66FB">
              <w:rPr>
                <w:b/>
                <w:bCs/>
              </w:rPr>
              <w:t>pastabas ir pasiūlymus, į kuriuos</w:t>
            </w:r>
            <w:r w:rsidR="00BE66FB">
              <w:rPr>
                <w:b/>
                <w:bCs/>
              </w:rPr>
              <w:br/>
              <w:t>nebuvo atsižvelgta arba atsižvelgta iš dalies</w:t>
            </w:r>
          </w:p>
        </w:tc>
      </w:tr>
      <w:tr w:rsidR="00AE4B03" w:rsidRPr="009A66ED" w14:paraId="2F9621DC" w14:textId="77777777" w:rsidTr="009A37F0">
        <w:trPr>
          <w:trHeight w:val="418"/>
        </w:trPr>
        <w:tc>
          <w:tcPr>
            <w:tcW w:w="2836" w:type="dxa"/>
            <w:vMerge w:val="restart"/>
          </w:tcPr>
          <w:p w14:paraId="2BA9DE66" w14:textId="65A09EC9" w:rsidR="00AE4B03" w:rsidRPr="00B77051" w:rsidRDefault="00AE4B03" w:rsidP="00B77051">
            <w:pPr>
              <w:pStyle w:val="Pagrindinistekstas"/>
            </w:pPr>
            <w:r w:rsidRPr="00B77051">
              <w:t>Lietuvos transporto saugos administracijos 2019-05-29 raštas Nr. 15B-3602</w:t>
            </w:r>
          </w:p>
        </w:tc>
        <w:tc>
          <w:tcPr>
            <w:tcW w:w="6231" w:type="dxa"/>
          </w:tcPr>
          <w:p w14:paraId="2EC5BDCE" w14:textId="08FFE592" w:rsidR="00AE4B03" w:rsidRDefault="00AE4B03" w:rsidP="00611C68">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1. Atkreipiame dėmesį į tai kad Nutarimo projekto 1 punktas prieštarauja Nutarimo projektu tvirtinamo Vežėjų išlaidų (negautų pajamų), susijusių su transporto lengvatų taikymu, kompensavimo (atlyginimo) tvarkos aprašo (toliau – Aprašo projektas) 6 punkto nuostatoms.</w:t>
            </w:r>
          </w:p>
        </w:tc>
        <w:tc>
          <w:tcPr>
            <w:tcW w:w="6526" w:type="dxa"/>
          </w:tcPr>
          <w:p w14:paraId="1588F8D3" w14:textId="77777777" w:rsidR="00AE4B03" w:rsidRPr="00FD212D" w:rsidRDefault="00AE4B03" w:rsidP="00B77051">
            <w:pPr>
              <w:pStyle w:val="Pagrindinistekstas"/>
            </w:pPr>
            <w:r w:rsidRPr="00FD212D">
              <w:t>Neatsižvelgta.</w:t>
            </w:r>
          </w:p>
          <w:p w14:paraId="730F5E00" w14:textId="459EB778" w:rsidR="00AE4B03" w:rsidRPr="00233D47" w:rsidRDefault="00AE4B03" w:rsidP="00B77051">
            <w:pPr>
              <w:pStyle w:val="Pagrindinistekstas"/>
              <w:rPr>
                <w:b/>
              </w:rPr>
            </w:pPr>
            <w:r w:rsidRPr="00233D47">
              <w:t>Kaip nurodyta Projekto lydimajame dokumente</w:t>
            </w:r>
            <w:r w:rsidR="00B77051">
              <w:t>,</w:t>
            </w:r>
            <w:r w:rsidRPr="00233D47">
              <w:t xml:space="preserve"> skirtingas tam tikrų Projekto nuostatų įsigaliojimas nustatytas tikslingai, t. y. siekiant sudaryti teisines sąlygas kompensuoti AB ,,Lietuvos geležinkeliai“ dukterinės bendrovės išlaidas (negautas pajamas) dėl keleiviams taikytų važiavimo keleiviniais traukiniais lengvatų kompensavimo, jeigu tokios išlaidos šiais metais būtų patirtos, siūloma, kad Projekto 3 punktu keičiamo Aprašo 4 punkto nuostatos įsigaliotų nuo Projekto paskelbimo, o Projekto nuostatos, susijusios su vežėjų išlaidų (negautų pajamų) dėl keleiviams taikytų važiavimo keleiviniais traukiniais lengvatų kompensavimo veiklos perdavimu LTSA</w:t>
            </w:r>
            <w:r w:rsidR="00B77051">
              <w:t>,</w:t>
            </w:r>
            <w:r w:rsidRPr="00233D47">
              <w:t xml:space="preserve"> nuo 2020 m. sausio 1 d.</w:t>
            </w:r>
          </w:p>
        </w:tc>
      </w:tr>
      <w:tr w:rsidR="00AE4B03" w:rsidRPr="009A66ED" w14:paraId="4E4C7962" w14:textId="77777777" w:rsidTr="009A37F0">
        <w:trPr>
          <w:trHeight w:val="418"/>
        </w:trPr>
        <w:tc>
          <w:tcPr>
            <w:tcW w:w="2836" w:type="dxa"/>
            <w:vMerge/>
          </w:tcPr>
          <w:p w14:paraId="0841B5DB" w14:textId="77777777" w:rsidR="00AE4B03" w:rsidRDefault="00AE4B03">
            <w:pPr>
              <w:pStyle w:val="Pagrindinistekstas"/>
            </w:pPr>
          </w:p>
        </w:tc>
        <w:tc>
          <w:tcPr>
            <w:tcW w:w="6231" w:type="dxa"/>
          </w:tcPr>
          <w:p w14:paraId="66D97AEB" w14:textId="46693703" w:rsidR="00AE4B03" w:rsidRDefault="00AE4B03" w:rsidP="00611C68">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8</w:t>
            </w:r>
            <w:r w:rsidR="00264563">
              <w:rPr>
                <w:rFonts w:ascii="Times New Roman" w:hAnsi="Times New Roman"/>
                <w:sz w:val="24"/>
                <w:szCs w:val="24"/>
                <w:lang w:eastAsia="ar-SA"/>
              </w:rPr>
              <w:t>. A</w:t>
            </w:r>
            <w:r>
              <w:rPr>
                <w:rFonts w:ascii="Times New Roman" w:hAnsi="Times New Roman"/>
                <w:sz w:val="24"/>
                <w:szCs w:val="24"/>
                <w:lang w:eastAsia="ar-SA"/>
              </w:rPr>
              <w:t>tsižvelgiant į 2019 m. vežėjų patikrinimų keliuose rezultatus, siūlome nustatyti vežėjams atgrasančias priemones iš valstybės biudžeto gauti didesnes negautų pajamų kompensavimo sumas, negu negautos pajamos buvo patirtos faktiškai ir papildyti Aprašo projektą atitinkamais punktais:</w:t>
            </w:r>
          </w:p>
          <w:p w14:paraId="752A9B68" w14:textId="77777777" w:rsidR="00AE4B03" w:rsidRDefault="00AE4B03" w:rsidP="00611C68">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,,Savivaldybės arba jų įgaliotos įstaigos, Administracija, nustačiusios, kad vežėjas veža keleivius, įsigijusios važiavimo bilietus su nuolaida, tačiau nepateikusius atitinkamų jų teisę į transporto lengvatas patvirtinančių dokumentų, vietoj vieno važiavimo bilieto keleiviams parduoda du ar daugiau važiavimo bilietų su nuolaida, išspausdina važiavimo bilietus su nuolaida nesant keleivių, viename važiavimo biliete išspausdina kelių važiavimo bilietų su nuolaida duomenis, kai per ataskaitinį kalendorinį mėnesį konkrečiame maršrute nustatomas vienas šių pažeidimų atvejis, nekompensuoja (neatlygina) vežėjui 10 procentų visų tame maršrute per ataskaitinį mėnesį, kurį buvo nustatytas toks atvejis, patirtų išlaidų (negautų pajamų) dėl transporto lengvatų, o kai du ir daugiau atvejų, - visų tame maršrute per ataskaitinį kalendorinį mėnesį, kurį buvo nustatyti tokie atvejai, patirtų išlaidų (negautų pajamų) dėl transporto lengvatų;</w:t>
            </w:r>
          </w:p>
          <w:p w14:paraId="5BEA4F53" w14:textId="7BBBFADF" w:rsidR="00AE4B03" w:rsidRDefault="00AE4B03" w:rsidP="00611C68">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,,Savivaldybės ar jų įgaliotos įstaigos, Administracija, nustačiusios, kad vežėjas pateikia ataskaitas apie parduotus su nuolaida važiavimo keleiviniu transportu bilietus, kuriose gautų pajamų už parduotus su nuolaida važiavimo bilietus sumos maršrutuose didesnės, negu turėtų būti pagal pirminius apskaitos dokumentus, kurių pagrindu jos buvo sudarytos, nekompensuoja (neatlygina) vežėjui visų konkrečiame maršrute, kurio duomenys nesutampa, per ataskaitinį kalendorinį mėnesį, už kurį pateiktos su šiame punkte nurodytais pažeidimais parengtos ataskaitos, patirtų išlaidų (negautų pajamų) dėl transporto lengvatų.“</w:t>
            </w:r>
          </w:p>
        </w:tc>
        <w:tc>
          <w:tcPr>
            <w:tcW w:w="6526" w:type="dxa"/>
          </w:tcPr>
          <w:p w14:paraId="62E9A16B" w14:textId="77777777" w:rsidR="00AE4B03" w:rsidRPr="00FD212D" w:rsidRDefault="00AE4B03" w:rsidP="00B77051">
            <w:pPr>
              <w:pStyle w:val="Pagrindinistekstas"/>
            </w:pPr>
            <w:r w:rsidRPr="00FD212D">
              <w:t>Neatsižvelgta.</w:t>
            </w:r>
          </w:p>
          <w:p w14:paraId="2E1C07B0" w14:textId="0F46C8DB" w:rsidR="00AE4B03" w:rsidRPr="00E851C6" w:rsidRDefault="00AE4B03" w:rsidP="00BF72DD">
            <w:pPr>
              <w:pStyle w:val="Pagrindinistekstas"/>
              <w:rPr>
                <w:b/>
              </w:rPr>
            </w:pPr>
            <w:r w:rsidRPr="00E851C6">
              <w:t>Remdamiesi Konstitucinio Teismo suformuota praktika dėl būtinybės užtikrinti poveikio priemonių proporcingumą (adekvatumą) padarytam teisės pažeidimui (Konstitucinio</w:t>
            </w:r>
            <w:r w:rsidRPr="00573E43">
              <w:t xml:space="preserve"> </w:t>
            </w:r>
            <w:r w:rsidRPr="00E851C6">
              <w:t xml:space="preserve">Teismo 2000 m. gruodžio 6 d. nutarimas), manome, kad siūlymas </w:t>
            </w:r>
            <w:r w:rsidR="00B77051">
              <w:t>P</w:t>
            </w:r>
            <w:r w:rsidRPr="00E851C6">
              <w:t>rojekte nustatyti ekonomines sankcijas vežėjui, pateikusiam neteisingus duomenis apie patirtas išlaidas (negautas pajamas)</w:t>
            </w:r>
            <w:r w:rsidR="00B77051">
              <w:t>,</w:t>
            </w:r>
            <w:r w:rsidRPr="00E851C6">
              <w:t xml:space="preserve"> yra neproporcingas ir neatitinka siekiamų teisėtų tikslų.</w:t>
            </w:r>
          </w:p>
          <w:p w14:paraId="08E80D24" w14:textId="2994349B" w:rsidR="00AE4B03" w:rsidRDefault="00AE4B03">
            <w:pPr>
              <w:pStyle w:val="Pagrindinistekstas"/>
            </w:pPr>
            <w:r w:rsidRPr="00E851C6">
              <w:t>Be to, siūlymas dėl ekonominių sankcijų, sąlygojančių vežėjo patirtų išlaidų (negautų pajamų) dalinį arba visišką neatlygintinumą, turi vežėjo patirtų išlaidų (negautų paujamų)</w:t>
            </w:r>
            <w:r>
              <w:t xml:space="preserve"> </w:t>
            </w:r>
            <w:r w:rsidRPr="00E851C6">
              <w:t>kaip privačios nuosavybės paėmimo požymių, todėl kaip ribojančios konstitucinę privačios nuosavybės neliečiamumo teisę, Susisiekimo ministerijos nuomone, galėtų būti nustatomos tik įstatymo lygiu. Papildomai pažymėtina, kad ekonominių sankcijų vežėjams taikymas darytų esminį poveikį jų ūkinei veiklai, todėl remiantis Konstitucinio Teismo suformuota praktika turėtų būti reglamentuojamas įstatymu (Konstitucinio Teismo 2006 m. gegužės  31 d. nutarimas).</w:t>
            </w:r>
          </w:p>
          <w:p w14:paraId="68C21B53" w14:textId="77777777" w:rsidR="00AE4B03" w:rsidRDefault="00AE4B03">
            <w:pPr>
              <w:pStyle w:val="Pagrindinistekstas"/>
            </w:pPr>
          </w:p>
          <w:p w14:paraId="46F208E8" w14:textId="01B78CDA" w:rsidR="00AE4B03" w:rsidRPr="00573E43" w:rsidRDefault="00AE4B03">
            <w:pPr>
              <w:pStyle w:val="Pagrindinistekstas"/>
            </w:pPr>
          </w:p>
        </w:tc>
      </w:tr>
      <w:tr w:rsidR="0019565A" w:rsidRPr="009A66ED" w14:paraId="1DF5E45F" w14:textId="77777777" w:rsidTr="00AE4B03">
        <w:trPr>
          <w:trHeight w:val="418"/>
        </w:trPr>
        <w:tc>
          <w:tcPr>
            <w:tcW w:w="2836" w:type="dxa"/>
            <w:tcBorders>
              <w:top w:val="nil"/>
            </w:tcBorders>
          </w:tcPr>
          <w:p w14:paraId="5DD34E41" w14:textId="494CE124" w:rsidR="0019565A" w:rsidRDefault="0019565A" w:rsidP="00B77051">
            <w:pPr>
              <w:pStyle w:val="Pagrindinistekstas"/>
            </w:pPr>
          </w:p>
        </w:tc>
        <w:tc>
          <w:tcPr>
            <w:tcW w:w="6231" w:type="dxa"/>
          </w:tcPr>
          <w:p w14:paraId="6EA29691" w14:textId="77777777" w:rsidR="0019565A" w:rsidRDefault="0019565A" w:rsidP="00611C68">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 xml:space="preserve">9. Atsižvelgdami į tai, kad vadovaujantis Centralizuoto viešojo sektoriaus subjektų buhalterinės apskaitos organizavimo tvarkos aprašu, patvirtintu Lietuvos Respublikos Vyriausybės 2018 m. gegužės 23 d. nutarimu </w:t>
            </w:r>
            <w:r>
              <w:rPr>
                <w:rFonts w:ascii="Times New Roman" w:hAnsi="Times New Roman"/>
                <w:sz w:val="24"/>
                <w:szCs w:val="24"/>
                <w:lang w:eastAsia="ar-SA"/>
              </w:rPr>
              <w:lastRenderedPageBreak/>
              <w:t xml:space="preserve">Nr. 488 ,,Dėl Centralizuoto viešojo sektoriaus subjektų buhalterinės apskaitos organizavimo tvarkos aprašo patvirtinimo“ mokėjimo paraiškas kompensuoti (atlyginti) šių vežėjų išlaidas (negautas pajamas) nuo 2018 m. liepos 2 d. rengia ir Finansų ministerijai teikia centralizuota apskaitos įstaiga, siūlome pakeisti Aprašo projekto 8 punktą ir </w:t>
            </w:r>
            <w:r w:rsidR="009D1C4A">
              <w:rPr>
                <w:rFonts w:ascii="Times New Roman" w:hAnsi="Times New Roman"/>
                <w:sz w:val="24"/>
                <w:szCs w:val="24"/>
                <w:lang w:eastAsia="ar-SA"/>
              </w:rPr>
              <w:t>išdėstyti jį taip:</w:t>
            </w:r>
          </w:p>
          <w:p w14:paraId="0E6E03C9" w14:textId="2C19A3AA" w:rsidR="009D1C4A" w:rsidRDefault="009D1C4A" w:rsidP="00611C68">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 xml:space="preserve">,,8. Administracija, pasibaigus ataskaitų apie parduotus su nuolaida važiavimo keleiviniais traukiniais bilietus ir ataskaitų apie parduotus su nuolaida važiavimo tolimojo reguliaraus susisiekimo autobusais bilietus pateikimo terminui, per </w:t>
            </w:r>
            <w:r w:rsidRPr="00DF2062">
              <w:rPr>
                <w:rFonts w:ascii="Times New Roman" w:hAnsi="Times New Roman"/>
                <w:strike/>
                <w:sz w:val="24"/>
                <w:szCs w:val="24"/>
                <w:lang w:eastAsia="ar-SA"/>
              </w:rPr>
              <w:t xml:space="preserve">10 </w:t>
            </w:r>
            <w:r w:rsidRPr="00DF2062">
              <w:rPr>
                <w:rFonts w:ascii="Times New Roman" w:hAnsi="Times New Roman"/>
                <w:b/>
                <w:sz w:val="24"/>
                <w:szCs w:val="24"/>
                <w:lang w:eastAsia="ar-SA"/>
              </w:rPr>
              <w:t>12 darbo dienų jas įvertina ir sprendimą dėl negautų pajamų kompensavimo (atlyginimo) perduoda centralizuotai apskaitos įstaigai</w:t>
            </w:r>
            <w:r>
              <w:rPr>
                <w:rFonts w:ascii="Times New Roman" w:hAnsi="Times New Roman"/>
                <w:sz w:val="24"/>
                <w:szCs w:val="24"/>
                <w:lang w:eastAsia="ar-SA"/>
              </w:rPr>
              <w:t xml:space="preserve">. </w:t>
            </w:r>
            <w:r w:rsidRPr="00DF2062">
              <w:rPr>
                <w:rFonts w:ascii="Times New Roman" w:hAnsi="Times New Roman"/>
                <w:b/>
                <w:sz w:val="24"/>
                <w:szCs w:val="24"/>
                <w:lang w:eastAsia="ar-SA"/>
              </w:rPr>
              <w:t>Centralizuota apskaitos įstaiga</w:t>
            </w:r>
            <w:r>
              <w:rPr>
                <w:rFonts w:ascii="Times New Roman" w:hAnsi="Times New Roman"/>
                <w:sz w:val="24"/>
                <w:szCs w:val="24"/>
                <w:lang w:eastAsia="ar-SA"/>
              </w:rPr>
              <w:t xml:space="preserve"> finansų ministro nustatyta tvarka pateikia Lietuvos Respublikos finansų ministerijai paraiškas kompensuoti (atlyginti) šių vežėjų išlaidas (negautas pajamas) dėl transporto lengvatų Lietuvos Respublikos valstybės biudžete</w:t>
            </w:r>
            <w:r w:rsidR="00DF2062">
              <w:rPr>
                <w:rFonts w:ascii="Times New Roman" w:hAnsi="Times New Roman"/>
                <w:sz w:val="24"/>
                <w:szCs w:val="24"/>
                <w:lang w:eastAsia="ar-SA"/>
              </w:rPr>
              <w:t xml:space="preserve"> numatytomis lėšomis</w:t>
            </w:r>
            <w:r w:rsidR="00DF2062" w:rsidRPr="00DF2062">
              <w:rPr>
                <w:rFonts w:ascii="Times New Roman" w:hAnsi="Times New Roman"/>
                <w:strike/>
                <w:sz w:val="24"/>
                <w:szCs w:val="24"/>
                <w:lang w:eastAsia="ar-SA"/>
              </w:rPr>
              <w:t>; gautos lėšos per 3 darbo dienas pervedamos vežėjams</w:t>
            </w:r>
            <w:r w:rsidR="00DF2062">
              <w:rPr>
                <w:rFonts w:ascii="Times New Roman" w:hAnsi="Times New Roman"/>
                <w:sz w:val="24"/>
                <w:szCs w:val="24"/>
                <w:lang w:eastAsia="ar-SA"/>
              </w:rPr>
              <w:t>.“</w:t>
            </w:r>
          </w:p>
        </w:tc>
        <w:tc>
          <w:tcPr>
            <w:tcW w:w="6526" w:type="dxa"/>
          </w:tcPr>
          <w:p w14:paraId="6BAB1597" w14:textId="77777777" w:rsidR="0019565A" w:rsidRDefault="00DF2062" w:rsidP="00B77051">
            <w:pPr>
              <w:pStyle w:val="Pagrindinistekstas"/>
            </w:pPr>
            <w:r>
              <w:lastRenderedPageBreak/>
              <w:t>Atsižvelgta iš dalies.</w:t>
            </w:r>
          </w:p>
          <w:p w14:paraId="1FD5ECD9" w14:textId="3BDD00ED" w:rsidR="00233D47" w:rsidRPr="00D144CF" w:rsidRDefault="00E851C6" w:rsidP="00BF72DD">
            <w:pPr>
              <w:pStyle w:val="Pagrindinistekstas"/>
              <w:rPr>
                <w:b/>
              </w:rPr>
            </w:pPr>
            <w:r w:rsidRPr="00233D47">
              <w:t xml:space="preserve">Manytina, kad </w:t>
            </w:r>
            <w:r w:rsidRPr="00F67627">
              <w:t>santykiai tarp sprendimą dėl išlaidų (negautų pajamų) kompensavimo</w:t>
            </w:r>
            <w:bookmarkStart w:id="0" w:name="_GoBack"/>
            <w:bookmarkEnd w:id="0"/>
            <w:r w:rsidRPr="00233D47">
              <w:t xml:space="preserve"> (atlyginimo) </w:t>
            </w:r>
            <w:r w:rsidR="00F67627">
              <w:t xml:space="preserve">priimančios </w:t>
            </w:r>
            <w:r w:rsidRPr="00233D47">
              <w:t xml:space="preserve">ir  centralizuotos apskaitos įstaigos yra ne </w:t>
            </w:r>
            <w:r w:rsidR="00BF72DD">
              <w:t>P</w:t>
            </w:r>
            <w:r w:rsidR="00264563">
              <w:t xml:space="preserve">rojektu keičiamo </w:t>
            </w:r>
            <w:r w:rsidRPr="00233D47">
              <w:t xml:space="preserve">Aprašo reguliavimo </w:t>
            </w:r>
            <w:r w:rsidRPr="00233D47">
              <w:lastRenderedPageBreak/>
              <w:t>dalykas, todėl nuostatų</w:t>
            </w:r>
            <w:r w:rsidR="00233D47" w:rsidRPr="00233D47">
              <w:t xml:space="preserve">, reglamentuojančių minėto sprendimo perdavimą centralizuotai apskaitos įstaigai, centralizuotos apskaitos įstaigos veiksmus siekiant </w:t>
            </w:r>
            <w:r w:rsidR="00233D47" w:rsidRPr="00D144CF">
              <w:t>sumokėti atitinkamas lėšas vežėjui atsisakyta.</w:t>
            </w:r>
          </w:p>
          <w:p w14:paraId="2D93E646" w14:textId="0FACDF61" w:rsidR="00E851C6" w:rsidRPr="00D144CF" w:rsidRDefault="00D83B25" w:rsidP="00BF72DD">
            <w:pPr>
              <w:pStyle w:val="Pagrindinistekstas"/>
              <w:rPr>
                <w:lang w:val="en-US"/>
              </w:rPr>
            </w:pPr>
            <w:r w:rsidRPr="00D144CF">
              <w:t xml:space="preserve">Be to, atsižvelgiant į </w:t>
            </w:r>
            <w:r w:rsidRPr="00D144CF">
              <w:rPr>
                <w:lang w:eastAsia="ar-SA"/>
              </w:rPr>
              <w:t>Centralizuoto viešojo sektoriaus subjektų buhalterinės apskaitos organizavimo tvarkos aprašo, patvirtint</w:t>
            </w:r>
            <w:r w:rsidR="00BF72DD">
              <w:rPr>
                <w:lang w:eastAsia="ar-SA"/>
              </w:rPr>
              <w:t>o</w:t>
            </w:r>
            <w:r w:rsidRPr="00D144CF">
              <w:rPr>
                <w:lang w:eastAsia="ar-SA"/>
              </w:rPr>
              <w:t xml:space="preserve"> Lietuvos Respublikos Vyriausybės 2018 m. gegužės 23 d. nutarimu Nr. 488 ,,Dėl Centralizuoto viešojo sektoriaus subjektų buhalterinės apskaitos organizavimo tvarkos aprašo patvirtinimo“, </w:t>
            </w:r>
            <w:r w:rsidRPr="00D144CF">
              <w:rPr>
                <w:lang w:val="en-US" w:eastAsia="ar-SA"/>
              </w:rPr>
              <w:t xml:space="preserve">1 priede </w:t>
            </w:r>
            <w:r w:rsidR="00DE3297">
              <w:rPr>
                <w:lang w:eastAsia="ar-SA"/>
              </w:rPr>
              <w:t>nurodytos</w:t>
            </w:r>
            <w:r w:rsidR="00DE3297">
              <w:t xml:space="preserve"> t</w:t>
            </w:r>
            <w:r>
              <w:t xml:space="preserve">ipinės buhalterinės apskaitos organizavimo sutarties formos </w:t>
            </w:r>
            <w:r w:rsidR="00D144CF">
              <w:rPr>
                <w:lang w:val="en-US"/>
              </w:rPr>
              <w:t>2.2</w:t>
            </w:r>
            <w:r w:rsidR="005C6EEA">
              <w:t xml:space="preserve"> papunktyje nustatytus terminus, </w:t>
            </w:r>
            <w:r w:rsidR="00264563">
              <w:t xml:space="preserve">Projektu keičiamame </w:t>
            </w:r>
            <w:r w:rsidR="005C6EEA">
              <w:t>Apraše siūloma nustatyt</w:t>
            </w:r>
            <w:r w:rsidR="00D144CF">
              <w:t xml:space="preserve">i, kad lėšos vežėjui turi būti pervestos per </w:t>
            </w:r>
            <w:r w:rsidR="00D144CF">
              <w:rPr>
                <w:lang w:val="en-US"/>
              </w:rPr>
              <w:t xml:space="preserve">5 darbo </w:t>
            </w:r>
            <w:r w:rsidR="00D144CF" w:rsidRPr="00F67627">
              <w:t>dienas nuo sprendimo d</w:t>
            </w:r>
            <w:r w:rsidR="00D144CF" w:rsidRPr="00DE3297">
              <w:t xml:space="preserve">ėl išlaidų (negautų pajamų) kompensavimo (atlyginimo) </w:t>
            </w:r>
            <w:r w:rsidR="00D144CF" w:rsidRPr="00F67627">
              <w:t xml:space="preserve"> priėmimo dienos</w:t>
            </w:r>
            <w:r w:rsidR="00D144CF">
              <w:rPr>
                <w:lang w:val="en-US"/>
              </w:rPr>
              <w:t>.</w:t>
            </w:r>
          </w:p>
        </w:tc>
      </w:tr>
      <w:tr w:rsidR="000B52A7" w:rsidRPr="009A66ED" w14:paraId="1BB18327" w14:textId="77777777" w:rsidTr="009A37F0">
        <w:trPr>
          <w:trHeight w:val="418"/>
        </w:trPr>
        <w:tc>
          <w:tcPr>
            <w:tcW w:w="2836" w:type="dxa"/>
          </w:tcPr>
          <w:p w14:paraId="3AAD3870" w14:textId="1250A799" w:rsidR="000B52A7" w:rsidRDefault="00F91943" w:rsidP="00B77051">
            <w:pPr>
              <w:pStyle w:val="Pagrindinistekstas"/>
            </w:pPr>
            <w:r>
              <w:lastRenderedPageBreak/>
              <w:t>AB ,,Lietuvos geležinkeliai</w:t>
            </w:r>
            <w:r w:rsidR="00B77051">
              <w:t>“</w:t>
            </w:r>
            <w:r>
              <w:t xml:space="preserve"> 2019 m. liepos  </w:t>
            </w:r>
            <w:r w:rsidR="00326B52">
              <w:t xml:space="preserve">11 d. </w:t>
            </w:r>
            <w:r>
              <w:t xml:space="preserve"> raštas </w:t>
            </w:r>
            <w:r w:rsidR="00B77051">
              <w:br/>
            </w:r>
            <w:r>
              <w:t xml:space="preserve">Nr. </w:t>
            </w:r>
            <w:r w:rsidR="00326B52">
              <w:t>SD(ADM)-2752</w:t>
            </w:r>
          </w:p>
        </w:tc>
        <w:tc>
          <w:tcPr>
            <w:tcW w:w="6231" w:type="dxa"/>
          </w:tcPr>
          <w:p w14:paraId="4616F536" w14:textId="5967BC5E" w:rsidR="00F91943" w:rsidRPr="00F91943" w:rsidRDefault="00F91943" w:rsidP="00F91943">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1.</w:t>
            </w:r>
            <w:r w:rsidRPr="00F91943">
              <w:rPr>
                <w:rFonts w:ascii="Times New Roman" w:hAnsi="Times New Roman"/>
                <w:sz w:val="24"/>
                <w:szCs w:val="24"/>
                <w:lang w:eastAsia="ar-SA"/>
              </w:rPr>
              <w:t xml:space="preserve">Vadovaujantis Lietuvos Respublikos geležinkelių transporto kodekso 12 str. 2 d., viešųjų keleivių vežimo geležinkelių transportu paslaugų ir (ar) viešųjų kombinuotojo keleivių vežimo vietiniais maršrutais paslaugų poreikį nustato ir užtikrina jų teikimą, sudarydama viešųjų paslaugų teikimo sutartis su geležinkelio įmonėmis (vežėjais), Lietuvos Respublikos Vyriausybės įgaliota institucija. Ši Vyriausybės įgaliota institucija yra Lietuvos Respublikos susisiekimo ministerija. </w:t>
            </w:r>
          </w:p>
          <w:p w14:paraId="79C9E44B" w14:textId="00A2BFDA" w:rsidR="00F91943" w:rsidRPr="00F91943" w:rsidRDefault="00F91943" w:rsidP="00F91943">
            <w:pPr>
              <w:pStyle w:val="Betarp"/>
              <w:tabs>
                <w:tab w:val="left" w:pos="1276"/>
              </w:tabs>
              <w:jc w:val="both"/>
              <w:rPr>
                <w:rFonts w:ascii="Times New Roman" w:hAnsi="Times New Roman"/>
                <w:sz w:val="24"/>
                <w:szCs w:val="24"/>
                <w:lang w:eastAsia="ar-SA"/>
              </w:rPr>
            </w:pPr>
            <w:r w:rsidRPr="00F91943">
              <w:rPr>
                <w:rFonts w:ascii="Times New Roman" w:hAnsi="Times New Roman"/>
                <w:sz w:val="24"/>
                <w:szCs w:val="24"/>
                <w:lang w:eastAsia="ar-SA"/>
              </w:rPr>
              <w:t>Atsižvelgiant į tai, kad viešųjų paslaugų teikimo sutartis sudarytina tarp geležinkelio įmonės (vežėjo) ir Lietuvos Respublikos susisiekimo ministerijos, kuri įpareigota kompensuoti geležinkelio įmonės (vežėjo) dėl viešųjų paslaugų teikimo patiriamas išlaidas, Bendrovės vertinimu, tikslinga, kad ta pati valstybės institucija kompensuotų ir geležinkelio įmonės (vežėjo) išlaidas (negautas pajamas) dėl keleiviams taikytų važiavimo keleiviniais traukiniais lengvatų. Manytina, kad racionaliau, kompensavimą tiek už viešųjų keleivių vežimo geležinkelių transportu paslaugų teikimą, tiek už išlaidas (negautas pajamas) dėl keleiviams taikytų važiavimo keleiviniais traukiniais lengvatų, priskirti vienos valstybės institucijos kompetencijai, t.</w:t>
            </w:r>
            <w:r>
              <w:rPr>
                <w:rFonts w:ascii="Times New Roman" w:hAnsi="Times New Roman"/>
                <w:sz w:val="24"/>
                <w:szCs w:val="24"/>
                <w:lang w:eastAsia="ar-SA"/>
              </w:rPr>
              <w:t xml:space="preserve"> </w:t>
            </w:r>
            <w:r w:rsidRPr="00F91943">
              <w:rPr>
                <w:rFonts w:ascii="Times New Roman" w:hAnsi="Times New Roman"/>
                <w:sz w:val="24"/>
                <w:szCs w:val="24"/>
                <w:lang w:eastAsia="ar-SA"/>
              </w:rPr>
              <w:t xml:space="preserve">y. Lietuvos Respublikos susisiekimo ministerijai. </w:t>
            </w:r>
          </w:p>
          <w:p w14:paraId="225AF848" w14:textId="7BB24234" w:rsidR="000B52A7" w:rsidRDefault="00F91943" w:rsidP="00F91943">
            <w:pPr>
              <w:pStyle w:val="Betarp"/>
              <w:tabs>
                <w:tab w:val="left" w:pos="1276"/>
              </w:tabs>
              <w:jc w:val="both"/>
              <w:rPr>
                <w:rFonts w:ascii="Times New Roman" w:hAnsi="Times New Roman"/>
                <w:sz w:val="24"/>
                <w:szCs w:val="24"/>
                <w:lang w:eastAsia="ar-SA"/>
              </w:rPr>
            </w:pPr>
            <w:r w:rsidRPr="00F91943">
              <w:rPr>
                <w:rFonts w:ascii="Times New Roman" w:hAnsi="Times New Roman"/>
                <w:sz w:val="24"/>
                <w:szCs w:val="24"/>
                <w:lang w:eastAsia="ar-SA"/>
              </w:rPr>
              <w:t>Atitinkamai siūlytina nagrinėjamu tesės akto projektu tvirtinamo Vežėjų išlaidų (negautų pajamų), susijusių su transporto lengvatų taikymu, kompensavimo (atlyginio) tvarkos aprašo 6 punkte vietoje „Administracijos“ nurodyti „Lietuvos Respublikos susisiekimo ministerijos“ ir padaryti atitinkamus pakeitimus visame aprašo tekste.</w:t>
            </w:r>
          </w:p>
        </w:tc>
        <w:tc>
          <w:tcPr>
            <w:tcW w:w="6526" w:type="dxa"/>
          </w:tcPr>
          <w:p w14:paraId="34E7E7CE" w14:textId="77777777" w:rsidR="00F91943" w:rsidRDefault="00F91943" w:rsidP="00B77051">
            <w:pPr>
              <w:pStyle w:val="Pagrindinistekstas"/>
            </w:pPr>
            <w:r>
              <w:t>Neatsižvelgta.</w:t>
            </w:r>
          </w:p>
          <w:p w14:paraId="6D08C3DF" w14:textId="622C9211" w:rsidR="00BA6EF0" w:rsidRPr="00BA6EF0" w:rsidRDefault="006275FF" w:rsidP="00BF72DD">
            <w:pPr>
              <w:pStyle w:val="Pagrindinistekstas"/>
              <w:rPr>
                <w:b/>
              </w:rPr>
            </w:pPr>
            <w:r w:rsidRPr="006275FF">
              <w:t xml:space="preserve">Susisiekimo ministerija šiuo metu </w:t>
            </w:r>
            <w:r w:rsidR="008F49FB">
              <w:t>reng</w:t>
            </w:r>
            <w:r w:rsidRPr="006275FF">
              <w:t>i</w:t>
            </w:r>
            <w:r w:rsidR="008F49FB">
              <w:t>a</w:t>
            </w:r>
            <w:r w:rsidRPr="006275FF">
              <w:t xml:space="preserve"> ilgametės viešųjų keleivių vežimo geležinkelių transportu</w:t>
            </w:r>
            <w:r w:rsidR="008F49FB">
              <w:t xml:space="preserve"> pasl</w:t>
            </w:r>
            <w:r>
              <w:t>augų</w:t>
            </w:r>
            <w:r w:rsidR="008F49FB">
              <w:t xml:space="preserve"> (toliau – viešosios paslaugos)</w:t>
            </w:r>
            <w:r>
              <w:t xml:space="preserve"> teikimo sutarties p</w:t>
            </w:r>
            <w:r w:rsidR="008F49FB">
              <w:t>rojektą ir, siekdama užtikrinti tinkamą šios sutarties vykdymą, planuoja į šios sutarties vykdymo kontrolę, be kita ko, nuostolių</w:t>
            </w:r>
            <w:r w:rsidR="00DE3297">
              <w:t>,</w:t>
            </w:r>
            <w:r w:rsidR="008F49FB">
              <w:t xml:space="preserve"> patirtų teikiant viešąsias paslaugas</w:t>
            </w:r>
            <w:r w:rsidR="00DE3297">
              <w:t>,</w:t>
            </w:r>
            <w:r w:rsidR="008F49FB">
              <w:t xml:space="preserve"> kompensavimo procesą</w:t>
            </w:r>
            <w:r w:rsidR="00DE3297">
              <w:t>,</w:t>
            </w:r>
            <w:r w:rsidR="008F49FB">
              <w:t xml:space="preserve"> įtraukti Lietuvos transporto saugos administraciją</w:t>
            </w:r>
            <w:r w:rsidR="00BA6EF0">
              <w:t xml:space="preserve"> (toliau – Administracija)</w:t>
            </w:r>
            <w:r w:rsidR="008F49FB">
              <w:t>.</w:t>
            </w:r>
            <w:r w:rsidR="00BA6EF0">
              <w:t xml:space="preserve"> </w:t>
            </w:r>
          </w:p>
          <w:p w14:paraId="28924655" w14:textId="53105616" w:rsidR="006275FF" w:rsidRDefault="00BA6EF0" w:rsidP="00BF72DD">
            <w:pPr>
              <w:pStyle w:val="Pagrindinistekstas"/>
              <w:rPr>
                <w:b/>
              </w:rPr>
            </w:pPr>
            <w:r w:rsidRPr="00BA6EF0">
              <w:t>Atitinkamai</w:t>
            </w:r>
            <w:r>
              <w:t xml:space="preserve"> </w:t>
            </w:r>
            <w:r w:rsidR="00DE3297">
              <w:t xml:space="preserve">ir </w:t>
            </w:r>
            <w:r>
              <w:t xml:space="preserve">nuostolių, kuriuos geležinkelio įmonė (vežėjas) patyrė teikdama viešąsias paslaugas, </w:t>
            </w:r>
            <w:r w:rsidR="00DE3297">
              <w:t xml:space="preserve">ir </w:t>
            </w:r>
            <w:r>
              <w:t>išlaidų (negautų pajamų</w:t>
            </w:r>
            <w:r w:rsidRPr="00BA6EF0">
              <w:t xml:space="preserve">) dėl keleiviams taikytų važiavimo keleiviniais traukiniais lengvatų, </w:t>
            </w:r>
            <w:r>
              <w:t>kompensavimo procese dalyvautų ta pati institucija, t. y. Administracija.</w:t>
            </w:r>
          </w:p>
          <w:p w14:paraId="16F3A299" w14:textId="50EEDC38" w:rsidR="008F49FB" w:rsidRPr="006275FF" w:rsidRDefault="008F49FB" w:rsidP="00BF72DD">
            <w:pPr>
              <w:pStyle w:val="Pagrindinistekstas"/>
            </w:pPr>
          </w:p>
        </w:tc>
      </w:tr>
      <w:tr w:rsidR="000B52A7" w:rsidRPr="009A66ED" w14:paraId="7D95DA54" w14:textId="77777777" w:rsidTr="00AE4B03">
        <w:trPr>
          <w:trHeight w:val="418"/>
        </w:trPr>
        <w:tc>
          <w:tcPr>
            <w:tcW w:w="2836" w:type="dxa"/>
            <w:tcBorders>
              <w:top w:val="nil"/>
            </w:tcBorders>
          </w:tcPr>
          <w:p w14:paraId="41F7AACC" w14:textId="275AABD0" w:rsidR="000B52A7" w:rsidRDefault="000B52A7" w:rsidP="00B77051">
            <w:pPr>
              <w:pStyle w:val="Pagrindinistekstas"/>
            </w:pPr>
          </w:p>
        </w:tc>
        <w:tc>
          <w:tcPr>
            <w:tcW w:w="6231" w:type="dxa"/>
          </w:tcPr>
          <w:p w14:paraId="484B06A2" w14:textId="73F3B3EF" w:rsidR="00F91943" w:rsidRPr="00F91943" w:rsidRDefault="00F91943" w:rsidP="00F91943">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2.</w:t>
            </w:r>
            <w:r w:rsidR="00326B52">
              <w:rPr>
                <w:rFonts w:ascii="Times New Roman" w:hAnsi="Times New Roman"/>
                <w:sz w:val="24"/>
                <w:szCs w:val="24"/>
                <w:lang w:eastAsia="ar-SA"/>
              </w:rPr>
              <w:t xml:space="preserve"> </w:t>
            </w:r>
            <w:r w:rsidRPr="00F91943">
              <w:rPr>
                <w:rFonts w:ascii="Times New Roman" w:hAnsi="Times New Roman"/>
                <w:sz w:val="24"/>
                <w:szCs w:val="24"/>
                <w:lang w:eastAsia="ar-SA"/>
              </w:rPr>
              <w:t>Teisės akto projektu tvirtinamo Vežėjų išlaidų (negautų pajamų), susijusių su transporto lengvatų taikymu, kompensavimo (atlyginio) tvarkos aprašo 7 punkte vietoje „8 dienos“ nurodyti „12 dienos“ ir išdėstyti aprašo 7 punktą taip:</w:t>
            </w:r>
          </w:p>
          <w:p w14:paraId="55601FC9" w14:textId="014A476D" w:rsidR="000B52A7" w:rsidRDefault="00F91943" w:rsidP="00F91943">
            <w:pPr>
              <w:pStyle w:val="Betarp"/>
              <w:tabs>
                <w:tab w:val="left" w:pos="1276"/>
              </w:tabs>
              <w:jc w:val="both"/>
              <w:rPr>
                <w:rFonts w:ascii="Times New Roman" w:hAnsi="Times New Roman"/>
                <w:sz w:val="24"/>
                <w:szCs w:val="24"/>
                <w:lang w:eastAsia="ar-SA"/>
              </w:rPr>
            </w:pPr>
            <w:r w:rsidRPr="00F91943">
              <w:rPr>
                <w:rFonts w:ascii="Times New Roman" w:hAnsi="Times New Roman"/>
                <w:sz w:val="24"/>
                <w:szCs w:val="24"/>
                <w:lang w:eastAsia="ar-SA"/>
              </w:rPr>
              <w:t xml:space="preserve">„7. Kiekvienas vežėjas, turintis geležinkelio įmonės (vežėjo) licenciją ir teikiantis keleivių, bagažo geležinkelių transportu paslaugas, pasibaigus ataskaitiniam kalendoriniam mėnesiui, iki kito mėnesio </w:t>
            </w:r>
            <w:r w:rsidRPr="000F2595">
              <w:rPr>
                <w:rFonts w:ascii="Times New Roman" w:hAnsi="Times New Roman"/>
                <w:strike/>
                <w:sz w:val="24"/>
                <w:szCs w:val="24"/>
                <w:lang w:eastAsia="ar-SA"/>
              </w:rPr>
              <w:t xml:space="preserve">8 </w:t>
            </w:r>
            <w:r w:rsidRPr="000F2595">
              <w:rPr>
                <w:rFonts w:ascii="Times New Roman" w:hAnsi="Times New Roman"/>
                <w:b/>
                <w:sz w:val="24"/>
                <w:szCs w:val="24"/>
                <w:lang w:eastAsia="ar-SA"/>
              </w:rPr>
              <w:t>12</w:t>
            </w:r>
            <w:r w:rsidRPr="00F91943">
              <w:rPr>
                <w:rFonts w:ascii="Times New Roman" w:hAnsi="Times New Roman"/>
                <w:sz w:val="24"/>
                <w:szCs w:val="24"/>
                <w:lang w:eastAsia="ar-SA"/>
              </w:rPr>
              <w:t xml:space="preserve"> dienos pateikia </w:t>
            </w:r>
            <w:r w:rsidRPr="000F2595">
              <w:rPr>
                <w:rFonts w:ascii="Times New Roman" w:hAnsi="Times New Roman"/>
                <w:strike/>
                <w:sz w:val="24"/>
                <w:szCs w:val="24"/>
                <w:lang w:eastAsia="ar-SA"/>
              </w:rPr>
              <w:t>Administracijai</w:t>
            </w:r>
            <w:r w:rsidRPr="00F91943">
              <w:rPr>
                <w:rFonts w:ascii="Times New Roman" w:hAnsi="Times New Roman"/>
                <w:sz w:val="24"/>
                <w:szCs w:val="24"/>
                <w:lang w:eastAsia="ar-SA"/>
              </w:rPr>
              <w:t xml:space="preserve"> </w:t>
            </w:r>
            <w:r w:rsidRPr="000F2595">
              <w:rPr>
                <w:rFonts w:ascii="Times New Roman" w:hAnsi="Times New Roman"/>
                <w:b/>
                <w:sz w:val="24"/>
                <w:szCs w:val="24"/>
                <w:lang w:eastAsia="ar-SA"/>
              </w:rPr>
              <w:t xml:space="preserve">Lietuvos Respublikos susisiekimo ministerijai </w:t>
            </w:r>
            <w:r w:rsidRPr="00F91943">
              <w:rPr>
                <w:rFonts w:ascii="Times New Roman" w:hAnsi="Times New Roman"/>
                <w:sz w:val="24"/>
                <w:szCs w:val="24"/>
                <w:lang w:eastAsia="ar-SA"/>
              </w:rPr>
              <w:t>pagal sudarytą su juo sutartį ataskaitą apie parduotus su nuolaida važiavimo keleiviniais traukiniais bilietus, parengtą pagal Aprašo 4 priede nustatytą pavyzdinę ataskaitos formą.“</w:t>
            </w:r>
          </w:p>
        </w:tc>
        <w:tc>
          <w:tcPr>
            <w:tcW w:w="6526" w:type="dxa"/>
          </w:tcPr>
          <w:p w14:paraId="6309266A" w14:textId="77777777" w:rsidR="000B52A7" w:rsidRPr="00FD212D" w:rsidRDefault="00F91943" w:rsidP="00B77051">
            <w:pPr>
              <w:pStyle w:val="Pagrindinistekstas"/>
            </w:pPr>
            <w:r w:rsidRPr="00FD212D">
              <w:t>Neatsižvelgta.</w:t>
            </w:r>
          </w:p>
          <w:p w14:paraId="7113AA1D" w14:textId="43190AD9" w:rsidR="000F2595" w:rsidRPr="00FD212D" w:rsidRDefault="000F2595" w:rsidP="00BF72DD">
            <w:pPr>
              <w:pStyle w:val="Pagrindinistekstas"/>
              <w:rPr>
                <w:b/>
              </w:rPr>
            </w:pPr>
            <w:r w:rsidRPr="00FD212D">
              <w:t>Nėra aišku</w:t>
            </w:r>
            <w:r w:rsidR="00DE3297">
              <w:t>,</w:t>
            </w:r>
            <w:r w:rsidRPr="00FD212D">
              <w:t xml:space="preserve"> dėl kokių priežasčių siūloma nustatyti vėlesnį </w:t>
            </w:r>
            <w:r w:rsidR="00E253E8" w:rsidRPr="00FD212D">
              <w:t xml:space="preserve">vienos rūšies </w:t>
            </w:r>
            <w:r w:rsidRPr="00FD212D">
              <w:t>ataskaitų</w:t>
            </w:r>
            <w:r w:rsidR="00E253E8" w:rsidRPr="00FD212D">
              <w:t>, t. y. ataskaitų</w:t>
            </w:r>
            <w:r w:rsidRPr="00FD212D">
              <w:t xml:space="preserve"> </w:t>
            </w:r>
            <w:r w:rsidR="00E253E8" w:rsidRPr="00FD212D">
              <w:t xml:space="preserve">apie parduotus su nuolaida važiavimo keleiviniais traukiniais bilietus, </w:t>
            </w:r>
            <w:r w:rsidRPr="00FD212D">
              <w:t>pateikimo terminą</w:t>
            </w:r>
            <w:r w:rsidR="00E253E8" w:rsidRPr="00FD212D">
              <w:t xml:space="preserve">. </w:t>
            </w:r>
          </w:p>
          <w:p w14:paraId="63B04D64" w14:textId="34C36C39" w:rsidR="000F2595" w:rsidRPr="00E253E8" w:rsidRDefault="00FD212D" w:rsidP="00BF72DD">
            <w:pPr>
              <w:pStyle w:val="Pagrindinistekstas"/>
            </w:pPr>
            <w:r>
              <w:t>Pažymėtina</w:t>
            </w:r>
            <w:r w:rsidR="000F2595" w:rsidRPr="00FD212D">
              <w:t xml:space="preserve">, kad nustatyti skirtingus ataskaitų apie parduotus su nuolaida važiavimo keleiviniais traukiniais bilietus (atitinkamai iki mėnesio </w:t>
            </w:r>
            <w:r w:rsidR="000F2595" w:rsidRPr="00FD212D">
              <w:rPr>
                <w:lang w:val="en-US"/>
              </w:rPr>
              <w:t>12</w:t>
            </w:r>
            <w:r w:rsidR="000F2595" w:rsidRPr="00FD212D">
              <w:t xml:space="preserve"> dienos) ir ataskaitų apie parduotus su nuolaida tolimojo reguliaraus susisiekimo autobusais bilietus (atitinkamai </w:t>
            </w:r>
            <w:r w:rsidR="00E253E8" w:rsidRPr="00FD212D">
              <w:t xml:space="preserve">iki mėnesio </w:t>
            </w:r>
            <w:r w:rsidR="000F2595" w:rsidRPr="00FD212D">
              <w:rPr>
                <w:lang w:val="en-US"/>
              </w:rPr>
              <w:t xml:space="preserve">8 dienos) </w:t>
            </w:r>
            <w:r w:rsidR="00DE3297">
              <w:rPr>
                <w:lang w:val="en-US"/>
              </w:rPr>
              <w:t xml:space="preserve">terminus </w:t>
            </w:r>
            <w:r w:rsidR="000F2595" w:rsidRPr="00FD212D">
              <w:t xml:space="preserve">netikslinga, kadangi tokiu atveju ataskaitų vertinimo ir sprendimo priėmimo terminai, kurie siejami su visų ataskaitų įvertinimo pabaiga, būtų ilgesni atitinkamai </w:t>
            </w:r>
            <w:r w:rsidR="000F2595" w:rsidRPr="00FD212D">
              <w:rPr>
                <w:lang w:val="en-US"/>
              </w:rPr>
              <w:t>4 dienomis. D</w:t>
            </w:r>
            <w:r w:rsidR="000F2595" w:rsidRPr="00FD212D">
              <w:t>ėl minėtos priežasties vežėjai</w:t>
            </w:r>
            <w:r w:rsidR="00E253E8" w:rsidRPr="00FD212D">
              <w:t xml:space="preserve">, nepaisant to, kad kai kurie iš jų ataskaitas apie parduotus su nuolaida tolimojo reguliaraus susisiekimo autobusais bilietus </w:t>
            </w:r>
            <w:r w:rsidR="00E253E8" w:rsidRPr="00FD212D">
              <w:lastRenderedPageBreak/>
              <w:t xml:space="preserve">pateikė </w:t>
            </w:r>
            <w:r w:rsidR="00E253E8" w:rsidRPr="00FD212D">
              <w:rPr>
                <w:lang w:val="en-US"/>
              </w:rPr>
              <w:t>4 dienomis anks</w:t>
            </w:r>
            <w:r w:rsidR="00E253E8" w:rsidRPr="00FD212D">
              <w:t>čiau, išlaidų (negautų pajamų) kompensaciją (atlyginimą) gautų tuo pačiu metu.</w:t>
            </w:r>
          </w:p>
        </w:tc>
      </w:tr>
      <w:tr w:rsidR="00326B52" w:rsidRPr="009A66ED" w14:paraId="52C773D7" w14:textId="77777777" w:rsidTr="009A37F0">
        <w:trPr>
          <w:trHeight w:val="418"/>
        </w:trPr>
        <w:tc>
          <w:tcPr>
            <w:tcW w:w="2836" w:type="dxa"/>
          </w:tcPr>
          <w:p w14:paraId="506048A6" w14:textId="48B3E455" w:rsidR="00326B52" w:rsidRDefault="00326B52" w:rsidP="00B77051">
            <w:pPr>
              <w:pStyle w:val="Pagrindinistekstas"/>
            </w:pPr>
            <w:r>
              <w:lastRenderedPageBreak/>
              <w:t>Lietuvos savivaldybių asociacijos 2019 m. liepos 11 d. raštas Nr. (17)-SD-404</w:t>
            </w:r>
          </w:p>
        </w:tc>
        <w:tc>
          <w:tcPr>
            <w:tcW w:w="6231" w:type="dxa"/>
          </w:tcPr>
          <w:p w14:paraId="0E31AA5C" w14:textId="77777777" w:rsidR="00326B52" w:rsidRDefault="00326B52" w:rsidP="00F91943">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Kauno miesto savivaldybė siūlo Aprašo 11 p. papildyti žodžiais ,,ar elektroninėmis priemonėmis“ bei nustatyti ilgesnį pateikimo terminą ir punktą išdėstyti taip:</w:t>
            </w:r>
          </w:p>
          <w:p w14:paraId="18CFF614" w14:textId="2CB71B37" w:rsidR="00326B52" w:rsidRDefault="00326B52" w:rsidP="00F91943">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 xml:space="preserve">,,11. Savivaldybė ar jos įgaliota institucija, Administracija, nustačiusios, kad ataskaitoje nurodyta ne visa informacija, taip pat gavusi vežėjo įmonės vadovo ar jo įgalioto asmens nepasirašytą ataskaitą ar ataskaitą su skaičiavimo klaidomis, per </w:t>
            </w:r>
            <w:r w:rsidRPr="00326B52">
              <w:rPr>
                <w:rFonts w:ascii="Times New Roman" w:hAnsi="Times New Roman"/>
                <w:b/>
                <w:sz w:val="24"/>
                <w:szCs w:val="24"/>
                <w:lang w:eastAsia="ar-SA"/>
              </w:rPr>
              <w:t>5</w:t>
            </w:r>
            <w:r>
              <w:rPr>
                <w:rFonts w:ascii="Times New Roman" w:hAnsi="Times New Roman"/>
                <w:sz w:val="24"/>
                <w:szCs w:val="24"/>
                <w:lang w:eastAsia="ar-SA"/>
              </w:rPr>
              <w:t xml:space="preserve"> </w:t>
            </w:r>
            <w:r w:rsidR="00FD212D">
              <w:rPr>
                <w:rFonts w:ascii="Times New Roman" w:hAnsi="Times New Roman"/>
                <w:sz w:val="24"/>
                <w:szCs w:val="24"/>
                <w:lang w:eastAsia="ar-SA"/>
              </w:rPr>
              <w:t>darbo dienas nuo ataskaitų pateikimo termin</w:t>
            </w:r>
            <w:r>
              <w:rPr>
                <w:rFonts w:ascii="Times New Roman" w:hAnsi="Times New Roman"/>
                <w:sz w:val="24"/>
                <w:szCs w:val="24"/>
                <w:lang w:eastAsia="ar-SA"/>
              </w:rPr>
              <w:t xml:space="preserve">o pabaigos raštu </w:t>
            </w:r>
            <w:r w:rsidRPr="00326B52">
              <w:rPr>
                <w:rFonts w:ascii="Times New Roman" w:hAnsi="Times New Roman"/>
                <w:b/>
                <w:sz w:val="24"/>
                <w:szCs w:val="24"/>
                <w:lang w:eastAsia="ar-SA"/>
              </w:rPr>
              <w:t>ar elektroninėmis priemonėmis</w:t>
            </w:r>
            <w:r>
              <w:rPr>
                <w:rFonts w:ascii="Times New Roman" w:hAnsi="Times New Roman"/>
                <w:sz w:val="24"/>
                <w:szCs w:val="24"/>
                <w:lang w:eastAsia="ar-SA"/>
              </w:rPr>
              <w:t xml:space="preserve"> informuoja vežėją apie nustatytus trūkumus ir nustato </w:t>
            </w:r>
            <w:r w:rsidRPr="00326B52">
              <w:rPr>
                <w:rFonts w:ascii="Times New Roman" w:hAnsi="Times New Roman"/>
                <w:b/>
                <w:sz w:val="24"/>
                <w:szCs w:val="24"/>
                <w:lang w:eastAsia="ar-SA"/>
              </w:rPr>
              <w:t>5</w:t>
            </w:r>
            <w:r>
              <w:rPr>
                <w:rFonts w:ascii="Times New Roman" w:hAnsi="Times New Roman"/>
                <w:sz w:val="24"/>
                <w:szCs w:val="24"/>
                <w:lang w:eastAsia="ar-SA"/>
              </w:rPr>
              <w:t xml:space="preserve"> darbo dienų terminą trūkumams pašalinti.</w:t>
            </w:r>
          </w:p>
        </w:tc>
        <w:tc>
          <w:tcPr>
            <w:tcW w:w="6526" w:type="dxa"/>
          </w:tcPr>
          <w:p w14:paraId="2123C061" w14:textId="77777777" w:rsidR="00326B52" w:rsidRDefault="00326B52" w:rsidP="00B77051">
            <w:pPr>
              <w:pStyle w:val="Pagrindinistekstas"/>
            </w:pPr>
            <w:r>
              <w:t>Atsižvelgta iš dalies.</w:t>
            </w:r>
          </w:p>
          <w:p w14:paraId="4A352D46" w14:textId="39EEAD79" w:rsidR="00FD212D" w:rsidRPr="00FD212D" w:rsidRDefault="004A563C" w:rsidP="00BF72DD">
            <w:pPr>
              <w:pStyle w:val="Pagrindinistekstas"/>
              <w:rPr>
                <w:b/>
              </w:rPr>
            </w:pPr>
            <w:r>
              <w:t>Dėl siūlymo nustatyti ilgesnį terminą trūkumams pašalinti m</w:t>
            </w:r>
            <w:r w:rsidR="00FD212D" w:rsidRPr="00FD212D">
              <w:t xml:space="preserve">anytina, kad </w:t>
            </w:r>
            <w:r w:rsidR="00FD212D" w:rsidRPr="00FD212D">
              <w:rPr>
                <w:lang w:val="en-US"/>
              </w:rPr>
              <w:t>3 darbo dien</w:t>
            </w:r>
            <w:r w:rsidR="00FD212D" w:rsidRPr="00FD212D">
              <w:t xml:space="preserve">ų terminas nustatytiems ataskaitos trūkumams, t. y. </w:t>
            </w:r>
            <w:r w:rsidR="00FD212D">
              <w:t>neužpildžius reikiamų</w:t>
            </w:r>
            <w:r w:rsidR="00FD212D" w:rsidRPr="00FD212D">
              <w:t xml:space="preserve"> ataskaitos </w:t>
            </w:r>
            <w:r w:rsidR="00FD212D">
              <w:t>skilčių, pateikus nepasirašytą ataskaitą ar ataskaitą su skaičiavimo klaidomis</w:t>
            </w:r>
            <w:r w:rsidR="00550E2D">
              <w:t xml:space="preserve">, ataskaitoje nurodžius neteisingą informaciją (pvz., neteisingus maršrutų numerius), pašalinti </w:t>
            </w:r>
            <w:r w:rsidR="00FD212D" w:rsidRPr="00FD212D">
              <w:t>yra pakankamas.</w:t>
            </w:r>
            <w:r w:rsidR="00550E2D">
              <w:t xml:space="preserve"> Be to, ilgesni</w:t>
            </w:r>
            <w:r w:rsidR="00481C22">
              <w:t>o</w:t>
            </w:r>
            <w:r w:rsidR="00550E2D">
              <w:t xml:space="preserve"> trūkumų pašalinimo termin</w:t>
            </w:r>
            <w:r w:rsidR="00481C22">
              <w:t>o</w:t>
            </w:r>
            <w:r w:rsidR="00550E2D">
              <w:t xml:space="preserve"> nustatymas suponuoja vėlesnį išlaidų (negautų pajamų) kompensavimą (atlyginimą) vežėjams, o vežėjai yra suinteresuoti, kad išlaidos (negautos pajamos) jiems būtų kompensuojamos (atlyginamos) kaip įmanoma greičiau. </w:t>
            </w:r>
          </w:p>
          <w:p w14:paraId="6B8822AD" w14:textId="1481BBEC" w:rsidR="00FD212D" w:rsidRDefault="00FD212D" w:rsidP="00BF72DD">
            <w:pPr>
              <w:pStyle w:val="Pagrindinistekstas"/>
              <w:rPr>
                <w:b/>
                <w:lang w:val="en-US"/>
              </w:rPr>
            </w:pPr>
            <w:r w:rsidRPr="00FD212D">
              <w:t>Atkreiptinas dėmesys į tai, kad terminas dokumentams, kurių pagrindu yra parengtos ataska</w:t>
            </w:r>
            <w:r w:rsidR="00550E2D">
              <w:t>i</w:t>
            </w:r>
            <w:r w:rsidRPr="00FD212D">
              <w:t>tos</w:t>
            </w:r>
            <w:r w:rsidR="00481C22">
              <w:t>,</w:t>
            </w:r>
            <w:r w:rsidRPr="00FD212D">
              <w:t xml:space="preserve"> pateik</w:t>
            </w:r>
            <w:r w:rsidR="00481C22">
              <w:t>t</w:t>
            </w:r>
            <w:r w:rsidRPr="00FD212D">
              <w:t>i, siekiant pašalinti</w:t>
            </w:r>
            <w:r w:rsidR="00550E2D">
              <w:t xml:space="preserve"> kilusias abejones dėl ataskaito</w:t>
            </w:r>
            <w:r w:rsidRPr="00FD212D">
              <w:t xml:space="preserve">je pateiktų duomenų teisingumo, įvertinus tai, kad minėtiems dokumentams surinkti reikia daugiau laiko, nustatytas </w:t>
            </w:r>
            <w:r w:rsidR="00550E2D">
              <w:t xml:space="preserve">ilgesnis, t. y. </w:t>
            </w:r>
            <w:r w:rsidRPr="00FD212D">
              <w:rPr>
                <w:lang w:val="en-US"/>
              </w:rPr>
              <w:t>5 darbo dien</w:t>
            </w:r>
            <w:r w:rsidR="00550E2D">
              <w:rPr>
                <w:lang w:val="en-US"/>
              </w:rPr>
              <w:t>os</w:t>
            </w:r>
            <w:r w:rsidRPr="00FD212D">
              <w:rPr>
                <w:lang w:val="en-US"/>
              </w:rPr>
              <w:t>.</w:t>
            </w:r>
          </w:p>
          <w:p w14:paraId="7D2014B6" w14:textId="21D9CEBE" w:rsidR="00550E2D" w:rsidRPr="00481C22" w:rsidRDefault="00550E2D" w:rsidP="00481C22">
            <w:pPr>
              <w:pStyle w:val="Pagrindinistekstas"/>
            </w:pPr>
            <w:r w:rsidRPr="00F67627">
              <w:t>Dėl siūlymo nustatyti, kad</w:t>
            </w:r>
            <w:r w:rsidR="004A563C" w:rsidRPr="00F67627">
              <w:t xml:space="preserve"> informacija apie nustatytus trūkumus vežėjui gali būti teikiama ne tik raštu, bet elektronin</w:t>
            </w:r>
            <w:r w:rsidR="00481C22" w:rsidRPr="00F67627">
              <w:t xml:space="preserve">ių ryšių </w:t>
            </w:r>
            <w:r w:rsidR="004A563C" w:rsidRPr="00F67627">
              <w:t xml:space="preserve"> priemonėmis, pažymėtina, kad </w:t>
            </w:r>
            <w:r w:rsidR="00264563" w:rsidRPr="00F67627">
              <w:t xml:space="preserve">Projektu keičiamame </w:t>
            </w:r>
            <w:r w:rsidR="004A563C" w:rsidRPr="00F67627">
              <w:t>Apraše siūloma nurodyti</w:t>
            </w:r>
            <w:r w:rsidR="00481C22" w:rsidRPr="00F67627">
              <w:t>,</w:t>
            </w:r>
            <w:r w:rsidR="004A563C" w:rsidRPr="00F67627">
              <w:t xml:space="preserve"> kokia forma informacija teikiama, t. y. kad minėta informacija turi būti teikiama raštu, o ne žodžiu. Apraše nėra detalizuojamos informacijos pateikimo priemonės, todėl minėta informacja gali būti te</w:t>
            </w:r>
            <w:r w:rsidR="00481C22" w:rsidRPr="00F67627">
              <w:t>i</w:t>
            </w:r>
            <w:r w:rsidR="004A563C" w:rsidRPr="00F67627">
              <w:t>kiama tiek paštu, tiek elektroninių ryšių priemonėmis.</w:t>
            </w:r>
          </w:p>
        </w:tc>
      </w:tr>
    </w:tbl>
    <w:p w14:paraId="057C9767" w14:textId="7516A2C8" w:rsidR="00191B92" w:rsidRDefault="00191B92" w:rsidP="005A145A">
      <w:pPr>
        <w:jc w:val="center"/>
        <w:rPr>
          <w:color w:val="000000"/>
        </w:rPr>
      </w:pPr>
    </w:p>
    <w:p w14:paraId="7ACF690B" w14:textId="2C70FBE7" w:rsidR="00A166BC" w:rsidRPr="009A66ED" w:rsidRDefault="00A166BC" w:rsidP="005A145A">
      <w:pPr>
        <w:jc w:val="center"/>
        <w:rPr>
          <w:color w:val="000000"/>
        </w:rPr>
      </w:pPr>
      <w:r w:rsidRPr="009A66ED">
        <w:rPr>
          <w:color w:val="000000"/>
        </w:rPr>
        <w:t>–––––––––––</w:t>
      </w:r>
      <w:r w:rsidR="00191B92">
        <w:rPr>
          <w:color w:val="000000"/>
        </w:rPr>
        <w:t>––––––</w:t>
      </w:r>
    </w:p>
    <w:p w14:paraId="7ACF690C" w14:textId="77777777" w:rsidR="003B5A20" w:rsidRPr="009A66ED" w:rsidRDefault="003B5A20" w:rsidP="008300FE">
      <w:pPr>
        <w:ind w:firstLine="709"/>
        <w:rPr>
          <w:color w:val="000000"/>
        </w:rPr>
      </w:pPr>
    </w:p>
    <w:sectPr w:rsidR="003B5A20" w:rsidRPr="009A66ED" w:rsidSect="007C3404">
      <w:headerReference w:type="even" r:id="rId8"/>
      <w:headerReference w:type="default" r:id="rId9"/>
      <w:pgSz w:w="16838" w:h="11906" w:orient="landscape" w:code="9"/>
      <w:pgMar w:top="851" w:right="678" w:bottom="426" w:left="1134"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A741D" w16cid:durableId="20E985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19E45" w14:textId="77777777" w:rsidR="00C864F0" w:rsidRDefault="00C864F0">
      <w:r>
        <w:separator/>
      </w:r>
    </w:p>
  </w:endnote>
  <w:endnote w:type="continuationSeparator" w:id="0">
    <w:p w14:paraId="30DA4AD8" w14:textId="77777777" w:rsidR="00C864F0" w:rsidRDefault="00C8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37A37" w14:textId="77777777" w:rsidR="00C864F0" w:rsidRDefault="00C864F0">
      <w:r>
        <w:separator/>
      </w:r>
    </w:p>
  </w:footnote>
  <w:footnote w:type="continuationSeparator" w:id="0">
    <w:p w14:paraId="7D3A2C93" w14:textId="77777777" w:rsidR="00C864F0" w:rsidRDefault="00C86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6911"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F6912" w14:textId="77777777" w:rsidR="00981FB1" w:rsidRDefault="00981F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6913"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7627">
      <w:rPr>
        <w:rStyle w:val="Puslapionumeris"/>
        <w:noProof/>
      </w:rPr>
      <w:t>3</w:t>
    </w:r>
    <w:r>
      <w:rPr>
        <w:rStyle w:val="Puslapionumeris"/>
      </w:rPr>
      <w:fldChar w:fldCharType="end"/>
    </w:r>
  </w:p>
  <w:p w14:paraId="7ACF6914" w14:textId="77777777" w:rsidR="00981FB1" w:rsidRDefault="00981F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E731EC"/>
    <w:multiLevelType w:val="hybridMultilevel"/>
    <w:tmpl w:val="CDE422E4"/>
    <w:lvl w:ilvl="0" w:tplc="C3843D0C">
      <w:start w:val="1"/>
      <w:numFmt w:val="decimal"/>
      <w:lvlText w:val="%1."/>
      <w:lvlJc w:val="left"/>
      <w:pPr>
        <w:tabs>
          <w:tab w:val="num" w:pos="720"/>
        </w:tabs>
        <w:ind w:left="720" w:hanging="360"/>
      </w:pPr>
      <w:rPr>
        <w:rFonts w:hint="default"/>
      </w:rPr>
    </w:lvl>
    <w:lvl w:ilvl="1" w:tplc="5A108E6A" w:tentative="1">
      <w:start w:val="1"/>
      <w:numFmt w:val="lowerLetter"/>
      <w:lvlText w:val="%2."/>
      <w:lvlJc w:val="left"/>
      <w:pPr>
        <w:tabs>
          <w:tab w:val="num" w:pos="1440"/>
        </w:tabs>
        <w:ind w:left="1440" w:hanging="360"/>
      </w:pPr>
    </w:lvl>
    <w:lvl w:ilvl="2" w:tplc="0C929444" w:tentative="1">
      <w:start w:val="1"/>
      <w:numFmt w:val="lowerRoman"/>
      <w:lvlText w:val="%3."/>
      <w:lvlJc w:val="right"/>
      <w:pPr>
        <w:tabs>
          <w:tab w:val="num" w:pos="2160"/>
        </w:tabs>
        <w:ind w:left="2160" w:hanging="180"/>
      </w:pPr>
    </w:lvl>
    <w:lvl w:ilvl="3" w:tplc="6046C874" w:tentative="1">
      <w:start w:val="1"/>
      <w:numFmt w:val="decimal"/>
      <w:lvlText w:val="%4."/>
      <w:lvlJc w:val="left"/>
      <w:pPr>
        <w:tabs>
          <w:tab w:val="num" w:pos="2880"/>
        </w:tabs>
        <w:ind w:left="2880" w:hanging="360"/>
      </w:pPr>
    </w:lvl>
    <w:lvl w:ilvl="4" w:tplc="80547530" w:tentative="1">
      <w:start w:val="1"/>
      <w:numFmt w:val="lowerLetter"/>
      <w:lvlText w:val="%5."/>
      <w:lvlJc w:val="left"/>
      <w:pPr>
        <w:tabs>
          <w:tab w:val="num" w:pos="3600"/>
        </w:tabs>
        <w:ind w:left="3600" w:hanging="360"/>
      </w:pPr>
    </w:lvl>
    <w:lvl w:ilvl="5" w:tplc="4754B54A" w:tentative="1">
      <w:start w:val="1"/>
      <w:numFmt w:val="lowerRoman"/>
      <w:lvlText w:val="%6."/>
      <w:lvlJc w:val="right"/>
      <w:pPr>
        <w:tabs>
          <w:tab w:val="num" w:pos="4320"/>
        </w:tabs>
        <w:ind w:left="4320" w:hanging="180"/>
      </w:pPr>
    </w:lvl>
    <w:lvl w:ilvl="6" w:tplc="60007134" w:tentative="1">
      <w:start w:val="1"/>
      <w:numFmt w:val="decimal"/>
      <w:lvlText w:val="%7."/>
      <w:lvlJc w:val="left"/>
      <w:pPr>
        <w:tabs>
          <w:tab w:val="num" w:pos="5040"/>
        </w:tabs>
        <w:ind w:left="5040" w:hanging="360"/>
      </w:pPr>
    </w:lvl>
    <w:lvl w:ilvl="7" w:tplc="7C6EFB34" w:tentative="1">
      <w:start w:val="1"/>
      <w:numFmt w:val="lowerLetter"/>
      <w:lvlText w:val="%8."/>
      <w:lvlJc w:val="left"/>
      <w:pPr>
        <w:tabs>
          <w:tab w:val="num" w:pos="5760"/>
        </w:tabs>
        <w:ind w:left="5760" w:hanging="360"/>
      </w:pPr>
    </w:lvl>
    <w:lvl w:ilvl="8" w:tplc="B1D6F8C4" w:tentative="1">
      <w:start w:val="1"/>
      <w:numFmt w:val="lowerRoman"/>
      <w:lvlText w:val="%9."/>
      <w:lvlJc w:val="right"/>
      <w:pPr>
        <w:tabs>
          <w:tab w:val="num" w:pos="6480"/>
        </w:tabs>
        <w:ind w:left="6480" w:hanging="180"/>
      </w:pPr>
    </w:lvl>
  </w:abstractNum>
  <w:abstractNum w:abstractNumId="19"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20"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2C65583C"/>
    <w:multiLevelType w:val="hybridMultilevel"/>
    <w:tmpl w:val="05E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9"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4D935010"/>
    <w:multiLevelType w:val="multilevel"/>
    <w:tmpl w:val="98129A4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1"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1671F7"/>
    <w:multiLevelType w:val="hybridMultilevel"/>
    <w:tmpl w:val="0A14E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26"/>
  </w:num>
  <w:num w:numId="4">
    <w:abstractNumId w:val="29"/>
  </w:num>
  <w:num w:numId="5">
    <w:abstractNumId w:val="6"/>
  </w:num>
  <w:num w:numId="6">
    <w:abstractNumId w:val="24"/>
  </w:num>
  <w:num w:numId="7">
    <w:abstractNumId w:val="33"/>
  </w:num>
  <w:num w:numId="8">
    <w:abstractNumId w:val="27"/>
  </w:num>
  <w:num w:numId="9">
    <w:abstractNumId w:val="31"/>
  </w:num>
  <w:num w:numId="10">
    <w:abstractNumId w:val="19"/>
  </w:num>
  <w:num w:numId="11">
    <w:abstractNumId w:val="35"/>
  </w:num>
  <w:num w:numId="12">
    <w:abstractNumId w:val="12"/>
  </w:num>
  <w:num w:numId="13">
    <w:abstractNumId w:val="25"/>
  </w:num>
  <w:num w:numId="14">
    <w:abstractNumId w:val="11"/>
  </w:num>
  <w:num w:numId="15">
    <w:abstractNumId w:val="14"/>
  </w:num>
  <w:num w:numId="16">
    <w:abstractNumId w:val="20"/>
  </w:num>
  <w:num w:numId="17">
    <w:abstractNumId w:val="10"/>
  </w:num>
  <w:num w:numId="18">
    <w:abstractNumId w:val="22"/>
  </w:num>
  <w:num w:numId="19">
    <w:abstractNumId w:val="13"/>
  </w:num>
  <w:num w:numId="20">
    <w:abstractNumId w:val="7"/>
  </w:num>
  <w:num w:numId="21">
    <w:abstractNumId w:val="28"/>
  </w:num>
  <w:num w:numId="22">
    <w:abstractNumId w:val="9"/>
  </w:num>
  <w:num w:numId="23">
    <w:abstractNumId w:val="17"/>
  </w:num>
  <w:num w:numId="24">
    <w:abstractNumId w:val="32"/>
  </w:num>
  <w:num w:numId="25">
    <w:abstractNumId w:val="16"/>
  </w:num>
  <w:num w:numId="26">
    <w:abstractNumId w:val="21"/>
  </w:num>
  <w:num w:numId="27">
    <w:abstractNumId w:val="15"/>
  </w:num>
  <w:num w:numId="28">
    <w:abstractNumId w:val="0"/>
  </w:num>
  <w:num w:numId="29">
    <w:abstractNumId w:val="1"/>
  </w:num>
  <w:num w:numId="30">
    <w:abstractNumId w:val="2"/>
  </w:num>
  <w:num w:numId="31">
    <w:abstractNumId w:val="3"/>
  </w:num>
  <w:num w:numId="32">
    <w:abstractNumId w:val="4"/>
  </w:num>
  <w:num w:numId="33">
    <w:abstractNumId w:val="5"/>
  </w:num>
  <w:num w:numId="34">
    <w:abstractNumId w:val="30"/>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44"/>
    <w:rsid w:val="00004D6C"/>
    <w:rsid w:val="00005CD1"/>
    <w:rsid w:val="00024F69"/>
    <w:rsid w:val="000265C2"/>
    <w:rsid w:val="00027ACD"/>
    <w:rsid w:val="00037759"/>
    <w:rsid w:val="00044D01"/>
    <w:rsid w:val="00046D91"/>
    <w:rsid w:val="0004733D"/>
    <w:rsid w:val="00061B80"/>
    <w:rsid w:val="00063382"/>
    <w:rsid w:val="0006368F"/>
    <w:rsid w:val="0006701F"/>
    <w:rsid w:val="00067C37"/>
    <w:rsid w:val="00071A94"/>
    <w:rsid w:val="00074792"/>
    <w:rsid w:val="00083A64"/>
    <w:rsid w:val="000862E4"/>
    <w:rsid w:val="0009096E"/>
    <w:rsid w:val="000A2B07"/>
    <w:rsid w:val="000A389C"/>
    <w:rsid w:val="000A506F"/>
    <w:rsid w:val="000A7E1D"/>
    <w:rsid w:val="000B1019"/>
    <w:rsid w:val="000B3F84"/>
    <w:rsid w:val="000B52A7"/>
    <w:rsid w:val="000C2766"/>
    <w:rsid w:val="000C4DA4"/>
    <w:rsid w:val="000C5252"/>
    <w:rsid w:val="000D21B8"/>
    <w:rsid w:val="000D4268"/>
    <w:rsid w:val="000D68B1"/>
    <w:rsid w:val="000D750F"/>
    <w:rsid w:val="000E0F7E"/>
    <w:rsid w:val="000E1F2A"/>
    <w:rsid w:val="000E4866"/>
    <w:rsid w:val="000F13CF"/>
    <w:rsid w:val="000F2595"/>
    <w:rsid w:val="001021C9"/>
    <w:rsid w:val="0011097D"/>
    <w:rsid w:val="001110F4"/>
    <w:rsid w:val="00125819"/>
    <w:rsid w:val="00130284"/>
    <w:rsid w:val="00130EB9"/>
    <w:rsid w:val="00132B68"/>
    <w:rsid w:val="001344E4"/>
    <w:rsid w:val="0013464E"/>
    <w:rsid w:val="00153459"/>
    <w:rsid w:val="001555B9"/>
    <w:rsid w:val="001635CF"/>
    <w:rsid w:val="00167063"/>
    <w:rsid w:val="00167465"/>
    <w:rsid w:val="00171199"/>
    <w:rsid w:val="00174D9D"/>
    <w:rsid w:val="00175048"/>
    <w:rsid w:val="0017534E"/>
    <w:rsid w:val="00187EA9"/>
    <w:rsid w:val="00190F93"/>
    <w:rsid w:val="00191B92"/>
    <w:rsid w:val="00194F30"/>
    <w:rsid w:val="0019565A"/>
    <w:rsid w:val="001A1B4E"/>
    <w:rsid w:val="001A3B52"/>
    <w:rsid w:val="001A4A99"/>
    <w:rsid w:val="001A4F49"/>
    <w:rsid w:val="001A5F3C"/>
    <w:rsid w:val="001B16D9"/>
    <w:rsid w:val="001B6A1E"/>
    <w:rsid w:val="001B6A8F"/>
    <w:rsid w:val="001C0CCE"/>
    <w:rsid w:val="001C5C94"/>
    <w:rsid w:val="001D0754"/>
    <w:rsid w:val="001D08AD"/>
    <w:rsid w:val="001D2481"/>
    <w:rsid w:val="001E0163"/>
    <w:rsid w:val="001E10CA"/>
    <w:rsid w:val="001E2F1F"/>
    <w:rsid w:val="001E3346"/>
    <w:rsid w:val="001E4DD5"/>
    <w:rsid w:val="001F2E10"/>
    <w:rsid w:val="00200C60"/>
    <w:rsid w:val="00215C38"/>
    <w:rsid w:val="00224505"/>
    <w:rsid w:val="00224D54"/>
    <w:rsid w:val="00224E2B"/>
    <w:rsid w:val="00231434"/>
    <w:rsid w:val="00233D47"/>
    <w:rsid w:val="00234FC7"/>
    <w:rsid w:val="00242E16"/>
    <w:rsid w:val="00250CDB"/>
    <w:rsid w:val="0025224A"/>
    <w:rsid w:val="002543CC"/>
    <w:rsid w:val="002633BF"/>
    <w:rsid w:val="00264453"/>
    <w:rsid w:val="00264563"/>
    <w:rsid w:val="00266D65"/>
    <w:rsid w:val="002804C5"/>
    <w:rsid w:val="0028188B"/>
    <w:rsid w:val="00292C13"/>
    <w:rsid w:val="002A5465"/>
    <w:rsid w:val="002C247C"/>
    <w:rsid w:val="002C69D8"/>
    <w:rsid w:val="002C6E44"/>
    <w:rsid w:val="002D6369"/>
    <w:rsid w:val="002D7852"/>
    <w:rsid w:val="002E0CCE"/>
    <w:rsid w:val="002E0DBF"/>
    <w:rsid w:val="00300E4A"/>
    <w:rsid w:val="0030269B"/>
    <w:rsid w:val="003026B8"/>
    <w:rsid w:val="00304EAB"/>
    <w:rsid w:val="00313693"/>
    <w:rsid w:val="003147A5"/>
    <w:rsid w:val="00320919"/>
    <w:rsid w:val="00320AD8"/>
    <w:rsid w:val="00324E7C"/>
    <w:rsid w:val="00326021"/>
    <w:rsid w:val="00326B52"/>
    <w:rsid w:val="003276DE"/>
    <w:rsid w:val="00346908"/>
    <w:rsid w:val="003503CF"/>
    <w:rsid w:val="00364EFF"/>
    <w:rsid w:val="00366809"/>
    <w:rsid w:val="003669FD"/>
    <w:rsid w:val="00376462"/>
    <w:rsid w:val="003803B1"/>
    <w:rsid w:val="00382E49"/>
    <w:rsid w:val="00387BE2"/>
    <w:rsid w:val="00387F30"/>
    <w:rsid w:val="00393F53"/>
    <w:rsid w:val="003A0C4B"/>
    <w:rsid w:val="003A20EC"/>
    <w:rsid w:val="003A3E20"/>
    <w:rsid w:val="003B5A20"/>
    <w:rsid w:val="003D4CF0"/>
    <w:rsid w:val="003D5651"/>
    <w:rsid w:val="003E6461"/>
    <w:rsid w:val="003F12FB"/>
    <w:rsid w:val="003F174F"/>
    <w:rsid w:val="003F3F89"/>
    <w:rsid w:val="003F5354"/>
    <w:rsid w:val="004107AB"/>
    <w:rsid w:val="00410FF9"/>
    <w:rsid w:val="00413138"/>
    <w:rsid w:val="0041366D"/>
    <w:rsid w:val="0041631D"/>
    <w:rsid w:val="0041719F"/>
    <w:rsid w:val="00437F20"/>
    <w:rsid w:val="004447B5"/>
    <w:rsid w:val="00451DC1"/>
    <w:rsid w:val="004601A1"/>
    <w:rsid w:val="00460B0C"/>
    <w:rsid w:val="0047489D"/>
    <w:rsid w:val="00481C22"/>
    <w:rsid w:val="00492F41"/>
    <w:rsid w:val="00494A16"/>
    <w:rsid w:val="004978EF"/>
    <w:rsid w:val="004A1E16"/>
    <w:rsid w:val="004A5235"/>
    <w:rsid w:val="004A563C"/>
    <w:rsid w:val="004A5807"/>
    <w:rsid w:val="004A6ADD"/>
    <w:rsid w:val="004A71A7"/>
    <w:rsid w:val="004B4F31"/>
    <w:rsid w:val="004C17EC"/>
    <w:rsid w:val="004C62A0"/>
    <w:rsid w:val="004C7A4A"/>
    <w:rsid w:val="004E68E1"/>
    <w:rsid w:val="004F1536"/>
    <w:rsid w:val="00500379"/>
    <w:rsid w:val="00504A44"/>
    <w:rsid w:val="00510B57"/>
    <w:rsid w:val="00515F8A"/>
    <w:rsid w:val="00516615"/>
    <w:rsid w:val="00526205"/>
    <w:rsid w:val="00545768"/>
    <w:rsid w:val="00546080"/>
    <w:rsid w:val="00550E2D"/>
    <w:rsid w:val="005528D7"/>
    <w:rsid w:val="00554F44"/>
    <w:rsid w:val="005613DD"/>
    <w:rsid w:val="00566BE8"/>
    <w:rsid w:val="005711F4"/>
    <w:rsid w:val="00573E43"/>
    <w:rsid w:val="00580864"/>
    <w:rsid w:val="00586BF1"/>
    <w:rsid w:val="00590B1E"/>
    <w:rsid w:val="00593BA6"/>
    <w:rsid w:val="005A145A"/>
    <w:rsid w:val="005A2C96"/>
    <w:rsid w:val="005A2EE7"/>
    <w:rsid w:val="005A76E9"/>
    <w:rsid w:val="005A7D0C"/>
    <w:rsid w:val="005B44DC"/>
    <w:rsid w:val="005B45CB"/>
    <w:rsid w:val="005C1A43"/>
    <w:rsid w:val="005C48F7"/>
    <w:rsid w:val="005C6EEA"/>
    <w:rsid w:val="005E5C17"/>
    <w:rsid w:val="005E68FF"/>
    <w:rsid w:val="005F527D"/>
    <w:rsid w:val="005F7F45"/>
    <w:rsid w:val="00601DF3"/>
    <w:rsid w:val="00604C6E"/>
    <w:rsid w:val="00611C68"/>
    <w:rsid w:val="00611DCE"/>
    <w:rsid w:val="00613ACF"/>
    <w:rsid w:val="00614E0A"/>
    <w:rsid w:val="006239CC"/>
    <w:rsid w:val="00625121"/>
    <w:rsid w:val="006275FF"/>
    <w:rsid w:val="00627629"/>
    <w:rsid w:val="006312B0"/>
    <w:rsid w:val="006328EE"/>
    <w:rsid w:val="00633D9F"/>
    <w:rsid w:val="006359F4"/>
    <w:rsid w:val="00653370"/>
    <w:rsid w:val="00664715"/>
    <w:rsid w:val="00664918"/>
    <w:rsid w:val="00666C05"/>
    <w:rsid w:val="00672ADD"/>
    <w:rsid w:val="00675F41"/>
    <w:rsid w:val="006769DA"/>
    <w:rsid w:val="0068261D"/>
    <w:rsid w:val="00683CDC"/>
    <w:rsid w:val="0069206C"/>
    <w:rsid w:val="006926C0"/>
    <w:rsid w:val="00694605"/>
    <w:rsid w:val="00694E27"/>
    <w:rsid w:val="00695291"/>
    <w:rsid w:val="00695CFB"/>
    <w:rsid w:val="0069750A"/>
    <w:rsid w:val="006A11EF"/>
    <w:rsid w:val="006A2D34"/>
    <w:rsid w:val="006A6037"/>
    <w:rsid w:val="006B204C"/>
    <w:rsid w:val="006C2A7A"/>
    <w:rsid w:val="006C455B"/>
    <w:rsid w:val="006C516C"/>
    <w:rsid w:val="006D19D6"/>
    <w:rsid w:val="006D66CF"/>
    <w:rsid w:val="006E4493"/>
    <w:rsid w:val="006E75F3"/>
    <w:rsid w:val="006E7844"/>
    <w:rsid w:val="006F7C21"/>
    <w:rsid w:val="00701E42"/>
    <w:rsid w:val="00702705"/>
    <w:rsid w:val="00704AD4"/>
    <w:rsid w:val="00714025"/>
    <w:rsid w:val="00721BCD"/>
    <w:rsid w:val="007221FE"/>
    <w:rsid w:val="00726541"/>
    <w:rsid w:val="007303DB"/>
    <w:rsid w:val="007443CD"/>
    <w:rsid w:val="00747C3D"/>
    <w:rsid w:val="007534F1"/>
    <w:rsid w:val="0076017B"/>
    <w:rsid w:val="007610BE"/>
    <w:rsid w:val="007731A7"/>
    <w:rsid w:val="007820E1"/>
    <w:rsid w:val="00786E79"/>
    <w:rsid w:val="00791A09"/>
    <w:rsid w:val="00792611"/>
    <w:rsid w:val="00793168"/>
    <w:rsid w:val="0079518D"/>
    <w:rsid w:val="00795CA3"/>
    <w:rsid w:val="00796C3C"/>
    <w:rsid w:val="007A1CFA"/>
    <w:rsid w:val="007A3DB4"/>
    <w:rsid w:val="007A4734"/>
    <w:rsid w:val="007B0C4E"/>
    <w:rsid w:val="007B10B5"/>
    <w:rsid w:val="007B319E"/>
    <w:rsid w:val="007B421E"/>
    <w:rsid w:val="007B576E"/>
    <w:rsid w:val="007B58BF"/>
    <w:rsid w:val="007C2026"/>
    <w:rsid w:val="007C3404"/>
    <w:rsid w:val="007C6EB3"/>
    <w:rsid w:val="007D10C6"/>
    <w:rsid w:val="007D3C56"/>
    <w:rsid w:val="007D5815"/>
    <w:rsid w:val="007E25DF"/>
    <w:rsid w:val="007E2D61"/>
    <w:rsid w:val="007E4497"/>
    <w:rsid w:val="007E4DD4"/>
    <w:rsid w:val="007F1602"/>
    <w:rsid w:val="007F52D9"/>
    <w:rsid w:val="007F5F6A"/>
    <w:rsid w:val="00801A75"/>
    <w:rsid w:val="00803FB0"/>
    <w:rsid w:val="0080656B"/>
    <w:rsid w:val="00807A82"/>
    <w:rsid w:val="00807F98"/>
    <w:rsid w:val="00813DF1"/>
    <w:rsid w:val="008176AA"/>
    <w:rsid w:val="008300FE"/>
    <w:rsid w:val="00831C17"/>
    <w:rsid w:val="00833F92"/>
    <w:rsid w:val="00853AA3"/>
    <w:rsid w:val="0086169A"/>
    <w:rsid w:val="00861883"/>
    <w:rsid w:val="00861FDA"/>
    <w:rsid w:val="00862F4E"/>
    <w:rsid w:val="00865297"/>
    <w:rsid w:val="00866C0F"/>
    <w:rsid w:val="00877EA6"/>
    <w:rsid w:val="008812F1"/>
    <w:rsid w:val="0088290B"/>
    <w:rsid w:val="00887820"/>
    <w:rsid w:val="00890903"/>
    <w:rsid w:val="00893E97"/>
    <w:rsid w:val="008A3D69"/>
    <w:rsid w:val="008A6F68"/>
    <w:rsid w:val="008B372F"/>
    <w:rsid w:val="008C2582"/>
    <w:rsid w:val="008C2E2D"/>
    <w:rsid w:val="008C4E9E"/>
    <w:rsid w:val="008C6DCE"/>
    <w:rsid w:val="008D30CF"/>
    <w:rsid w:val="008D7977"/>
    <w:rsid w:val="008E065E"/>
    <w:rsid w:val="008E34FD"/>
    <w:rsid w:val="008E5687"/>
    <w:rsid w:val="008E7F94"/>
    <w:rsid w:val="008F131F"/>
    <w:rsid w:val="008F49FB"/>
    <w:rsid w:val="00903162"/>
    <w:rsid w:val="009042C4"/>
    <w:rsid w:val="00905574"/>
    <w:rsid w:val="00905AFD"/>
    <w:rsid w:val="009109CB"/>
    <w:rsid w:val="00911ED8"/>
    <w:rsid w:val="00922B2F"/>
    <w:rsid w:val="0093268D"/>
    <w:rsid w:val="009433B1"/>
    <w:rsid w:val="00950F01"/>
    <w:rsid w:val="00956FC3"/>
    <w:rsid w:val="009577FB"/>
    <w:rsid w:val="0096388F"/>
    <w:rsid w:val="00963B50"/>
    <w:rsid w:val="0096468E"/>
    <w:rsid w:val="00971AF6"/>
    <w:rsid w:val="00972A36"/>
    <w:rsid w:val="00973FDE"/>
    <w:rsid w:val="00981FB1"/>
    <w:rsid w:val="00993670"/>
    <w:rsid w:val="00994B68"/>
    <w:rsid w:val="00995FAE"/>
    <w:rsid w:val="009A37F0"/>
    <w:rsid w:val="009A5A2F"/>
    <w:rsid w:val="009A66ED"/>
    <w:rsid w:val="009B5526"/>
    <w:rsid w:val="009B617C"/>
    <w:rsid w:val="009B694A"/>
    <w:rsid w:val="009B7A42"/>
    <w:rsid w:val="009D0C11"/>
    <w:rsid w:val="009D1C4A"/>
    <w:rsid w:val="009D3A69"/>
    <w:rsid w:val="009D6305"/>
    <w:rsid w:val="009E1F93"/>
    <w:rsid w:val="009F14C0"/>
    <w:rsid w:val="009F2EA4"/>
    <w:rsid w:val="009F54AA"/>
    <w:rsid w:val="00A057CD"/>
    <w:rsid w:val="00A1550B"/>
    <w:rsid w:val="00A166BC"/>
    <w:rsid w:val="00A24EB9"/>
    <w:rsid w:val="00A268B5"/>
    <w:rsid w:val="00A31EFB"/>
    <w:rsid w:val="00A47109"/>
    <w:rsid w:val="00A47953"/>
    <w:rsid w:val="00A50F09"/>
    <w:rsid w:val="00A52582"/>
    <w:rsid w:val="00A56ED7"/>
    <w:rsid w:val="00A61DEF"/>
    <w:rsid w:val="00A64A50"/>
    <w:rsid w:val="00A66A39"/>
    <w:rsid w:val="00A75A3F"/>
    <w:rsid w:val="00A84132"/>
    <w:rsid w:val="00A87F2F"/>
    <w:rsid w:val="00A92639"/>
    <w:rsid w:val="00A93725"/>
    <w:rsid w:val="00A96D13"/>
    <w:rsid w:val="00AA0DC5"/>
    <w:rsid w:val="00AA6ABD"/>
    <w:rsid w:val="00AB2197"/>
    <w:rsid w:val="00AB2BE3"/>
    <w:rsid w:val="00AB3C6A"/>
    <w:rsid w:val="00AB4373"/>
    <w:rsid w:val="00AB4577"/>
    <w:rsid w:val="00AC2D32"/>
    <w:rsid w:val="00AC32FF"/>
    <w:rsid w:val="00AC35D5"/>
    <w:rsid w:val="00AD5C4C"/>
    <w:rsid w:val="00AE236E"/>
    <w:rsid w:val="00AE3488"/>
    <w:rsid w:val="00AE4B03"/>
    <w:rsid w:val="00AF28FB"/>
    <w:rsid w:val="00AF3E79"/>
    <w:rsid w:val="00AF4364"/>
    <w:rsid w:val="00AF5225"/>
    <w:rsid w:val="00B057D7"/>
    <w:rsid w:val="00B05BF8"/>
    <w:rsid w:val="00B063DB"/>
    <w:rsid w:val="00B07103"/>
    <w:rsid w:val="00B15063"/>
    <w:rsid w:val="00B152D4"/>
    <w:rsid w:val="00B1754C"/>
    <w:rsid w:val="00B23BB6"/>
    <w:rsid w:val="00B34C5D"/>
    <w:rsid w:val="00B351BD"/>
    <w:rsid w:val="00B401A7"/>
    <w:rsid w:val="00B5051B"/>
    <w:rsid w:val="00B62259"/>
    <w:rsid w:val="00B6441D"/>
    <w:rsid w:val="00B65616"/>
    <w:rsid w:val="00B77051"/>
    <w:rsid w:val="00B77592"/>
    <w:rsid w:val="00B846C1"/>
    <w:rsid w:val="00B908A3"/>
    <w:rsid w:val="00B95EC9"/>
    <w:rsid w:val="00BA18F1"/>
    <w:rsid w:val="00BA3736"/>
    <w:rsid w:val="00BA61CF"/>
    <w:rsid w:val="00BA6ED8"/>
    <w:rsid w:val="00BA6EF0"/>
    <w:rsid w:val="00BB03CD"/>
    <w:rsid w:val="00BB3ABF"/>
    <w:rsid w:val="00BB3C5F"/>
    <w:rsid w:val="00BC028E"/>
    <w:rsid w:val="00BC68FC"/>
    <w:rsid w:val="00BC69E3"/>
    <w:rsid w:val="00BD74A5"/>
    <w:rsid w:val="00BD7C59"/>
    <w:rsid w:val="00BE66FB"/>
    <w:rsid w:val="00BF4A25"/>
    <w:rsid w:val="00BF67DB"/>
    <w:rsid w:val="00BF72DD"/>
    <w:rsid w:val="00C013BF"/>
    <w:rsid w:val="00C0329E"/>
    <w:rsid w:val="00C059E5"/>
    <w:rsid w:val="00C105F1"/>
    <w:rsid w:val="00C174CB"/>
    <w:rsid w:val="00C2021E"/>
    <w:rsid w:val="00C25C84"/>
    <w:rsid w:val="00C31652"/>
    <w:rsid w:val="00C33530"/>
    <w:rsid w:val="00C34563"/>
    <w:rsid w:val="00C37BC3"/>
    <w:rsid w:val="00C57E2C"/>
    <w:rsid w:val="00C623BB"/>
    <w:rsid w:val="00C644B4"/>
    <w:rsid w:val="00C766B5"/>
    <w:rsid w:val="00C77251"/>
    <w:rsid w:val="00C813EB"/>
    <w:rsid w:val="00C864F0"/>
    <w:rsid w:val="00C87DEC"/>
    <w:rsid w:val="00C92A6B"/>
    <w:rsid w:val="00C95809"/>
    <w:rsid w:val="00C96BC9"/>
    <w:rsid w:val="00CA1235"/>
    <w:rsid w:val="00CA1CBA"/>
    <w:rsid w:val="00CA2375"/>
    <w:rsid w:val="00CB2E35"/>
    <w:rsid w:val="00CB5CAF"/>
    <w:rsid w:val="00CC01BA"/>
    <w:rsid w:val="00CC4234"/>
    <w:rsid w:val="00CD0C23"/>
    <w:rsid w:val="00CD4AFC"/>
    <w:rsid w:val="00CD69BE"/>
    <w:rsid w:val="00CD6DC5"/>
    <w:rsid w:val="00CE591F"/>
    <w:rsid w:val="00CF7349"/>
    <w:rsid w:val="00CF74DB"/>
    <w:rsid w:val="00D01C2D"/>
    <w:rsid w:val="00D144CF"/>
    <w:rsid w:val="00D14E20"/>
    <w:rsid w:val="00D177F0"/>
    <w:rsid w:val="00D23398"/>
    <w:rsid w:val="00D33996"/>
    <w:rsid w:val="00D413F1"/>
    <w:rsid w:val="00D41508"/>
    <w:rsid w:val="00D43561"/>
    <w:rsid w:val="00D5210F"/>
    <w:rsid w:val="00D6022E"/>
    <w:rsid w:val="00D6462F"/>
    <w:rsid w:val="00D64CD9"/>
    <w:rsid w:val="00D66412"/>
    <w:rsid w:val="00D674F2"/>
    <w:rsid w:val="00D71731"/>
    <w:rsid w:val="00D77053"/>
    <w:rsid w:val="00D81FF0"/>
    <w:rsid w:val="00D83B25"/>
    <w:rsid w:val="00D83CBB"/>
    <w:rsid w:val="00D86CD5"/>
    <w:rsid w:val="00D91517"/>
    <w:rsid w:val="00D965DD"/>
    <w:rsid w:val="00DA0B12"/>
    <w:rsid w:val="00DA339A"/>
    <w:rsid w:val="00DA5C61"/>
    <w:rsid w:val="00DB3CF8"/>
    <w:rsid w:val="00DB65A5"/>
    <w:rsid w:val="00DB7A33"/>
    <w:rsid w:val="00DC0CD9"/>
    <w:rsid w:val="00DC4E10"/>
    <w:rsid w:val="00DC550C"/>
    <w:rsid w:val="00DD04ED"/>
    <w:rsid w:val="00DD3C50"/>
    <w:rsid w:val="00DE0109"/>
    <w:rsid w:val="00DE16FB"/>
    <w:rsid w:val="00DE3297"/>
    <w:rsid w:val="00DF2062"/>
    <w:rsid w:val="00DF38DB"/>
    <w:rsid w:val="00DF5AA6"/>
    <w:rsid w:val="00E00D2B"/>
    <w:rsid w:val="00E04D27"/>
    <w:rsid w:val="00E07958"/>
    <w:rsid w:val="00E253E8"/>
    <w:rsid w:val="00E34987"/>
    <w:rsid w:val="00E35F8F"/>
    <w:rsid w:val="00E36D4D"/>
    <w:rsid w:val="00E37EB2"/>
    <w:rsid w:val="00E37F92"/>
    <w:rsid w:val="00E41E13"/>
    <w:rsid w:val="00E41F0C"/>
    <w:rsid w:val="00E424E3"/>
    <w:rsid w:val="00E50363"/>
    <w:rsid w:val="00E51B7A"/>
    <w:rsid w:val="00E6085D"/>
    <w:rsid w:val="00E623BC"/>
    <w:rsid w:val="00E629C2"/>
    <w:rsid w:val="00E71DEE"/>
    <w:rsid w:val="00E73425"/>
    <w:rsid w:val="00E851C6"/>
    <w:rsid w:val="00E9143E"/>
    <w:rsid w:val="00E915CA"/>
    <w:rsid w:val="00E93933"/>
    <w:rsid w:val="00E93A68"/>
    <w:rsid w:val="00E96E87"/>
    <w:rsid w:val="00EA1F21"/>
    <w:rsid w:val="00EA6F03"/>
    <w:rsid w:val="00EB3368"/>
    <w:rsid w:val="00EB3859"/>
    <w:rsid w:val="00ED0C64"/>
    <w:rsid w:val="00ED769C"/>
    <w:rsid w:val="00EE1EC2"/>
    <w:rsid w:val="00EE3F34"/>
    <w:rsid w:val="00EF0E3F"/>
    <w:rsid w:val="00EF1063"/>
    <w:rsid w:val="00EF171D"/>
    <w:rsid w:val="00EF41B3"/>
    <w:rsid w:val="00EF65B7"/>
    <w:rsid w:val="00EF7B0B"/>
    <w:rsid w:val="00F0221D"/>
    <w:rsid w:val="00F03179"/>
    <w:rsid w:val="00F0463F"/>
    <w:rsid w:val="00F05CE7"/>
    <w:rsid w:val="00F0689B"/>
    <w:rsid w:val="00F10F1F"/>
    <w:rsid w:val="00F11073"/>
    <w:rsid w:val="00F1251F"/>
    <w:rsid w:val="00F21D4F"/>
    <w:rsid w:val="00F21DC1"/>
    <w:rsid w:val="00F22977"/>
    <w:rsid w:val="00F23084"/>
    <w:rsid w:val="00F232F8"/>
    <w:rsid w:val="00F25098"/>
    <w:rsid w:val="00F32F2C"/>
    <w:rsid w:val="00F42B7F"/>
    <w:rsid w:val="00F445D8"/>
    <w:rsid w:val="00F45654"/>
    <w:rsid w:val="00F46BBA"/>
    <w:rsid w:val="00F54F79"/>
    <w:rsid w:val="00F553F2"/>
    <w:rsid w:val="00F640BB"/>
    <w:rsid w:val="00F65035"/>
    <w:rsid w:val="00F67627"/>
    <w:rsid w:val="00F70A66"/>
    <w:rsid w:val="00F72319"/>
    <w:rsid w:val="00F75F25"/>
    <w:rsid w:val="00F765AE"/>
    <w:rsid w:val="00F91943"/>
    <w:rsid w:val="00FA20DF"/>
    <w:rsid w:val="00FB1AF5"/>
    <w:rsid w:val="00FB5469"/>
    <w:rsid w:val="00FB7276"/>
    <w:rsid w:val="00FB74D7"/>
    <w:rsid w:val="00FC0A99"/>
    <w:rsid w:val="00FC356D"/>
    <w:rsid w:val="00FC5911"/>
    <w:rsid w:val="00FC6DC4"/>
    <w:rsid w:val="00FC6F05"/>
    <w:rsid w:val="00FD110E"/>
    <w:rsid w:val="00FD212D"/>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68FC"/>
  <w15:chartTrackingRefBased/>
  <w15:docId w15:val="{ADF82E84-2A01-45A1-BDD4-755B66F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B77051"/>
    <w:pPr>
      <w:tabs>
        <w:tab w:val="left" w:pos="-9708"/>
        <w:tab w:val="left" w:pos="-9588"/>
      </w:tabs>
    </w:pPr>
    <w:rPr>
      <w:bCs/>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semiHidden/>
    <w:unhideWhenUsed/>
    <w:rsid w:val="00410FF9"/>
    <w:pPr>
      <w:tabs>
        <w:tab w:val="center" w:pos="4819"/>
        <w:tab w:val="right" w:pos="9638"/>
      </w:tabs>
    </w:pPr>
  </w:style>
  <w:style w:type="character" w:customStyle="1" w:styleId="PoratDiagrama">
    <w:name w:val="Poraštė Diagrama"/>
    <w:link w:val="Porat"/>
    <w:uiPriority w:val="99"/>
    <w:semiHidden/>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uiPriority w:val="34"/>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iPriority w:val="99"/>
    <w:semiHidden/>
    <w:unhideWhenUsed/>
    <w:rsid w:val="007A1CFA"/>
    <w:rPr>
      <w:sz w:val="16"/>
      <w:szCs w:val="16"/>
    </w:rPr>
  </w:style>
  <w:style w:type="paragraph" w:styleId="Komentarotekstas">
    <w:name w:val="annotation text"/>
    <w:basedOn w:val="prastasis"/>
    <w:link w:val="KomentarotekstasDiagrama"/>
    <w:uiPriority w:val="99"/>
    <w:semiHidden/>
    <w:unhideWhenUsed/>
    <w:rsid w:val="007A1CFA"/>
    <w:rPr>
      <w:sz w:val="20"/>
      <w:szCs w:val="20"/>
    </w:rPr>
  </w:style>
  <w:style w:type="character" w:customStyle="1" w:styleId="KomentarotekstasDiagrama">
    <w:name w:val="Komentaro tekstas Diagrama"/>
    <w:link w:val="Komentarotekstas"/>
    <w:uiPriority w:val="99"/>
    <w:semiHidden/>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paragraph" w:styleId="prastasiniatinklio">
    <w:name w:val="Normal (Web)"/>
    <w:basedOn w:val="prastasis"/>
    <w:uiPriority w:val="99"/>
    <w:unhideWhenUsed/>
    <w:rsid w:val="007E4497"/>
    <w:pPr>
      <w:spacing w:before="100" w:beforeAutospacing="1" w:after="100" w:afterAutospacing="1"/>
      <w:jc w:val="left"/>
    </w:pPr>
    <w:rPr>
      <w:lang w:eastAsia="lt-LT"/>
    </w:rPr>
  </w:style>
  <w:style w:type="paragraph" w:styleId="Puslapioinaostekstas">
    <w:name w:val="footnote text"/>
    <w:basedOn w:val="prastasis"/>
    <w:link w:val="PuslapioinaostekstasDiagrama"/>
    <w:uiPriority w:val="99"/>
    <w:semiHidden/>
    <w:unhideWhenUsed/>
    <w:rsid w:val="00AF3E79"/>
    <w:rPr>
      <w:sz w:val="20"/>
      <w:szCs w:val="20"/>
    </w:rPr>
  </w:style>
  <w:style w:type="character" w:customStyle="1" w:styleId="PuslapioinaostekstasDiagrama">
    <w:name w:val="Puslapio išnašos tekstas Diagrama"/>
    <w:link w:val="Puslapioinaostekstas"/>
    <w:uiPriority w:val="99"/>
    <w:semiHidden/>
    <w:rsid w:val="00AF3E79"/>
    <w:rPr>
      <w:lang w:eastAsia="en-US"/>
    </w:rPr>
  </w:style>
  <w:style w:type="character" w:styleId="Puslapioinaosnuoroda">
    <w:name w:val="footnote reference"/>
    <w:uiPriority w:val="99"/>
    <w:semiHidden/>
    <w:unhideWhenUsed/>
    <w:rsid w:val="00AF3E79"/>
    <w:rPr>
      <w:vertAlign w:val="superscript"/>
    </w:rPr>
  </w:style>
  <w:style w:type="paragraph" w:styleId="Betarp">
    <w:name w:val="No Spacing"/>
    <w:uiPriority w:val="1"/>
    <w:qFormat/>
    <w:rsid w:val="00292C1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C341-4E2E-4C14-89EA-8032AEEC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11274</Characters>
  <Application>Microsoft Office Word</Application>
  <DocSecurity>4</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12777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2019-07-30T08:02:00Z</dcterms:created>
  <dc:creator>Ruta Atociunaite</dc:creator>
  <cp:lastModifiedBy>Jurgita Norkienė</cp:lastModifiedBy>
  <cp:lastPrinted>2012-07-24T07:42:00Z</cp:lastPrinted>
  <dcterms:modified xsi:type="dcterms:W3CDTF">2019-07-30T08:02:00Z</dcterms:modified>
  <cp:revision>2</cp:revision>
  <dc:title>Derinimo pažyma</dc:title>
</cp:coreProperties>
</file>