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AB8FC95B-4863-4B2F-BAC3-78C566E7D5F1" style="width:450.25pt;height:362.15pt">
            <v:imagedata r:id="rId13" o:title=""/>
          </v:shape>
        </w:pict>
      </w:r>
    </w:p>
    <w:bookmarkEnd w:id="0"/>
    <w:p>
      <w:pPr>
        <w:jc w:val="both"/>
        <w:rPr>
          <w:noProof/>
        </w:rPr>
        <w:sectPr>
          <w:headerReference w:type="even" r:id="rId14"/>
          <w:headerReference w:type="default" r:id="rId15"/>
          <w:footerReference w:type="even" r:id="rId16"/>
          <w:footerReference w:type="default" r:id="rId17"/>
          <w:headerReference w:type="first" r:id="rId18"/>
          <w:footerReference w:type="first" r:id="rId19"/>
          <w:pgSz w:w="11906" w:h="16838"/>
          <w:pgMar w:top="1134" w:right="1417" w:bottom="1134" w:left="1417" w:header="709" w:footer="709" w:gutter="0"/>
          <w:pgNumType w:start="0"/>
          <w:cols w:space="720"/>
          <w:docGrid w:linePitch="360"/>
        </w:sectPr>
      </w:pPr>
    </w:p>
    <w:p>
      <w:pPr>
        <w:spacing w:after="200" w:line="275" w:lineRule="auto"/>
        <w:rPr>
          <w:noProof/>
        </w:rPr>
      </w:pPr>
      <w:bookmarkStart w:id="1" w:name="_GoBack"/>
      <w:bookmarkEnd w:id="1"/>
    </w:p>
    <w:p>
      <w:pPr>
        <w:pStyle w:val="Typedudocument"/>
        <w:rPr>
          <w:noProof/>
        </w:rPr>
      </w:pPr>
      <w:r>
        <w:rPr>
          <w:noProof/>
        </w:rPr>
        <w:t>KOMISIJOS KOMUNIKATAS EUROPOS PARLAMENTUI, EUROPOS VADOVŲ TARYBAI, TARYBAI, EUROPOS CENTRINIAM BANKUI, EUROPOS EKONOMIKOS IR SOCIALINIŲ REIKALŲ KOMITETUI, REGIONŲ KOMITETUI IR EUROPOS INVESTICIJŲ BANKUI</w:t>
      </w:r>
      <w:r>
        <w:rPr>
          <w:noProof/>
        </w:rPr>
        <w:br/>
      </w:r>
    </w:p>
    <w:p>
      <w:pPr>
        <w:pStyle w:val="Titreobjet"/>
        <w:rPr>
          <w:noProof/>
        </w:rPr>
      </w:pPr>
      <w:r>
        <w:rPr>
          <w:noProof/>
        </w:rPr>
        <w:t>Pasirengimas Jungtinės Karalystės išstojimui iš Europos Sąjungos 2019 m. kovo 30 d. Veiksmų planas nenumatytiems atvejams</w:t>
      </w: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pStyle w:val="ListParagraph"/>
        <w:spacing w:before="360" w:after="200"/>
        <w:ind w:left="360"/>
        <w:contextualSpacing/>
        <w:rPr>
          <w:rFonts w:ascii="Times New Roman" w:eastAsia="Times New Roman" w:hAnsi="Times New Roman"/>
          <w:b/>
          <w:noProof/>
          <w:sz w:val="24"/>
          <w:szCs w:val="24"/>
        </w:rPr>
      </w:pPr>
    </w:p>
    <w:p>
      <w:pPr>
        <w:spacing w:after="120"/>
        <w:jc w:val="right"/>
        <w:rPr>
          <w:i/>
          <w:noProof/>
        </w:rPr>
      </w:pPr>
    </w:p>
    <w:p>
      <w:pPr>
        <w:jc w:val="right"/>
        <w:rPr>
          <w:rFonts w:ascii="Times New Roman" w:eastAsia="Times New Roman" w:hAnsi="Times New Roman"/>
          <w:i/>
          <w:noProof/>
          <w:sz w:val="24"/>
          <w:szCs w:val="24"/>
        </w:rPr>
      </w:pPr>
      <w:r>
        <w:rPr>
          <w:rFonts w:ascii="Times New Roman" w:hAnsi="Times New Roman"/>
          <w:i/>
          <w:noProof/>
          <w:sz w:val="24"/>
        </w:rPr>
        <w:t>Europos Vadovų Taryba pakartoja savo raginimą valstybėms narėms, Sąjungos institucijoms ir visiems suinteresuotiesiems subjektams suintensyvinti parengiamąjį darbą visais lygmenimis ir rengiantis visiems galimiems rezultatams.</w:t>
      </w:r>
    </w:p>
    <w:p>
      <w:pPr>
        <w:jc w:val="right"/>
        <w:rPr>
          <w:rFonts w:ascii="Times New Roman" w:eastAsia="Times New Roman" w:hAnsi="Times New Roman"/>
          <w:noProof/>
          <w:sz w:val="16"/>
          <w:szCs w:val="16"/>
        </w:rPr>
      </w:pPr>
      <w:r>
        <w:rPr>
          <w:rFonts w:ascii="Times New Roman" w:hAnsi="Times New Roman"/>
          <w:noProof/>
          <w:sz w:val="16"/>
        </w:rPr>
        <w:t>Europos Vadovų Taryba (50 straipsnis), 2018 m. birželio 29 d.</w:t>
      </w:r>
      <w:r>
        <w:rPr>
          <w:rStyle w:val="FootnoteReference"/>
          <w:rFonts w:ascii="Times New Roman" w:hAnsi="Times New Roman"/>
          <w:noProof/>
          <w:sz w:val="18"/>
        </w:rPr>
        <w:footnoteReference w:id="1"/>
      </w:r>
    </w:p>
    <w:p>
      <w:pPr>
        <w:spacing w:before="360" w:after="200"/>
        <w:contextualSpacing/>
        <w:jc w:val="both"/>
        <w:rPr>
          <w:rFonts w:ascii="Times New Roman" w:eastAsia="Times New Roman" w:hAnsi="Times New Roman"/>
          <w:b/>
          <w:noProof/>
          <w:sz w:val="24"/>
          <w:szCs w:val="24"/>
        </w:rPr>
      </w:pPr>
    </w:p>
    <w:p>
      <w:pPr>
        <w:pStyle w:val="ListParagraph"/>
        <w:numPr>
          <w:ilvl w:val="0"/>
          <w:numId w:val="27"/>
        </w:numPr>
        <w:spacing w:before="360" w:after="200"/>
        <w:ind w:hanging="720"/>
        <w:contextualSpacing/>
        <w:jc w:val="both"/>
        <w:rPr>
          <w:rFonts w:ascii="Times New Roman" w:eastAsia="Times New Roman" w:hAnsi="Times New Roman"/>
          <w:b/>
          <w:noProof/>
          <w:sz w:val="24"/>
          <w:szCs w:val="24"/>
        </w:rPr>
      </w:pPr>
      <w:r>
        <w:rPr>
          <w:rFonts w:ascii="Times New Roman" w:hAnsi="Times New Roman"/>
          <w:b/>
          <w:noProof/>
          <w:sz w:val="24"/>
        </w:rPr>
        <w:t>Įvadas</w:t>
      </w:r>
    </w:p>
    <w:p>
      <w:pPr>
        <w:spacing w:after="200"/>
        <w:jc w:val="both"/>
        <w:rPr>
          <w:rFonts w:ascii="Times New Roman" w:eastAsia="Times New Roman" w:hAnsi="Times New Roman"/>
          <w:noProof/>
          <w:sz w:val="24"/>
          <w:szCs w:val="24"/>
        </w:rPr>
      </w:pPr>
      <w:r>
        <w:rPr>
          <w:rFonts w:ascii="Times New Roman" w:hAnsi="Times New Roman"/>
          <w:noProof/>
          <w:sz w:val="24"/>
        </w:rPr>
        <w:t>Jungtinė Karalystė nusprendė išstoti iš Europos Sąjungos, pasinaudodama Europos Sąjungos sutarties 50 straipsnyje numatyta procedūra. Komisija dėl tokio sprendimo apgailestauja, tačiau jį gerbia.</w:t>
      </w:r>
    </w:p>
    <w:p>
      <w:pPr>
        <w:spacing w:after="200"/>
        <w:jc w:val="both"/>
        <w:rPr>
          <w:rFonts w:ascii="Times New Roman" w:eastAsia="Times New Roman" w:hAnsi="Times New Roman"/>
          <w:noProof/>
          <w:sz w:val="24"/>
          <w:szCs w:val="24"/>
        </w:rPr>
      </w:pPr>
      <w:r>
        <w:rPr>
          <w:rFonts w:ascii="Times New Roman" w:hAnsi="Times New Roman"/>
          <w:noProof/>
          <w:sz w:val="24"/>
        </w:rPr>
        <w:t>2019 m. kovo 30 d.</w:t>
      </w:r>
      <w:r>
        <w:rPr>
          <w:rStyle w:val="FootnoteReference"/>
          <w:rFonts w:ascii="Times New Roman" w:hAnsi="Times New Roman"/>
          <w:noProof/>
          <w:sz w:val="24"/>
        </w:rPr>
        <w:footnoteReference w:id="2"/>
      </w:r>
      <w:r>
        <w:rPr>
          <w:rFonts w:ascii="Times New Roman" w:hAnsi="Times New Roman"/>
          <w:noProof/>
          <w:sz w:val="24"/>
        </w:rPr>
        <w:t xml:space="preserve"> Jungtinė Karalystė taps trečiąja šalimi. Nuo to momento Jungtinei Karalystei nebebus taikoma visa Sąjungos pirminė ir antrinė teisė, nebent ratifikuotame susitarime dėl išstojimo būtų nustatyta kita data. </w:t>
      </w:r>
    </w:p>
    <w:p>
      <w:pPr>
        <w:pStyle w:val="NormalWeb"/>
        <w:spacing w:before="100" w:beforeAutospacing="1" w:after="100" w:afterAutospacing="1"/>
        <w:jc w:val="both"/>
        <w:rPr>
          <w:noProof/>
        </w:rPr>
      </w:pPr>
      <w:r>
        <w:rPr>
          <w:noProof/>
        </w:rPr>
        <w:t>Kaip pabrėžiama  2018 m. liepos 19 d. Komisijos paskelbtame pirmajame komunikate dėl pasirengimo „Brexit’ui“</w:t>
      </w:r>
      <w:r>
        <w:rPr>
          <w:rStyle w:val="FootnoteReference"/>
          <w:noProof/>
          <w:sz w:val="24"/>
        </w:rPr>
        <w:footnoteReference w:id="3"/>
      </w:r>
      <w:r>
        <w:rPr>
          <w:noProof/>
        </w:rPr>
        <w:t xml:space="preserve">, nepriklausomai nuo numatyto scenarijaus, Jungtinės Karalystės pasirinkimas sukels didelių trikdžių. Todėl Komisija nuolat ragina Europos piliečius, įmones </w:t>
      </w:r>
      <w:r>
        <w:rPr>
          <w:noProof/>
        </w:rPr>
        <w:lastRenderedPageBreak/>
        <w:t>ir valstybes nares pasirengti visiems įmanomiems scenarijams, įvertinti susijusią riziką ir susiplanuoti jos mažinimo veiksmus. 2018 m. birželio 29 d. Europos Vadovų Taryba pakartojo savo raginimą valstybėms narėms, Sąjungos institucijoms ir visiems suinteresuotiesiems subjektams suintensyvinti parengiamąjį darbą visais lygmenimis ir rengtis visiems galimiems variantams</w:t>
      </w:r>
      <w:r>
        <w:rPr>
          <w:rStyle w:val="FootnoteReference"/>
          <w:noProof/>
          <w:sz w:val="24"/>
        </w:rPr>
        <w:footnoteReference w:id="4"/>
      </w:r>
      <w:r>
        <w:rPr>
          <w:noProof/>
        </w:rPr>
        <w:t xml:space="preserve">. </w:t>
      </w:r>
    </w:p>
    <w:p>
      <w:pPr>
        <w:pStyle w:val="NormalWeb"/>
        <w:spacing w:before="280" w:beforeAutospacing="1" w:after="280" w:afterAutospacing="1"/>
        <w:jc w:val="both"/>
        <w:rPr>
          <w:noProof/>
        </w:rPr>
      </w:pPr>
      <w:r>
        <w:rPr>
          <w:noProof/>
        </w:rPr>
        <w:t xml:space="preserve">Šiuo komunikatu siekiama reaguoti į minėtą raginimą ir daugiausia dėmesio skirti išstojimo be susitarimo scenarijui. Jame nurodomos svarbiausios sritys ir veiksmai, kurių reikia imtis, taip pat kokia forma galėtų vykti valstybių narių diskusijos ir veiksmų koordinavimas nuo 2018 m. lapkričio mėn. iki 2019 m. kovo 29 d. </w:t>
      </w:r>
    </w:p>
    <w:p>
      <w:pPr>
        <w:spacing w:after="200"/>
        <w:jc w:val="both"/>
        <w:rPr>
          <w:rFonts w:ascii="Times New Roman" w:eastAsia="Times New Roman" w:hAnsi="Times New Roman"/>
          <w:noProof/>
          <w:sz w:val="24"/>
          <w:szCs w:val="24"/>
        </w:rPr>
      </w:pPr>
      <w:r>
        <w:rPr>
          <w:rFonts w:ascii="Times New Roman" w:hAnsi="Times New Roman"/>
          <w:noProof/>
          <w:sz w:val="24"/>
        </w:rPr>
        <w:t>ES ir Jungtinė Karalystė dėl susitarimo dėl išstojimo derasi nuo 2017 m. gegužės mėn. Derybininkų lygmeniu padaryta pažanga dėl teisinio teksto, įskaitant tvarką pereinamuoju laikotarpiu iki 2020 m. gruodžio 31 d., ir tas tekstas paskelbtas 2018 m. kovo 19 d.</w:t>
      </w:r>
      <w:r>
        <w:rPr>
          <w:rStyle w:val="FootnoteReference"/>
          <w:rFonts w:ascii="Times New Roman" w:hAnsi="Times New Roman"/>
          <w:noProof/>
          <w:sz w:val="24"/>
        </w:rPr>
        <w:footnoteReference w:id="5"/>
      </w:r>
      <w:r>
        <w:rPr>
          <w:rFonts w:ascii="Times New Roman" w:hAnsi="Times New Roman"/>
          <w:noProof/>
          <w:sz w:val="24"/>
        </w:rPr>
        <w:t>. Apie tolesnę pažangą pranešta 2018 m. birželio 19 d. Komisijos ir JK derybininkų bendrame pareiškime</w:t>
      </w:r>
      <w:r>
        <w:rPr>
          <w:rStyle w:val="FootnoteReference"/>
          <w:rFonts w:ascii="Times New Roman" w:hAnsi="Times New Roman"/>
          <w:noProof/>
          <w:sz w:val="24"/>
        </w:rPr>
        <w:footnoteReference w:id="6"/>
      </w:r>
      <w:r>
        <w:rPr>
          <w:rFonts w:ascii="Times New Roman" w:hAnsi="Times New Roman"/>
          <w:noProof/>
          <w:sz w:val="24"/>
        </w:rPr>
        <w:t>. 2018 m. spalio 17 d. Europos Vadovų Taryba (50 straipsnis) paragino Komisiją, kaip Sąjungos derybininkę, toliau siekti susitarimo laikantis anksčiau suderintų Europos Vadovų Tarybos gairių. Šios derybos tebevyksta, o Sąjungos derybininkė Komisija ir toliau yra pasiryžusi susitarti dėl tvarkingo išstojimo. Nors pažanga padaryta daugeliu atžvilgių , yra sričių, dėl kurių nesusitariama nepaisant didelių pastangų ir intensyvių derybų. Be to, jei susitarimas su JK Vyriausybe ir būtų pasiektas, nėra garantijos, kad Jungtinė Karalystė susitarimą dėl išstojimo ratifikuotų iki 2019 m. kovo 29 d.</w:t>
      </w:r>
    </w:p>
    <w:p>
      <w:pPr>
        <w:pStyle w:val="ListParagraph"/>
        <w:numPr>
          <w:ilvl w:val="0"/>
          <w:numId w:val="27"/>
        </w:numPr>
        <w:spacing w:before="600" w:after="120"/>
        <w:ind w:hanging="720"/>
        <w:jc w:val="both"/>
        <w:rPr>
          <w:rFonts w:ascii="Times New Roman" w:eastAsia="Times New Roman" w:hAnsi="Times New Roman"/>
          <w:b/>
          <w:noProof/>
          <w:sz w:val="24"/>
          <w:szCs w:val="24"/>
        </w:rPr>
      </w:pPr>
      <w:r>
        <w:rPr>
          <w:rFonts w:ascii="Times New Roman" w:hAnsi="Times New Roman"/>
          <w:b/>
          <w:noProof/>
          <w:sz w:val="24"/>
        </w:rPr>
        <w:t>Būtinybė pasirengti. ES lygmens veiksmai</w:t>
      </w:r>
    </w:p>
    <w:p>
      <w:pPr>
        <w:spacing w:before="120" w:after="120"/>
        <w:jc w:val="both"/>
        <w:rPr>
          <w:rFonts w:ascii="Times New Roman" w:eastAsia="Times New Roman" w:hAnsi="Times New Roman"/>
          <w:noProof/>
          <w:sz w:val="24"/>
          <w:szCs w:val="24"/>
        </w:rPr>
      </w:pPr>
      <w:r>
        <w:rPr>
          <w:rFonts w:ascii="Times New Roman" w:hAnsi="Times New Roman"/>
          <w:b/>
          <w:noProof/>
          <w:sz w:val="24"/>
        </w:rPr>
        <w:t>Lygiagrečiai deryboms vyksta</w:t>
      </w:r>
      <w:r>
        <w:rPr>
          <w:rFonts w:ascii="Times New Roman" w:hAnsi="Times New Roman"/>
          <w:noProof/>
          <w:sz w:val="24"/>
        </w:rPr>
        <w:t xml:space="preserve"> ir pasirengimo Jungtinės Karalystės išstojimui darbai. Komisija ir toliau visapusiškai atliks savo vaidmenį. </w:t>
      </w:r>
    </w:p>
    <w:p>
      <w:pPr>
        <w:spacing w:after="200"/>
        <w:jc w:val="both"/>
        <w:rPr>
          <w:rFonts w:ascii="Times New Roman" w:eastAsia="Times New Roman" w:hAnsi="Times New Roman"/>
          <w:noProof/>
          <w:sz w:val="24"/>
          <w:szCs w:val="24"/>
        </w:rPr>
      </w:pPr>
      <w:r>
        <w:rPr>
          <w:rFonts w:ascii="Times New Roman" w:hAnsi="Times New Roman"/>
          <w:noProof/>
          <w:sz w:val="24"/>
        </w:rPr>
        <w:t xml:space="preserve">Komisija </w:t>
      </w:r>
      <w:r>
        <w:rPr>
          <w:rFonts w:ascii="Times New Roman" w:hAnsi="Times New Roman"/>
          <w:b/>
          <w:noProof/>
          <w:sz w:val="24"/>
        </w:rPr>
        <w:t xml:space="preserve">peržiūrėjo ES </w:t>
      </w:r>
      <w:r>
        <w:rPr>
          <w:rFonts w:ascii="Times New Roman" w:hAnsi="Times New Roman"/>
          <w:b/>
          <w:i/>
          <w:noProof/>
          <w:sz w:val="24"/>
        </w:rPr>
        <w:t>acquis</w:t>
      </w:r>
      <w:r>
        <w:rPr>
          <w:rFonts w:ascii="Times New Roman" w:hAnsi="Times New Roman"/>
          <w:noProof/>
          <w:sz w:val="24"/>
        </w:rPr>
        <w:t xml:space="preserve">, t. y. pagal ES teisę galiojančias taisykles, siekdama išsiaiškinti, kurias taisykles reikės pritaikyti bet kokiu atveju ir kokių priemonių reikės imtis tuo atveju, jei susitarimas nebus sudarytas. Po šios peržiūros Komisija pateikė </w:t>
      </w:r>
      <w:r>
        <w:rPr>
          <w:rFonts w:ascii="Times New Roman" w:hAnsi="Times New Roman"/>
          <w:b/>
          <w:noProof/>
          <w:sz w:val="24"/>
        </w:rPr>
        <w:t>aštuonis pasiūlymus dėl teisėkūros procedūra priimamų pasirengimo priemonių</w:t>
      </w:r>
      <w:r>
        <w:rPr>
          <w:rFonts w:ascii="Times New Roman" w:hAnsi="Times New Roman"/>
          <w:noProof/>
          <w:sz w:val="24"/>
        </w:rPr>
        <w:t xml:space="preserve">, kurios turi būti priimtos neatsižvelgiant į tai, ar Jungtinės Karalystės išstojimas bus tvarkingas, ar ne. Šios priemonės pristatytos 1 priede. Tai, pavyzdžiui, automobilinių transporto priemonių patvirtinimo ar laivų kontrolės organizacijoms taikomų taisyklių pritaikymai, taip pat Pasaulio prekybos organizacijoje Europos Sąjungos prekių darbotvarkėje nurodytų tarifinių kvotų pasidalijimas tarp ES 27 ir JK. Kartu su šiuo komunikatu Komisija priėmė du paskutinius pasiūlymus: vienas iš jų yra dėl </w:t>
      </w:r>
      <w:r>
        <w:rPr>
          <w:noProof/>
        </w:rPr>
        <w:t xml:space="preserve"> </w:t>
      </w:r>
      <w:r>
        <w:rPr>
          <w:rFonts w:ascii="Times New Roman" w:hAnsi="Times New Roman"/>
          <w:noProof/>
          <w:sz w:val="24"/>
        </w:rPr>
        <w:t>nuorodų į 2030 m. ES energijos vartojimo efektyvumo tikslus (išreikštus absoliučiomis vertėmis) pritaikymo, o kitas – dėl vizų taisyklių, kurios bus taikomos JK piliečiams Jungtinei Karalystei išstojus iš Sąjungos</w:t>
      </w:r>
      <w:r>
        <w:rPr>
          <w:rStyle w:val="FootnoteReference"/>
          <w:rFonts w:ascii="Times New Roman" w:hAnsi="Times New Roman"/>
          <w:noProof/>
        </w:rPr>
        <w:footnoteReference w:id="7"/>
      </w:r>
      <w:r>
        <w:rPr>
          <w:rFonts w:ascii="Times New Roman" w:hAnsi="Times New Roman"/>
          <w:noProof/>
          <w:sz w:val="24"/>
        </w:rPr>
        <w:t>.</w:t>
      </w:r>
    </w:p>
    <w:p>
      <w:pPr>
        <w:spacing w:after="200"/>
        <w:jc w:val="both"/>
        <w:rPr>
          <w:rFonts w:ascii="Times New Roman" w:eastAsia="Times New Roman" w:hAnsi="Times New Roman"/>
          <w:noProof/>
          <w:sz w:val="24"/>
          <w:szCs w:val="24"/>
        </w:rPr>
      </w:pPr>
      <w:r>
        <w:rPr>
          <w:rFonts w:ascii="Times New Roman" w:hAnsi="Times New Roman"/>
          <w:noProof/>
          <w:sz w:val="24"/>
        </w:rPr>
        <w:t xml:space="preserve">Be to, priimta arba rengiama keletas bet kuriuo atveju reikalingų </w:t>
      </w:r>
      <w:r>
        <w:rPr>
          <w:rFonts w:ascii="Times New Roman" w:hAnsi="Times New Roman"/>
          <w:b/>
          <w:noProof/>
          <w:sz w:val="24"/>
        </w:rPr>
        <w:t>įgyvendinimo ir deleguotųjų aktų</w:t>
      </w:r>
      <w:r>
        <w:rPr>
          <w:rFonts w:ascii="Times New Roman" w:hAnsi="Times New Roman"/>
          <w:noProof/>
          <w:sz w:val="24"/>
        </w:rPr>
        <w:t xml:space="preserve">. Pavyzdžiui, dėl Jungtinės Karalystės traktavimo statistinių duomenų kontekste, dėl jos kaip pranešėjos tam tikrų cheminių medžiagų vertinimo klausimais funkcijos perdavimo kitoms valstybėms narėms ir dėl vaistų rinkodaros leidimų pakeitimų. Visi šie konkrečiai su „Brexit’u“ susiję aktai pristatyti 2 priede. </w:t>
      </w:r>
    </w:p>
    <w:p>
      <w:pPr>
        <w:spacing w:after="200"/>
        <w:jc w:val="both"/>
        <w:rPr>
          <w:rFonts w:ascii="Times New Roman" w:eastAsia="Times New Roman" w:hAnsi="Times New Roman"/>
          <w:noProof/>
          <w:sz w:val="24"/>
          <w:szCs w:val="24"/>
        </w:rPr>
      </w:pPr>
      <w:r>
        <w:rPr>
          <w:rFonts w:ascii="Times New Roman" w:hAnsi="Times New Roman"/>
          <w:noProof/>
          <w:sz w:val="24"/>
        </w:rPr>
        <w:t xml:space="preserve">Komisija taip pat bendradarbiauja su </w:t>
      </w:r>
      <w:r>
        <w:rPr>
          <w:rFonts w:ascii="Times New Roman" w:hAnsi="Times New Roman"/>
          <w:b/>
          <w:noProof/>
          <w:sz w:val="24"/>
        </w:rPr>
        <w:t>atitinkamomis agentūromis</w:t>
      </w:r>
      <w:r>
        <w:rPr>
          <w:rFonts w:ascii="Times New Roman" w:hAnsi="Times New Roman"/>
          <w:noProof/>
          <w:sz w:val="24"/>
        </w:rPr>
        <w:t>. Pavyzdžiui, atsižvelgdama į aviacijos sektoriaus ypatumus, Komisija paragino Europos aviacijos saugos agentūrą (EASA), rengiantis tam laikui, kai Jungtinė Karalystė nebebus valstybė narė, pradėti tvarkyti tam tikras JK subjektų paraiškas. Europos vaistų agentūra (EMA) atliko keletą tyrimų ir prireikus susisiekė su ES rinkodaros leidimų turėtojais, kad primintų jiems apie būtinybę imtis reikiamų pasirengimo priemonių. Europos cheminių medžiagų agentūra (ECHA), Bendrijos augalų veislių tarnyba (CPVO) ir EMA perskirstė Jungtinės Karalystės turėtas reglamentavimo funkcijas kitoms valstybėms narėms.</w:t>
      </w:r>
    </w:p>
    <w:p>
      <w:pPr>
        <w:spacing w:after="200"/>
        <w:jc w:val="both"/>
        <w:rPr>
          <w:rFonts w:ascii="Times New Roman" w:eastAsia="Times New Roman" w:hAnsi="Times New Roman"/>
          <w:noProof/>
          <w:sz w:val="24"/>
          <w:szCs w:val="24"/>
        </w:rPr>
      </w:pPr>
      <w:r>
        <w:rPr>
          <w:rFonts w:ascii="Times New Roman" w:hAnsi="Times New Roman"/>
          <w:noProof/>
          <w:sz w:val="24"/>
        </w:rPr>
        <w:t xml:space="preserve">Be to, Sąjunga imasi visų reikiamų priemonių, kad užtikrintų, jog Jungtinėje Karalystėje esančios ES agentūros ir įstaigos (pvz., Europos vaistų agentūra, Europos bankininkystės institucija, Šiaurės jūros patariamoji taryba, „Galileo“ saugumo stebėsenos centro atsarginė stotis ir operacijų būstinė) iki išstojimo dienos būtų perkeltos į ES 27. </w:t>
      </w:r>
    </w:p>
    <w:p>
      <w:pPr>
        <w:spacing w:after="200"/>
        <w:jc w:val="both"/>
        <w:rPr>
          <w:rFonts w:ascii="Times New Roman" w:eastAsia="Times New Roman" w:hAnsi="Times New Roman"/>
          <w:noProof/>
          <w:sz w:val="24"/>
          <w:szCs w:val="24"/>
        </w:rPr>
      </w:pPr>
      <w:r>
        <w:rPr>
          <w:rFonts w:ascii="Times New Roman" w:hAnsi="Times New Roman"/>
          <w:noProof/>
          <w:sz w:val="24"/>
        </w:rPr>
        <w:t xml:space="preserve">Siekdama Sąjungos interesų Komisija taip pat remia Jungtinės Karalystės siekį užsitikrinti prisijungimą prie Konvencijos dėl bendrosios tranzito procedūros kaip ES nepriklausanti tranzito šalis, jei ji bus pasirengusi laikytis Konvencijos reikalavimų, ir prie Konvencijos dėl prekybos prekėmis formalumų supaprastinimo. Dėl tos pačios priežasties Komisija remia Jungtinės Karalystės prisijungimą ir prie Sutarties dėl viešųjų pirkimų. </w:t>
      </w:r>
    </w:p>
    <w:p>
      <w:pPr>
        <w:spacing w:after="200"/>
        <w:jc w:val="both"/>
        <w:rPr>
          <w:rFonts w:ascii="Times New Roman" w:eastAsia="Times New Roman" w:hAnsi="Times New Roman"/>
          <w:noProof/>
          <w:sz w:val="24"/>
          <w:szCs w:val="24"/>
        </w:rPr>
      </w:pPr>
      <w:r>
        <w:rPr>
          <w:rFonts w:ascii="Times New Roman" w:hAnsi="Times New Roman"/>
          <w:noProof/>
          <w:sz w:val="24"/>
        </w:rPr>
        <w:t>Darbas vyksta ir įvairiose kitose srityse, įskaitant labai praktinius ES vidaus pasirengimo aspektus, kaip antai duomenų bazių ir IT sistemų bei kitų komunikacijos ir informacijos mainų platformų, prie kurių Jungtinė Karalystė neteks prieigos, atjungimas ir pritaikymas.</w:t>
      </w:r>
    </w:p>
    <w:p>
      <w:pPr>
        <w:spacing w:after="200"/>
        <w:jc w:val="both"/>
        <w:rPr>
          <w:rFonts w:ascii="Times New Roman" w:eastAsia="Times New Roman" w:hAnsi="Times New Roman"/>
          <w:noProof/>
          <w:sz w:val="24"/>
          <w:szCs w:val="24"/>
        </w:rPr>
      </w:pPr>
      <w:r>
        <w:rPr>
          <w:rFonts w:ascii="Times New Roman" w:hAnsi="Times New Roman"/>
          <w:noProof/>
          <w:sz w:val="24"/>
        </w:rPr>
        <w:t xml:space="preserve">Be to, Komisija tęsia </w:t>
      </w:r>
      <w:r>
        <w:rPr>
          <w:rFonts w:ascii="Times New Roman" w:hAnsi="Times New Roman"/>
          <w:b/>
          <w:noProof/>
          <w:sz w:val="24"/>
        </w:rPr>
        <w:t>diskusijas dėl pasirengimo JK išstojimui su 27 ES valstybėmis narėmis</w:t>
      </w:r>
      <w:r>
        <w:rPr>
          <w:rFonts w:ascii="Times New Roman" w:hAnsi="Times New Roman"/>
          <w:noProof/>
          <w:sz w:val="24"/>
        </w:rPr>
        <w:t>: aptariami bendrieji pasirengimo klausimai ir konkretūs teisiniai, administraciniai ar konkretiems sektoriams aktualūs pasirengimo žingsniai. Valstybės narės ir Komisija šį darbą vykdo vis intensyviau Tarybos darbo grupės (50 str.) rengiamuose sektoriniuose seminaruose.</w:t>
      </w:r>
    </w:p>
    <w:p>
      <w:pPr>
        <w:pStyle w:val="ListParagraph"/>
        <w:keepNext/>
        <w:numPr>
          <w:ilvl w:val="0"/>
          <w:numId w:val="27"/>
        </w:numPr>
        <w:spacing w:before="600" w:after="200" w:line="276" w:lineRule="auto"/>
        <w:ind w:hanging="720"/>
        <w:contextualSpacing/>
        <w:jc w:val="both"/>
        <w:rPr>
          <w:rFonts w:ascii="Times New Roman" w:eastAsia="Times New Roman" w:hAnsi="Times New Roman"/>
          <w:b/>
          <w:noProof/>
          <w:sz w:val="24"/>
          <w:szCs w:val="24"/>
        </w:rPr>
      </w:pPr>
      <w:r>
        <w:rPr>
          <w:rFonts w:ascii="Times New Roman" w:hAnsi="Times New Roman"/>
          <w:b/>
          <w:noProof/>
          <w:sz w:val="24"/>
        </w:rPr>
        <w:t>Būtinybė pasirengti. Piliečių, įmonių ir valstybių narių veiksmai</w:t>
      </w:r>
    </w:p>
    <w:p>
      <w:pPr>
        <w:spacing w:after="240"/>
        <w:jc w:val="both"/>
        <w:rPr>
          <w:rFonts w:ascii="Times New Roman" w:eastAsia="Times New Roman" w:hAnsi="Times New Roman"/>
          <w:noProof/>
          <w:sz w:val="24"/>
          <w:szCs w:val="24"/>
        </w:rPr>
      </w:pPr>
      <w:r>
        <w:rPr>
          <w:rFonts w:ascii="Times New Roman" w:hAnsi="Times New Roman"/>
          <w:noProof/>
          <w:sz w:val="24"/>
        </w:rPr>
        <w:t>Kaip pabrėžiama 2018 m. liepos 19 d. Komisijos pirmajame pasirengimo „Brexit’ui“ komunikate, pasirengimas Jungtinės Karalystės išstojimui turi būti bendras Europos Sąjungos, nacionalinių, regioninių ir vietos institucijų, taip pat ekonominės veiklos vykdytojų bei piliečių darbas. Kad pasirengtume išstojimui ir sumažintume blogiausio staigaus lūžio scenarijaus poveikį, visi subjektai turi prisiimti savo atsakomybę.</w:t>
      </w:r>
    </w:p>
    <w:p>
      <w:pPr>
        <w:spacing w:before="360" w:after="120"/>
        <w:jc w:val="both"/>
        <w:rPr>
          <w:rFonts w:ascii="Times New Roman" w:eastAsia="Times New Roman" w:hAnsi="Times New Roman"/>
          <w:b/>
          <w:i/>
          <w:noProof/>
          <w:sz w:val="24"/>
          <w:szCs w:val="24"/>
        </w:rPr>
      </w:pPr>
      <w:r>
        <w:rPr>
          <w:rFonts w:ascii="Times New Roman" w:hAnsi="Times New Roman"/>
          <w:b/>
          <w:i/>
          <w:noProof/>
          <w:sz w:val="24"/>
        </w:rPr>
        <w:t>27 ES valstybių narių priemonės</w:t>
      </w:r>
    </w:p>
    <w:p>
      <w:pPr>
        <w:spacing w:before="240" w:after="240"/>
        <w:jc w:val="both"/>
        <w:rPr>
          <w:rFonts w:ascii="Times New Roman" w:eastAsia="Times New Roman" w:hAnsi="Times New Roman"/>
          <w:noProof/>
          <w:sz w:val="24"/>
          <w:szCs w:val="24"/>
        </w:rPr>
      </w:pPr>
      <w:r>
        <w:rPr>
          <w:rFonts w:ascii="Times New Roman" w:hAnsi="Times New Roman"/>
          <w:noProof/>
          <w:sz w:val="24"/>
        </w:rPr>
        <w:t xml:space="preserve">Jungtinės Karalystės išstojimui valstybės narės pradėjo ruoštis </w:t>
      </w:r>
      <w:r>
        <w:rPr>
          <w:rFonts w:ascii="Times New Roman" w:hAnsi="Times New Roman"/>
          <w:b/>
          <w:noProof/>
          <w:sz w:val="24"/>
        </w:rPr>
        <w:t>nustatydamos, kokius teisės aktus pritaikyti ir kokių administracinių ir praktinių priemonių imtis</w:t>
      </w:r>
      <w:r>
        <w:rPr>
          <w:rFonts w:ascii="Times New Roman" w:hAnsi="Times New Roman"/>
          <w:noProof/>
          <w:sz w:val="24"/>
        </w:rPr>
        <w:t xml:space="preserve">. Šis darbas turėtų būti vykdomas intensyviau ir jam turėtų būti teikiama pirmenybė. Siekiant pasirengti nenumatytiems atvejams, visų pirma turi būti imamasi nacionalinių priemonių, be kita ko, didinami </w:t>
      </w:r>
      <w:r>
        <w:rPr>
          <w:rFonts w:ascii="Times New Roman" w:hAnsi="Times New Roman"/>
          <w:b/>
          <w:noProof/>
          <w:sz w:val="24"/>
        </w:rPr>
        <w:t>žmogiškieji ištekliai</w:t>
      </w:r>
      <w:r>
        <w:rPr>
          <w:rFonts w:ascii="Times New Roman" w:hAnsi="Times New Roman"/>
          <w:noProof/>
          <w:sz w:val="24"/>
        </w:rPr>
        <w:t xml:space="preserve"> (pvz., muitinės pareigūnų ir valstybinių veterinarijos gydytojų skaičius) ir diegiama, pritaikoma bei stiprinama reikiama infrastruktūra (pvz., uostuose ir oro uostuose). </w:t>
      </w:r>
    </w:p>
    <w:p>
      <w:pPr>
        <w:spacing w:before="240" w:after="240"/>
        <w:jc w:val="both"/>
        <w:rPr>
          <w:rFonts w:ascii="Times New Roman" w:eastAsia="Times New Roman" w:hAnsi="Times New Roman"/>
          <w:noProof/>
          <w:sz w:val="24"/>
          <w:szCs w:val="24"/>
        </w:rPr>
      </w:pPr>
      <w:r>
        <w:rPr>
          <w:rFonts w:ascii="Times New Roman" w:hAnsi="Times New Roman"/>
          <w:noProof/>
          <w:sz w:val="24"/>
        </w:rPr>
        <w:t xml:space="preserve">Valstybėms narėms, taip pat ir jų valdžios institucijoms teks svarbus vaidmuo įgyvendinti ES teisę ir užtikrinti jos vykdymą Jungtinės Karalystės, kaip trečiosios šalies, atžvilgiu. Joms, be kita ko, teks atlikti reikiamus patikrinimus kertant sieną ir vykdyti sienų kontrolę, tikrinti reikiamus leidimus ir licencijas. Po „Brexit’o“ Šiaurės jūroje ir Šiaurės Atlante vėl atsiras jūrų siena. Valstybės narės turės dėti daugiau pastangų ir labiau bendradarbiauti regioniniu mastu, kad būtų užtikrinta veiksminga veiklos Sąjungos vandenyse stebėsena ir kontrolė. Jos turėtų užtikrinti, kad šis darbas būtų baigtas likus pakankamai laiko iki išstojimo, turėdamos omenyje tai, kad tokią infrastruktūrą bet kokiu atveju reikėtų pritaikyti ar sustiprinti dar prieš pasibaigiant pereinamajam laikotarpiui. </w:t>
      </w:r>
    </w:p>
    <w:p>
      <w:pPr>
        <w:pStyle w:val="NormalWeb"/>
        <w:jc w:val="both"/>
        <w:rPr>
          <w:noProof/>
        </w:rPr>
      </w:pPr>
      <w:r>
        <w:rPr>
          <w:noProof/>
        </w:rPr>
        <w:t xml:space="preserve">Bendradarbiaudama su valstybėmis narėmis Komisija siekia </w:t>
      </w:r>
      <w:r>
        <w:rPr>
          <w:b/>
          <w:noProof/>
        </w:rPr>
        <w:t>koordinuoti</w:t>
      </w:r>
      <w:r>
        <w:rPr>
          <w:noProof/>
        </w:rPr>
        <w:t xml:space="preserve"> jų priimamas priemones ir taip užtikrinti, kad visoje Europos Sąjungoje pasirengimas nenumatytiems atvejams būtų darnus ir atitiktų toliau pateiktus bendruosius principus</w:t>
      </w:r>
      <w:r>
        <w:rPr>
          <w:rStyle w:val="FootnoteReference"/>
          <w:noProof/>
        </w:rPr>
        <w:footnoteReference w:id="8"/>
      </w:r>
      <w:r>
        <w:rPr>
          <w:noProof/>
        </w:rPr>
        <w:t xml:space="preserve">. Dėl tos pačios priežasties valstybės narės </w:t>
      </w:r>
      <w:r>
        <w:rPr>
          <w:b/>
          <w:noProof/>
        </w:rPr>
        <w:t>turėtų susilaikyti nuo dvišalių diskusijų ir susitarimų</w:t>
      </w:r>
      <w:r>
        <w:rPr>
          <w:noProof/>
        </w:rPr>
        <w:t xml:space="preserve"> su Jungtine Karalyste – tai pakenktų ES vienybei. </w:t>
      </w:r>
    </w:p>
    <w:p>
      <w:pPr>
        <w:pStyle w:val="NormalWeb"/>
        <w:jc w:val="both"/>
        <w:rPr>
          <w:noProof/>
        </w:rPr>
      </w:pPr>
    </w:p>
    <w:p>
      <w:pPr>
        <w:pStyle w:val="NormalWeb"/>
        <w:jc w:val="both"/>
        <w:rPr>
          <w:noProof/>
        </w:rPr>
      </w:pPr>
      <w:r>
        <w:rPr>
          <w:noProof/>
        </w:rPr>
        <w:t xml:space="preserve">Jei prireiktų </w:t>
      </w:r>
      <w:r>
        <w:rPr>
          <w:b/>
          <w:noProof/>
        </w:rPr>
        <w:t>finansinių išteklių</w:t>
      </w:r>
      <w:r>
        <w:rPr>
          <w:noProof/>
        </w:rPr>
        <w:t xml:space="preserve"> ir (arba) techninės pagalbos, dabartinės valstybės pagalbos taisyklės leidžia pasinaudoti tokia pagalba įmonių problemoms, kylančioms dėl „Brexit’o“ be susitarimo, spręsti. Pavyzdžiui, valstybės pagalbos taisyklės leidžia teikti pagalbą mažųjų ir vidutinių įmonių (MVĮ) konsultacijoms arba mokymui – taip galima padėti MVĮ pasirengti, be kita ko, būsimiems muitinės formalumams. Valstybės pagalbos sunkumus patiriančioms įmonėms sanuoti ir restruktūrizuoti gairių nuostatos dėl laikinos pagalbos MVĮ restruktūrizuoti galėtų būti naudingos dėl „Brexit’o“ kylančioms likvidumo problemoms spręsti. Finansavimo galima gauti įvairiais būdais, pavyzdžiui, per valstybės finansuojamas skolinimo schemas, laikantis orientacinės palūkanų normos, arba per valstybės garantijas, teikiamas pagal garantijų pranešimą.</w:t>
      </w:r>
    </w:p>
    <w:p>
      <w:pPr>
        <w:pStyle w:val="NormalWeb"/>
        <w:jc w:val="both"/>
        <w:rPr>
          <w:noProof/>
        </w:rPr>
      </w:pPr>
    </w:p>
    <w:p>
      <w:pPr>
        <w:pStyle w:val="NormalWeb"/>
        <w:jc w:val="both"/>
        <w:rPr>
          <w:noProof/>
        </w:rPr>
      </w:pPr>
      <w:r>
        <w:rPr>
          <w:noProof/>
        </w:rPr>
        <w:t>Komisija jau dabar yra pasirengusi bendradarbiauti su valstybėmis narėmis, kurios labiausiai nukentės nuo netvarkingo Jungtinės Karalystės išstojimo, ir ieškoti pragmatiškų ir veiksmingų būdų joms padėti laikantis ES valstybės pagalbos teisės aktų. Visų pirma Komisija padės Airijai ieškoti sprendimų, kaip jos įmonėms susidoroti su būtent joms kylančiais iššūkiais.</w:t>
      </w:r>
    </w:p>
    <w:p>
      <w:pPr>
        <w:pStyle w:val="NormalWeb"/>
        <w:rPr>
          <w:noProof/>
        </w:rPr>
      </w:pPr>
    </w:p>
    <w:p>
      <w:pPr>
        <w:pStyle w:val="NormalWeb"/>
        <w:jc w:val="both"/>
        <w:rPr>
          <w:noProof/>
        </w:rPr>
      </w:pPr>
      <w:r>
        <w:rPr>
          <w:noProof/>
        </w:rPr>
        <w:t xml:space="preserve">Tam tikrose srityse gali būti teikiama techninė ir finansinė Europos Sąjungos pagalba, pavyzdžiui, muitinių pareigūnų mokymui pagal programą „Muitinė 2020“. Kitos programos gali būti naudojamos organizuojant panašius mokymo projektus sanitarijos ir fitosanitarijos kontrolės srityje. Žemės ūkio srityje ES teisė teikia labai įvairių priemonių susidoroti su greičiausiai patirsimomis Jungtinės Karalystės išstojimo, ypač be susitarimo, pasekmėmis. </w:t>
      </w:r>
    </w:p>
    <w:p>
      <w:pPr>
        <w:pStyle w:val="NormalWeb"/>
        <w:jc w:val="both"/>
        <w:rPr>
          <w:noProof/>
        </w:rPr>
      </w:pPr>
    </w:p>
    <w:p>
      <w:pPr>
        <w:pStyle w:val="NormalWeb"/>
        <w:jc w:val="both"/>
        <w:rPr>
          <w:noProof/>
        </w:rPr>
      </w:pPr>
      <w:r>
        <w:rPr>
          <w:noProof/>
        </w:rPr>
        <w:t>Jungtinės Karalystės išstojimas iš ES paveiks visas valstybes nares: vienas daugiau, kitas mažiau, tačiau visų labiausiai – Airiją. Remdamasi pirmiau išdėstytais principais Komisija yra pasirengusi padėti Airijai įveikti jai kylančius būdingus sunkumus. Komisija taip yra pasiryžusi užtikrinti, kad būtų tęsiamos šiuo metu Airijos ir Šiaurės Airijos pasienio grafystėse įgyvendinamos programos PEACE ir INTERREG, kurių partnerė yra ir Jungtinė Karalystė. Pasiūlymų dėl šių programų Komisija yra pateikusi būsimoje daugiametėje finansinėje programoje. Jei Jungtinės Karalystės išstojimas iš ES nebus tvarkingas, Komisija mano, kad šią paramą reikėtų dar padidinti, nes problemos bus ypač didelės.</w:t>
      </w:r>
    </w:p>
    <w:p>
      <w:pPr>
        <w:pStyle w:val="NormalWeb"/>
        <w:jc w:val="both"/>
        <w:rPr>
          <w:noProof/>
        </w:rPr>
      </w:pPr>
    </w:p>
    <w:p>
      <w:pPr>
        <w:pStyle w:val="NormalWeb"/>
        <w:jc w:val="both"/>
        <w:rPr>
          <w:noProof/>
        </w:rPr>
      </w:pPr>
    </w:p>
    <w:p>
      <w:pPr>
        <w:keepNext/>
        <w:spacing w:after="240"/>
        <w:jc w:val="both"/>
        <w:rPr>
          <w:rFonts w:ascii="Times New Roman" w:eastAsia="Times New Roman" w:hAnsi="Times New Roman"/>
          <w:b/>
          <w:i/>
          <w:noProof/>
          <w:sz w:val="24"/>
          <w:szCs w:val="24"/>
        </w:rPr>
      </w:pPr>
      <w:r>
        <w:rPr>
          <w:rFonts w:ascii="Times New Roman" w:hAnsi="Times New Roman"/>
          <w:b/>
          <w:i/>
          <w:noProof/>
          <w:sz w:val="24"/>
        </w:rPr>
        <w:t>Piliečių ir įmonių veiksmai</w:t>
      </w:r>
    </w:p>
    <w:p>
      <w:pPr>
        <w:spacing w:before="240" w:after="120"/>
        <w:jc w:val="both"/>
        <w:rPr>
          <w:rFonts w:ascii="Times New Roman" w:eastAsia="Times New Roman" w:hAnsi="Times New Roman"/>
          <w:b/>
          <w:i/>
          <w:noProof/>
          <w:sz w:val="24"/>
          <w:szCs w:val="24"/>
        </w:rPr>
      </w:pPr>
      <w:r>
        <w:rPr>
          <w:rFonts w:ascii="Times New Roman" w:hAnsi="Times New Roman"/>
          <w:noProof/>
          <w:sz w:val="24"/>
        </w:rPr>
        <w:t xml:space="preserve">Nenumatytiems atvejams skirtos priemonės, kurių imasi nacionalinės valdžios institucijos ar ES institucijos, negali atstoti tų priemonių, kurių turi imtis kiekvienas pilietis ir įmonė, kad pasirengtų Jungtinės Karalystės išstojimui. Tais atvejais, kai reikalingi nauji leidimai, licencijos ar sertifikatai, </w:t>
      </w:r>
      <w:r>
        <w:rPr>
          <w:rFonts w:ascii="Times New Roman" w:hAnsi="Times New Roman"/>
          <w:b/>
          <w:noProof/>
          <w:sz w:val="24"/>
        </w:rPr>
        <w:t>kreiptis dėl jų laiku yra atitinkamo subjekto atsakomybė</w:t>
      </w:r>
      <w:r>
        <w:rPr>
          <w:rFonts w:ascii="Times New Roman" w:hAnsi="Times New Roman"/>
          <w:noProof/>
          <w:sz w:val="24"/>
        </w:rPr>
        <w:t>.</w:t>
      </w:r>
    </w:p>
    <w:p>
      <w:pPr>
        <w:spacing w:after="200"/>
        <w:jc w:val="both"/>
        <w:rPr>
          <w:rFonts w:ascii="Times New Roman" w:eastAsia="Times New Roman" w:hAnsi="Times New Roman"/>
          <w:noProof/>
          <w:sz w:val="24"/>
          <w:szCs w:val="24"/>
        </w:rPr>
      </w:pPr>
      <w:r>
        <w:rPr>
          <w:rFonts w:ascii="Times New Roman" w:hAnsi="Times New Roman"/>
          <w:noProof/>
          <w:sz w:val="24"/>
        </w:rPr>
        <w:t xml:space="preserve">Siekdama padėti </w:t>
      </w:r>
      <w:r>
        <w:rPr>
          <w:rFonts w:ascii="Times New Roman" w:hAnsi="Times New Roman"/>
          <w:b/>
          <w:noProof/>
          <w:sz w:val="24"/>
        </w:rPr>
        <w:t>suinteresuotiesiems subjektams</w:t>
      </w:r>
      <w:r>
        <w:rPr>
          <w:rFonts w:ascii="Times New Roman" w:hAnsi="Times New Roman"/>
          <w:noProof/>
          <w:sz w:val="24"/>
        </w:rPr>
        <w:t xml:space="preserve"> pasirengti Jungtinės Karalystės išstojimui, Komisija paskelbė 78 išsamius sektorinius pranešimus, kuriuose patarė, kokių tolesnių žingsnių imtis</w:t>
      </w:r>
      <w:r>
        <w:rPr>
          <w:rStyle w:val="FootnoteReference"/>
          <w:rFonts w:ascii="Times New Roman" w:hAnsi="Times New Roman"/>
          <w:noProof/>
        </w:rPr>
        <w:footnoteReference w:id="9"/>
      </w:r>
      <w:r>
        <w:rPr>
          <w:rFonts w:ascii="Times New Roman" w:hAnsi="Times New Roman"/>
          <w:noProof/>
          <w:sz w:val="24"/>
        </w:rPr>
        <w:t xml:space="preserve">. Valstybės narės turėtų ir toliau informuoti piliečius ir įmones, ypač mažąsias ir vidutines įmones, ir padėti jiems pasirengti išstojimui.  </w:t>
      </w:r>
    </w:p>
    <w:p>
      <w:pPr>
        <w:pStyle w:val="ListParagraph"/>
        <w:numPr>
          <w:ilvl w:val="0"/>
          <w:numId w:val="27"/>
        </w:numPr>
        <w:spacing w:before="720" w:after="240"/>
        <w:ind w:hanging="720"/>
        <w:jc w:val="both"/>
        <w:rPr>
          <w:b/>
          <w:noProof/>
        </w:rPr>
      </w:pPr>
      <w:r>
        <w:rPr>
          <w:rFonts w:ascii="Times New Roman" w:hAnsi="Times New Roman"/>
          <w:b/>
          <w:noProof/>
          <w:sz w:val="24"/>
        </w:rPr>
        <w:t>Nenumatytiems atvejams skirti ES lygmens veiksmai</w:t>
      </w:r>
    </w:p>
    <w:p>
      <w:pPr>
        <w:pStyle w:val="ListParagraph"/>
        <w:spacing w:before="360" w:after="200"/>
        <w:ind w:left="0"/>
        <w:contextualSpacing/>
        <w:jc w:val="both"/>
        <w:rPr>
          <w:rFonts w:ascii="Times New Roman" w:eastAsia="Times New Roman" w:hAnsi="Times New Roman"/>
          <w:noProof/>
          <w:sz w:val="24"/>
          <w:szCs w:val="24"/>
        </w:rPr>
      </w:pPr>
      <w:r>
        <w:rPr>
          <w:rFonts w:ascii="Times New Roman" w:hAnsi="Times New Roman"/>
          <w:noProof/>
          <w:sz w:val="24"/>
        </w:rPr>
        <w:t xml:space="preserve">Be pirmiau aprašytų pasirengimo priemonių, nenumatytų atvejų planavimas apima ir priemones, kurių reikėtų siekiant sušvelninti Jungtinės Karalystės išstojimo iš Sąjungos be susitarimo poveikį. Jei susitarti nepavyktų, nuo išstojimo dienos visa pirminė ir antrinė Sąjungos teisė Jungtinei Karalystei nebegaliotų ir pasireikštų visas išstojimo poveikis. Komisija išimties tvarka ir siekdama apginti gyvybiškai svarbius Europos Sąjungos interesus numato </w:t>
      </w:r>
      <w:r>
        <w:rPr>
          <w:rFonts w:ascii="Times New Roman" w:hAnsi="Times New Roman"/>
          <w:b/>
          <w:noProof/>
          <w:sz w:val="24"/>
        </w:rPr>
        <w:t>keletą nenumatytiems atvejams skirtų priemonių</w:t>
      </w:r>
      <w:r>
        <w:rPr>
          <w:rFonts w:ascii="Times New Roman" w:hAnsi="Times New Roman"/>
          <w:noProof/>
          <w:sz w:val="24"/>
        </w:rPr>
        <w:t xml:space="preserve">, kad tam tikrose siaurai apibrėžtose srityse trikdžiai nebūtų tokie dideli. Trikdžiai skirtinguose sektoriuose ir 27 ES valstybėse narėse bus nevienodi. </w:t>
      </w:r>
    </w:p>
    <w:p>
      <w:pPr>
        <w:pStyle w:val="ListParagraph"/>
        <w:spacing w:before="360" w:after="200"/>
        <w:ind w:left="0"/>
        <w:contextualSpacing/>
        <w:jc w:val="both"/>
        <w:rPr>
          <w:rFonts w:ascii="Times New Roman" w:eastAsia="Times New Roman" w:hAnsi="Times New Roman"/>
          <w:noProof/>
          <w:sz w:val="24"/>
          <w:szCs w:val="24"/>
        </w:rPr>
      </w:pPr>
    </w:p>
    <w:p>
      <w:pPr>
        <w:pStyle w:val="ListParagraph"/>
        <w:spacing w:before="360" w:after="200"/>
        <w:ind w:left="0"/>
        <w:contextualSpacing/>
        <w:jc w:val="both"/>
        <w:rPr>
          <w:rFonts w:ascii="Times New Roman" w:eastAsia="Times New Roman" w:hAnsi="Times New Roman"/>
          <w:noProof/>
          <w:sz w:val="24"/>
          <w:szCs w:val="24"/>
        </w:rPr>
      </w:pPr>
      <w:r>
        <w:rPr>
          <w:rFonts w:ascii="Times New Roman" w:hAnsi="Times New Roman"/>
          <w:noProof/>
          <w:sz w:val="24"/>
        </w:rPr>
        <w:t xml:space="preserve">Nors pasirengimas Jungtinės Karalystės tapimui trečiąja šalimi daugeliu aspektų būtų tas pats, nepriklausomai nuo to, ar būtų sudarytas susitarimas dėl išstojimo ir jame būtų numatytas pereinamasis laikotarpis, ar ne, tačiau jis turėtų būti </w:t>
      </w:r>
      <w:r>
        <w:rPr>
          <w:rFonts w:ascii="Times New Roman" w:hAnsi="Times New Roman"/>
          <w:b/>
          <w:noProof/>
          <w:sz w:val="24"/>
        </w:rPr>
        <w:t>daug spartesnis</w:t>
      </w:r>
      <w:r>
        <w:rPr>
          <w:rFonts w:ascii="Times New Roman" w:hAnsi="Times New Roman"/>
          <w:noProof/>
          <w:sz w:val="24"/>
        </w:rPr>
        <w:t xml:space="preserve">. Be to, dėl staigumo, būdingo išstojimo be susitarimo scenarijui, reikėtų imtis tam tikrų specialių priemonių. </w:t>
      </w:r>
    </w:p>
    <w:p>
      <w:pPr>
        <w:spacing w:before="360" w:after="120"/>
        <w:jc w:val="both"/>
        <w:rPr>
          <w:rFonts w:ascii="Times New Roman" w:eastAsia="Times New Roman" w:hAnsi="Times New Roman"/>
          <w:b/>
          <w:i/>
          <w:noProof/>
          <w:sz w:val="24"/>
          <w:szCs w:val="24"/>
        </w:rPr>
      </w:pPr>
      <w:r>
        <w:rPr>
          <w:rFonts w:ascii="Times New Roman" w:hAnsi="Times New Roman"/>
          <w:b/>
          <w:i/>
          <w:noProof/>
          <w:sz w:val="24"/>
        </w:rPr>
        <w:t>Nenumatytiems atvejams skirtų priemonių principai</w:t>
      </w:r>
    </w:p>
    <w:p>
      <w:pPr>
        <w:spacing w:before="120" w:after="120"/>
        <w:jc w:val="both"/>
        <w:rPr>
          <w:rFonts w:ascii="Times New Roman" w:eastAsia="Times New Roman" w:hAnsi="Times New Roman"/>
          <w:noProof/>
          <w:sz w:val="24"/>
          <w:szCs w:val="24"/>
        </w:rPr>
      </w:pPr>
      <w:r>
        <w:rPr>
          <w:rFonts w:ascii="Times New Roman" w:hAnsi="Times New Roman"/>
          <w:noProof/>
          <w:sz w:val="24"/>
        </w:rPr>
        <w:t xml:space="preserve">Iš esmės Europos Sąjungos taisyklės, taip pat ir reglamentuojančios vidaus rinkos veikimą, gali būti pritaikomos prie jų teritorinės taikymo srities pokyčių. Daugelis taisyklių buvo sukurtos dar tada, kai Europos Sąjungą sudarė mažiau narių, ir jos buvo taikomos toliau Sąjungai augant nuo šešių iki 28 valstybių narių. Po Jungtinės Karalystės išstojimo Europos Sąjunga veiks toliau ir jos viduje bus taikomos jos taisyklės. </w:t>
      </w:r>
    </w:p>
    <w:p>
      <w:pPr>
        <w:spacing w:before="240" w:after="120"/>
        <w:jc w:val="both"/>
        <w:rPr>
          <w:rFonts w:ascii="Times New Roman" w:eastAsia="Times New Roman" w:hAnsi="Times New Roman"/>
          <w:noProof/>
          <w:sz w:val="24"/>
          <w:szCs w:val="24"/>
        </w:rPr>
      </w:pPr>
      <w:r>
        <w:rPr>
          <w:rFonts w:ascii="Times New Roman" w:hAnsi="Times New Roman"/>
          <w:noProof/>
          <w:sz w:val="24"/>
        </w:rPr>
        <w:t>Apskritai siekiant pasirengti nenumatytiems atvejams reikėtų deramai atsižvelgti į tai, kad, nesudarius susitarimo, nuo 2019 m. kovo 30 d. jokios ES taisyklės Jungtinei Karalystei nebegaliotų ir ji galėtų greitai pradėti nuo jų tolti. Nenumatytiems atvejams skirtų priemonių būtų imamasi siekiant apginti Europos Sąjungos ir jos piliečių interesus ir tik tiek, kiek būtinai reikia. Tai būtų daroma retais atvejais, kai dabartinėse taisyklėse nenumatyta tinkamų būdų sumažinti labiausiai trikdantį išstojimo be susitarimo poveikį Europos Sąjungai ir jos piliečiams. Dėl tokių priemonių ES įmonės neturėtų atsidurti nepalankioje padėtyje, palyginti su jų konkurentais Jungtinėje Karalystėje. Jos neturėtų kompensuoti nuostolių įmonėms, kurios, priešingai nei jų konkurentai, reikiamų pasirengimo priemonių nesiėmė, nes taip būtų pažeistas vienodų sąlygų principas.</w:t>
      </w:r>
    </w:p>
    <w:p>
      <w:pPr>
        <w:spacing w:before="240" w:after="120"/>
        <w:jc w:val="both"/>
        <w:rPr>
          <w:rFonts w:ascii="Times New Roman" w:eastAsia="Times New Roman" w:hAnsi="Times New Roman"/>
          <w:noProof/>
          <w:sz w:val="24"/>
          <w:szCs w:val="24"/>
        </w:rPr>
      </w:pPr>
      <w:r>
        <w:rPr>
          <w:rFonts w:ascii="Times New Roman" w:hAnsi="Times New Roman"/>
          <w:noProof/>
          <w:sz w:val="24"/>
        </w:rPr>
        <w:t>Komisijos nuomone, bet kuriuo lygmeniu priimamos nenumatytiems atvejams skirtos priemonės turėtų atitikti šiuos bendruosius principus:</w:t>
      </w:r>
    </w:p>
    <w:p>
      <w:pPr>
        <w:pStyle w:val="ListParagraph"/>
        <w:numPr>
          <w:ilvl w:val="0"/>
          <w:numId w:val="2"/>
        </w:numPr>
        <w:spacing w:before="240" w:after="120"/>
        <w:contextualSpacing/>
        <w:rPr>
          <w:rFonts w:ascii="Times New Roman" w:eastAsia="Times New Roman" w:hAnsi="Times New Roman"/>
          <w:noProof/>
          <w:sz w:val="24"/>
          <w:szCs w:val="24"/>
        </w:rPr>
      </w:pPr>
      <w:r>
        <w:rPr>
          <w:rFonts w:ascii="Times New Roman" w:hAnsi="Times New Roman"/>
          <w:noProof/>
          <w:sz w:val="24"/>
        </w:rPr>
        <w:t xml:space="preserve">nenumatytiems atvejams skirtomis priemonėmis </w:t>
      </w:r>
      <w:r>
        <w:rPr>
          <w:rFonts w:ascii="Times New Roman" w:hAnsi="Times New Roman"/>
          <w:b/>
          <w:noProof/>
          <w:sz w:val="24"/>
        </w:rPr>
        <w:t>neturėtų būti sukurta tokia nauda, kokią teikia narystė Sąjungoje</w:t>
      </w:r>
      <w:r>
        <w:rPr>
          <w:rFonts w:ascii="Times New Roman" w:hAnsi="Times New Roman"/>
          <w:noProof/>
          <w:sz w:val="24"/>
        </w:rPr>
        <w:t xml:space="preserve">, ar atkartotos pereinamojo laikotarpio sąlygos, numatytos Susitarimo dėl išstojimo projekte; </w:t>
      </w:r>
    </w:p>
    <w:p>
      <w:pPr>
        <w:pStyle w:val="ListParagraph"/>
        <w:numPr>
          <w:ilvl w:val="0"/>
          <w:numId w:val="2"/>
        </w:numPr>
        <w:spacing w:before="240" w:after="120"/>
        <w:contextualSpacing/>
        <w:rPr>
          <w:rFonts w:ascii="Times New Roman" w:eastAsia="Times New Roman" w:hAnsi="Times New Roman"/>
          <w:noProof/>
          <w:sz w:val="24"/>
          <w:szCs w:val="24"/>
        </w:rPr>
      </w:pPr>
      <w:r>
        <w:rPr>
          <w:rFonts w:ascii="Times New Roman" w:hAnsi="Times New Roman"/>
          <w:noProof/>
          <w:sz w:val="24"/>
        </w:rPr>
        <w:t xml:space="preserve">nenumatytiems atvejams skirtos priemonės iš esmės bus </w:t>
      </w:r>
      <w:r>
        <w:rPr>
          <w:rFonts w:ascii="Times New Roman" w:hAnsi="Times New Roman"/>
          <w:b/>
          <w:noProof/>
          <w:sz w:val="24"/>
        </w:rPr>
        <w:t>laikinos</w:t>
      </w:r>
      <w:r>
        <w:rPr>
          <w:rFonts w:ascii="Times New Roman" w:hAnsi="Times New Roman"/>
          <w:noProof/>
          <w:sz w:val="24"/>
        </w:rPr>
        <w:t xml:space="preserve"> ir neturėtų tęstis ilgiau kaip iki 2019 m. pabaigos; </w:t>
      </w:r>
    </w:p>
    <w:p>
      <w:pPr>
        <w:pStyle w:val="ListParagraph"/>
        <w:numPr>
          <w:ilvl w:val="0"/>
          <w:numId w:val="2"/>
        </w:numPr>
        <w:spacing w:before="360" w:after="200"/>
        <w:contextualSpacing/>
        <w:rPr>
          <w:rFonts w:ascii="Times New Roman" w:eastAsia="Times New Roman" w:hAnsi="Times New Roman"/>
          <w:noProof/>
          <w:sz w:val="24"/>
          <w:szCs w:val="24"/>
        </w:rPr>
      </w:pPr>
      <w:r>
        <w:rPr>
          <w:rFonts w:ascii="Times New Roman" w:hAnsi="Times New Roman"/>
          <w:noProof/>
          <w:sz w:val="24"/>
        </w:rPr>
        <w:t xml:space="preserve">nenumatytiems atvejams skirtas priemones Europos Sąjunga priims </w:t>
      </w:r>
      <w:r>
        <w:rPr>
          <w:rFonts w:ascii="Times New Roman" w:hAnsi="Times New Roman"/>
          <w:b/>
          <w:noProof/>
          <w:sz w:val="24"/>
        </w:rPr>
        <w:t>vienašališkai</w:t>
      </w:r>
      <w:r>
        <w:rPr>
          <w:rFonts w:ascii="Times New Roman" w:hAnsi="Times New Roman"/>
          <w:noProof/>
          <w:sz w:val="24"/>
        </w:rPr>
        <w:t xml:space="preserve"> siekdama savo interesų, todėl iš esmės ji galės bet kada jas atšaukti; </w:t>
      </w:r>
    </w:p>
    <w:p>
      <w:pPr>
        <w:pStyle w:val="ListParagraph"/>
        <w:numPr>
          <w:ilvl w:val="0"/>
          <w:numId w:val="2"/>
        </w:numPr>
        <w:spacing w:before="360" w:after="200"/>
        <w:contextualSpacing/>
        <w:rPr>
          <w:rFonts w:ascii="Times New Roman" w:eastAsia="Times New Roman" w:hAnsi="Times New Roman"/>
          <w:noProof/>
          <w:sz w:val="24"/>
          <w:szCs w:val="24"/>
        </w:rPr>
      </w:pPr>
      <w:r>
        <w:rPr>
          <w:rFonts w:ascii="Times New Roman" w:hAnsi="Times New Roman"/>
          <w:noProof/>
          <w:sz w:val="24"/>
        </w:rPr>
        <w:t xml:space="preserve">nenumatytiems atvejams skirtos priemonės turi būti priimamos paisant Sutartyse nustatyto </w:t>
      </w:r>
      <w:r>
        <w:rPr>
          <w:rFonts w:ascii="Times New Roman" w:hAnsi="Times New Roman"/>
          <w:b/>
          <w:noProof/>
          <w:sz w:val="24"/>
        </w:rPr>
        <w:t>kompetencijos pasidalijimo</w:t>
      </w:r>
      <w:r>
        <w:rPr>
          <w:rFonts w:ascii="Times New Roman" w:hAnsi="Times New Roman"/>
          <w:noProof/>
          <w:sz w:val="24"/>
        </w:rPr>
        <w:t xml:space="preserve"> ir Europos Sąjungoje taikomo subsidiarumo principo;  </w:t>
      </w:r>
    </w:p>
    <w:p>
      <w:pPr>
        <w:pStyle w:val="ListParagraph"/>
        <w:numPr>
          <w:ilvl w:val="0"/>
          <w:numId w:val="2"/>
        </w:numPr>
        <w:spacing w:before="360" w:after="200"/>
        <w:contextualSpacing/>
        <w:rPr>
          <w:rFonts w:ascii="Times New Roman" w:eastAsia="Times New Roman" w:hAnsi="Times New Roman"/>
          <w:noProof/>
          <w:sz w:val="24"/>
          <w:szCs w:val="24"/>
        </w:rPr>
      </w:pPr>
      <w:r>
        <w:rPr>
          <w:rFonts w:ascii="Times New Roman" w:hAnsi="Times New Roman"/>
          <w:noProof/>
          <w:sz w:val="24"/>
        </w:rPr>
        <w:t xml:space="preserve">nacionalinės nenumatytiems atvejams skirtos priemonės turi būti </w:t>
      </w:r>
      <w:r>
        <w:rPr>
          <w:rFonts w:ascii="Times New Roman" w:hAnsi="Times New Roman"/>
          <w:b/>
          <w:noProof/>
          <w:sz w:val="24"/>
        </w:rPr>
        <w:t>suderinamos</w:t>
      </w:r>
      <w:r>
        <w:rPr>
          <w:rFonts w:ascii="Times New Roman" w:hAnsi="Times New Roman"/>
          <w:noProof/>
          <w:sz w:val="24"/>
        </w:rPr>
        <w:t xml:space="preserve"> su ES teise, įskaitant Sąjungos tarptautinius įsipareigojimus; </w:t>
      </w:r>
    </w:p>
    <w:p>
      <w:pPr>
        <w:pStyle w:val="ListParagraph"/>
        <w:numPr>
          <w:ilvl w:val="0"/>
          <w:numId w:val="2"/>
        </w:numPr>
        <w:spacing w:before="360" w:after="200"/>
        <w:contextualSpacing/>
        <w:rPr>
          <w:rFonts w:ascii="Times New Roman" w:eastAsia="Times New Roman" w:hAnsi="Times New Roman"/>
          <w:noProof/>
          <w:sz w:val="24"/>
          <w:szCs w:val="24"/>
        </w:rPr>
      </w:pPr>
      <w:r>
        <w:rPr>
          <w:rFonts w:ascii="Times New Roman" w:hAnsi="Times New Roman"/>
          <w:noProof/>
          <w:sz w:val="24"/>
        </w:rPr>
        <w:t xml:space="preserve">nenumatytiems atvejams skirtomis priemonėmis </w:t>
      </w:r>
      <w:r>
        <w:rPr>
          <w:rFonts w:ascii="Times New Roman" w:hAnsi="Times New Roman"/>
          <w:b/>
          <w:noProof/>
          <w:sz w:val="24"/>
        </w:rPr>
        <w:t>nebus šalinamos delsos pasekmės</w:t>
      </w:r>
      <w:r>
        <w:rPr>
          <w:rFonts w:ascii="Times New Roman" w:hAnsi="Times New Roman"/>
          <w:noProof/>
          <w:sz w:val="24"/>
        </w:rPr>
        <w:t>, kurių atitinkami suinteresuotieji subjektai galėjo išvengti imdamiesi pasirengimo priemonių ir veikdami laiku.</w:t>
      </w:r>
    </w:p>
    <w:p>
      <w:pPr>
        <w:pStyle w:val="NormalWeb"/>
        <w:numPr>
          <w:ilvl w:val="0"/>
          <w:numId w:val="28"/>
        </w:numPr>
        <w:spacing w:before="600" w:after="120"/>
        <w:ind w:hanging="720"/>
        <w:jc w:val="both"/>
        <w:rPr>
          <w:b/>
          <w:noProof/>
        </w:rPr>
      </w:pPr>
      <w:r>
        <w:rPr>
          <w:b/>
          <w:noProof/>
        </w:rPr>
        <w:t>Nenumatytiems atvejams skirtų priemonių poreikių vertinimas</w:t>
      </w:r>
    </w:p>
    <w:p>
      <w:pPr>
        <w:spacing w:before="240" w:after="200"/>
        <w:jc w:val="both"/>
        <w:rPr>
          <w:rFonts w:ascii="Times New Roman" w:eastAsia="Times New Roman" w:hAnsi="Times New Roman"/>
          <w:noProof/>
          <w:sz w:val="24"/>
          <w:szCs w:val="24"/>
        </w:rPr>
      </w:pPr>
      <w:r>
        <w:rPr>
          <w:rFonts w:ascii="Times New Roman" w:hAnsi="Times New Roman"/>
          <w:b/>
          <w:noProof/>
          <w:sz w:val="24"/>
        </w:rPr>
        <w:t>Tam tikroms politikos sritims</w:t>
      </w:r>
      <w:r>
        <w:rPr>
          <w:rFonts w:ascii="Times New Roman" w:hAnsi="Times New Roman"/>
          <w:noProof/>
          <w:sz w:val="24"/>
        </w:rPr>
        <w:t xml:space="preserve"> – atsižvelgiant į jų svarbą visai Europos Sąjungai, dideles pasekmes netvarkingo išstojimo atveju ir su tuo susijusias labai neigiamas pasekmes piliečiams ir įmonėms – </w:t>
      </w:r>
      <w:r>
        <w:rPr>
          <w:rFonts w:ascii="Times New Roman" w:hAnsi="Times New Roman"/>
          <w:b/>
          <w:noProof/>
          <w:sz w:val="24"/>
        </w:rPr>
        <w:t>būtina skirti ypatingą dėmesį</w:t>
      </w:r>
      <w:r>
        <w:rPr>
          <w:rFonts w:ascii="Times New Roman" w:hAnsi="Times New Roman"/>
          <w:noProof/>
          <w:sz w:val="24"/>
        </w:rPr>
        <w:t>. Komisija mano, kad toliau nurodytos sritys yra ypač svarbios</w:t>
      </w:r>
      <w:r>
        <w:rPr>
          <w:rStyle w:val="FootnoteReference"/>
          <w:rFonts w:ascii="Times New Roman" w:hAnsi="Times New Roman"/>
          <w:noProof/>
          <w:sz w:val="24"/>
        </w:rPr>
        <w:footnoteReference w:id="10"/>
      </w:r>
      <w:r>
        <w:rPr>
          <w:rFonts w:ascii="Times New Roman" w:hAnsi="Times New Roman"/>
          <w:noProof/>
          <w:sz w:val="24"/>
        </w:rPr>
        <w:t xml:space="preserve">. Darbas šiose srityse vykdomas ypatingos skubos tvarka. </w:t>
      </w:r>
    </w:p>
    <w:p>
      <w:pPr>
        <w:spacing w:before="360" w:after="240"/>
        <w:jc w:val="both"/>
        <w:rPr>
          <w:rFonts w:ascii="Times New Roman" w:eastAsia="Times New Roman" w:hAnsi="Times New Roman"/>
          <w:b/>
          <w:i/>
          <w:noProof/>
          <w:sz w:val="24"/>
          <w:szCs w:val="24"/>
        </w:rPr>
      </w:pPr>
      <w:r>
        <w:rPr>
          <w:rFonts w:ascii="Times New Roman" w:hAnsi="Times New Roman"/>
          <w:b/>
          <w:i/>
          <w:noProof/>
          <w:sz w:val="24"/>
        </w:rPr>
        <w:t>Piliečiai</w:t>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Nuo pat derybų su Jungtine Karalyste pradžios Europos Sąjunga </w:t>
      </w:r>
      <w:r>
        <w:rPr>
          <w:rFonts w:ascii="Times New Roman" w:hAnsi="Times New Roman"/>
          <w:b/>
          <w:noProof/>
          <w:sz w:val="24"/>
        </w:rPr>
        <w:t>piliečių interesus iškėlė į pirmą vietą</w:t>
      </w:r>
      <w:r>
        <w:rPr>
          <w:rFonts w:ascii="Times New Roman" w:hAnsi="Times New Roman"/>
          <w:noProof/>
          <w:sz w:val="24"/>
        </w:rPr>
        <w:t>. Remiantis 2017 m. balandžio 29 d. Europos Vadovų Tarybos išvadomis, su piliečiais susiję klausimai sudaro pirmą didelę Susitarimo dėl išstojimo projekto dalį. Europos Sąjunga visada laikėsi nuostatos, kad piliečiai neturėtų mokėti „Brexit’o“ kainos. Todėl valstybės narės turėtų dosniai traktuoti jų teritorijoje jau gyvenančių Jungtinės Karalystės piliečių teises</w:t>
      </w:r>
      <w:r>
        <w:rPr>
          <w:rStyle w:val="FootnoteReference"/>
          <w:rFonts w:ascii="Times New Roman" w:hAnsi="Times New Roman"/>
          <w:noProof/>
          <w:sz w:val="24"/>
        </w:rPr>
        <w:footnoteReference w:id="11"/>
      </w:r>
      <w:r>
        <w:rPr>
          <w:rFonts w:ascii="Times New Roman" w:hAnsi="Times New Roman"/>
          <w:noProof/>
          <w:sz w:val="24"/>
        </w:rPr>
        <w:t xml:space="preserve">. </w:t>
      </w:r>
    </w:p>
    <w:p>
      <w:pPr>
        <w:pStyle w:val="ListParagraph"/>
        <w:numPr>
          <w:ilvl w:val="0"/>
          <w:numId w:val="4"/>
        </w:numPr>
        <w:spacing w:before="240" w:after="120"/>
        <w:contextualSpacing/>
        <w:rPr>
          <w:rFonts w:ascii="Times New Roman" w:eastAsia="Times New Roman" w:hAnsi="Times New Roman"/>
          <w:noProof/>
          <w:sz w:val="24"/>
          <w:szCs w:val="24"/>
        </w:rPr>
      </w:pPr>
      <w:r>
        <w:rPr>
          <w:rFonts w:ascii="Times New Roman" w:hAnsi="Times New Roman"/>
          <w:noProof/>
          <w:sz w:val="24"/>
        </w:rPr>
        <w:t xml:space="preserve">Komisija mano, kad laikotarpiai, kuriuos Jungtinės Karalystės piliečiai teisėtai išgyveno kurioje nors iš 27 ES valstybių narių iki išstojimo dienos, pagal Direktyvą 2003/109/EB </w:t>
      </w:r>
      <w:r>
        <w:rPr>
          <w:rFonts w:ascii="Times New Roman" w:hAnsi="Times New Roman"/>
          <w:b/>
          <w:noProof/>
          <w:sz w:val="24"/>
        </w:rPr>
        <w:t>dėl trečiųjų valstybių piliečių</w:t>
      </w:r>
      <w:r>
        <w:rPr>
          <w:rFonts w:ascii="Times New Roman" w:hAnsi="Times New Roman"/>
          <w:noProof/>
          <w:sz w:val="24"/>
        </w:rPr>
        <w:t xml:space="preserve">, kurie yra ilgalaikiai gyventojai, </w:t>
      </w:r>
      <w:r>
        <w:rPr>
          <w:rFonts w:ascii="Times New Roman" w:hAnsi="Times New Roman"/>
          <w:b/>
          <w:noProof/>
          <w:sz w:val="24"/>
        </w:rPr>
        <w:t>statuso</w:t>
      </w:r>
      <w:r>
        <w:rPr>
          <w:rFonts w:ascii="Times New Roman" w:hAnsi="Times New Roman"/>
          <w:noProof/>
          <w:sz w:val="24"/>
        </w:rPr>
        <w:t xml:space="preserve"> turėtų būti laikomi teisėto gyvenimo Europos Sąjungos valstybėje narėje laikotarpiais.</w:t>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Taip ES 27 gyvenantys ir reikiamas sąlygas atitinkantys Jungtinės Karalystės piliečiai galės lengviau gauti ilgalaikio gyventojo statusą savo gyvenamoje valstybėje narėje. Jis suteiks jiems tas pačias teises dirbti, mokytis ir gauti pagrindines socialines išmokas kaip ir tos šalies piliečiams. Be to, Jungtinės Karalystės piliečiai įgis teisę į šeimos susijungimą ir tam tikromis sąlygomis galės gyventi kitoje Europos Sąjungos valstybėje narėje. </w:t>
      </w:r>
    </w:p>
    <w:p>
      <w:pPr>
        <w:pStyle w:val="ListParagraph"/>
        <w:numPr>
          <w:ilvl w:val="0"/>
          <w:numId w:val="4"/>
        </w:numPr>
        <w:spacing w:before="240" w:after="120"/>
        <w:contextualSpacing/>
        <w:rPr>
          <w:rFonts w:ascii="Times New Roman" w:eastAsia="Times New Roman" w:hAnsi="Times New Roman"/>
          <w:noProof/>
          <w:sz w:val="24"/>
          <w:szCs w:val="24"/>
        </w:rPr>
      </w:pPr>
      <w:r>
        <w:rPr>
          <w:rFonts w:ascii="Times New Roman" w:hAnsi="Times New Roman"/>
          <w:noProof/>
          <w:sz w:val="24"/>
        </w:rPr>
        <w:t>Komisija padeda valstybėms narėms koordinuodama jų veiksmus atitinkamose jų kompetencijos srityse – taip ji siekia užtikrinti, kad piliečių teisės būtų saugomos vienodai. Atsižvelgiant į nacionalinėms ir vietos valdžios institucijoms teksiančių administracinių iššūkių mastą ir siekiant išvengti administracinių vėlavimų, valstybėms narėms rekomenduojama priimti iš anksto dar prieš Jungtinės Karalystės išstojimo datą pateikiamus leidimų gyventi prašymus.</w:t>
      </w:r>
    </w:p>
    <w:p>
      <w:pPr>
        <w:spacing w:before="240" w:after="120"/>
        <w:jc w:val="both"/>
        <w:rPr>
          <w:rFonts w:ascii="Times New Roman" w:eastAsia="Times New Roman" w:hAnsi="Times New Roman"/>
          <w:noProof/>
          <w:sz w:val="24"/>
          <w:szCs w:val="24"/>
        </w:rPr>
      </w:pPr>
      <w:r>
        <w:rPr>
          <w:rFonts w:ascii="Times New Roman" w:hAnsi="Times New Roman"/>
          <w:noProof/>
          <w:sz w:val="24"/>
        </w:rPr>
        <w:t>Šiame kontekste Komisija palankiai vertina Ministrės Pirmininkės T. May patikinimus</w:t>
      </w:r>
      <w:r>
        <w:rPr>
          <w:rStyle w:val="FootnoteReference"/>
          <w:rFonts w:ascii="Times New Roman" w:hAnsi="Times New Roman"/>
          <w:noProof/>
        </w:rPr>
        <w:footnoteReference w:id="12"/>
      </w:r>
      <w:r>
        <w:rPr>
          <w:rFonts w:ascii="Times New Roman" w:hAnsi="Times New Roman"/>
          <w:noProof/>
          <w:sz w:val="24"/>
        </w:rPr>
        <w:t>, kad net ir susiklosčius išstojimo be susitarimo scenarijui ES piliečių teisės Jungtinėje Karalystėje bus saugomos panašiai, kaip aprašyta pirmiau. Dabar Komisija tikisi, kad šios garantijos bus greitai įformintos ir piliečiai galės jomis kliautis. Komisijos atstovybės Jungtinėje Karalystėje teikia informaciją ir padeda gauti teisines bei ekspertų konsultacijas Jungtinėje Karalystėje gyvenantiems ES 27 piliečiams, siekdamos padėti jiems užsitikrinti teisinį statusą pagal JK taisykles, galiosiančias po išstojimo.</w:t>
      </w:r>
    </w:p>
    <w:p>
      <w:pPr>
        <w:spacing w:before="240" w:after="120"/>
        <w:contextualSpacing/>
        <w:jc w:val="both"/>
        <w:rPr>
          <w:rFonts w:ascii="Times New Roman" w:eastAsia="Times New Roman" w:hAnsi="Times New Roman"/>
          <w:noProof/>
          <w:sz w:val="24"/>
          <w:szCs w:val="24"/>
        </w:rPr>
      </w:pPr>
      <w:r>
        <w:rPr>
          <w:rFonts w:ascii="Times New Roman" w:hAnsi="Times New Roman"/>
          <w:noProof/>
          <w:sz w:val="24"/>
        </w:rPr>
        <w:t xml:space="preserve">Kaip jau minėta, kartu su šiuo komunikatu Komisija priėmė reglamento, kuriuo iš dalies keičiamas </w:t>
      </w:r>
      <w:r>
        <w:rPr>
          <w:rFonts w:ascii="Times New Roman" w:hAnsi="Times New Roman"/>
          <w:b/>
          <w:noProof/>
          <w:sz w:val="24"/>
        </w:rPr>
        <w:t>Vizų reglamentas</w:t>
      </w:r>
      <w:r>
        <w:rPr>
          <w:rFonts w:ascii="Times New Roman" w:hAnsi="Times New Roman"/>
          <w:noProof/>
          <w:sz w:val="24"/>
        </w:rPr>
        <w:t>, pasiūlymą</w:t>
      </w:r>
      <w:r>
        <w:rPr>
          <w:rStyle w:val="FootnoteReference"/>
          <w:rFonts w:ascii="Times New Roman" w:hAnsi="Times New Roman"/>
          <w:noProof/>
        </w:rPr>
        <w:footnoteReference w:id="13"/>
      </w:r>
      <w:r>
        <w:rPr>
          <w:rFonts w:ascii="Times New Roman" w:hAnsi="Times New Roman"/>
          <w:noProof/>
          <w:sz w:val="24"/>
        </w:rPr>
        <w:t>. Pasiūlymu siekiama palengvinti asmenų judėjimą iš Europos Sąjungos į Jungtinę Karalystę ir atvirkščiai – numatoma trumpoms JK piliečių viešnagėms Europos Sąjungoje netaikyti vizos reikalavimo su sąlyga, kad Jungtinė Karalystė analogiškai jo netaikys ES 27 piliečiams.</w:t>
      </w:r>
    </w:p>
    <w:p>
      <w:pPr>
        <w:keepNext/>
        <w:spacing w:before="480"/>
        <w:rPr>
          <w:rFonts w:ascii="Times New Roman" w:eastAsia="Times New Roman" w:hAnsi="Times New Roman"/>
          <w:b/>
          <w:i/>
          <w:noProof/>
          <w:sz w:val="24"/>
          <w:szCs w:val="24"/>
        </w:rPr>
      </w:pPr>
      <w:r>
        <w:rPr>
          <w:rFonts w:ascii="Times New Roman" w:hAnsi="Times New Roman"/>
          <w:b/>
          <w:i/>
          <w:noProof/>
          <w:sz w:val="24"/>
        </w:rPr>
        <w:t>Finansinės paslaugos</w:t>
      </w:r>
      <w:r>
        <w:rPr>
          <w:rStyle w:val="FootnoteReference"/>
          <w:rFonts w:ascii="Times New Roman" w:hAnsi="Times New Roman"/>
          <w:b/>
          <w:i/>
          <w:noProof/>
          <w:sz w:val="24"/>
        </w:rPr>
        <w:footnoteReference w:id="14"/>
      </w:r>
    </w:p>
    <w:p>
      <w:pPr>
        <w:spacing w:before="240" w:after="120"/>
        <w:jc w:val="both"/>
        <w:rPr>
          <w:rFonts w:ascii="Times New Roman" w:eastAsia="Times New Roman" w:hAnsi="Times New Roman"/>
          <w:noProof/>
          <w:sz w:val="24"/>
          <w:szCs w:val="24"/>
        </w:rPr>
      </w:pPr>
      <w:r>
        <w:rPr>
          <w:rFonts w:ascii="Times New Roman" w:hAnsi="Times New Roman"/>
          <w:noProof/>
          <w:sz w:val="24"/>
        </w:rPr>
        <w:t>Jungtinei Karalystei išstojus, joje įsisteigę finansinės veiklos vykdytojai praras teisę teikti paslaugas 27 ES valstybėse narėse pagal ES finansinių paslaugų pasus. ES subjektų veiklai Jungtinėje Karalystėje bus taikoma JK teisė.</w:t>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Pranešimuose suinteresuotiesiems subjektams Komisija pabrėžė, kad labai svarbu būti pasirengus visiems įmanomiems scenarijams, taip pat ir išstojimo be susitarimo atvejui. Europos priežiūros institucijos ir Europos Centrinis Bankas, vykdydamas savo priežiūros funkciją pagal Bendrą priežiūros mechanizmą, pateikė išsamių nuomonių ir gairių, kuriose pabrėžiama pasirengimo svarba ir paaiškinami su priežiūra susiję lūkesčiai persikelti nusprendusioms įmonėms. Daugelis ES finansinių paslaugų įmonių pasirengė situacijai, kai Jungtinė Karalystė nebebus bendrosios rinkos dalis, pavyzdžiui, pritaikydamos savo sutartis arba savo pajėgumus ir veiklą perkeldamos į ES 27. Šis veiklos perkėlimas į ES 27 ir gebėjimų stiprinimas šiose valstybėse narėse tebevyksta ir turėtų būti paspartintas, tačiau vis tiek bus neįmanoma jo laiku pabaigti visose srityse iki 2019 m. kovo mėn. Nors tai galėtų sukelti riziką Europos Sąjungos finansiniam stabilumui, </w:t>
      </w:r>
      <w:r>
        <w:rPr>
          <w:rFonts w:ascii="Times New Roman" w:hAnsi="Times New Roman"/>
          <w:b/>
          <w:noProof/>
          <w:sz w:val="24"/>
        </w:rPr>
        <w:t>su išstojimo be susitarimo scenarijumi susijusi rizika šiame sektoriuje labai sumažėjo</w:t>
      </w:r>
      <w:r>
        <w:rPr>
          <w:rFonts w:ascii="Times New Roman" w:hAnsi="Times New Roman"/>
          <w:noProof/>
          <w:sz w:val="24"/>
        </w:rPr>
        <w:t>.</w:t>
      </w:r>
    </w:p>
    <w:p>
      <w:pPr>
        <w:spacing w:after="200"/>
        <w:jc w:val="both"/>
        <w:rPr>
          <w:noProof/>
        </w:rPr>
      </w:pPr>
      <w:r>
        <w:rPr>
          <w:rFonts w:ascii="Times New Roman" w:hAnsi="Times New Roman"/>
          <w:noProof/>
          <w:sz w:val="24"/>
        </w:rPr>
        <w:t xml:space="preserve">Pavyzdžiui, daugelis </w:t>
      </w:r>
      <w:r>
        <w:rPr>
          <w:rFonts w:ascii="Times New Roman" w:hAnsi="Times New Roman"/>
          <w:b/>
          <w:noProof/>
          <w:sz w:val="24"/>
        </w:rPr>
        <w:t>draudimo įmonių</w:t>
      </w:r>
      <w:r>
        <w:rPr>
          <w:rFonts w:ascii="Times New Roman" w:hAnsi="Times New Roman"/>
          <w:noProof/>
          <w:sz w:val="24"/>
        </w:rPr>
        <w:t xml:space="preserve"> ėmėsi veiksmų (perkėlė sutartis, įsteigė filialų ir patronuojamųjų įmonių ar susijungė su ES 27 įmonėmis ir t. t.), kad galėtų toliau teikti paslaugas savo klientams. Europos draudimo ir profesinių pensijų institucija (EIOPA), bendradarbiaudama su nacionalinėmis institucijomis, siekia pašalinti tam tikriems ES 27 draudėjams dar likusią riziką</w:t>
      </w:r>
      <w:r>
        <w:rPr>
          <w:rStyle w:val="FootnoteReference"/>
          <w:rFonts w:ascii="Times New Roman" w:hAnsi="Times New Roman"/>
          <w:noProof/>
        </w:rPr>
        <w:footnoteReference w:id="15"/>
      </w:r>
      <w:r>
        <w:rPr>
          <w:noProof/>
        </w:rPr>
        <w:t>.</w:t>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ES ir Jungtinės Karalystės sandorio šalių sudarytos </w:t>
      </w:r>
      <w:r>
        <w:rPr>
          <w:rFonts w:ascii="Times New Roman" w:hAnsi="Times New Roman"/>
          <w:b/>
          <w:noProof/>
          <w:sz w:val="24"/>
        </w:rPr>
        <w:t>nebiržinių išvestinių finansinių priemonių sutartys, kurių tarpuskaita neatliekama</w:t>
      </w:r>
      <w:r>
        <w:rPr>
          <w:rFonts w:ascii="Times New Roman" w:hAnsi="Times New Roman"/>
          <w:noProof/>
          <w:sz w:val="24"/>
        </w:rPr>
        <w:t>, iš esmės lieka galioti ir vykdomos iki termino pabaigos. Neatrodo, kad išstojimo be susitarimo atveju grėstų bendra sutarčių nevykdymo problema. Tačiau dėl tam tikrų vadinamųjų gyvavimo ciklo įvykių (pvz., dėl sutarčių pakeitimų, perkėlimų ir novacijų) tam tikrais atvejais gali tekti gauti leidimą ar pritaikyti išimtį, kadangi sandorio šalis nebėra ES įmonė</w:t>
      </w:r>
      <w:r>
        <w:rPr>
          <w:rStyle w:val="FootnoteReference"/>
          <w:rFonts w:ascii="Times New Roman" w:hAnsi="Times New Roman"/>
          <w:noProof/>
        </w:rPr>
        <w:footnoteReference w:id="16"/>
      </w:r>
      <w:r>
        <w:rPr>
          <w:noProof/>
        </w:rPr>
        <w:t>.</w:t>
      </w:r>
      <w:r>
        <w:rPr>
          <w:rFonts w:ascii="Times New Roman" w:hAnsi="Times New Roman"/>
          <w:noProof/>
          <w:sz w:val="24"/>
        </w:rPr>
        <w:t xml:space="preserve"> Rinkos dalyviai raginami toliau ruoštis šiai situacijai ir perkelti sutartis bei gauti reikiamus leidimus. </w:t>
      </w:r>
    </w:p>
    <w:p>
      <w:pPr>
        <w:spacing w:before="240" w:after="120"/>
        <w:jc w:val="both"/>
        <w:rPr>
          <w:rFonts w:ascii="Times New Roman" w:eastAsia="Times New Roman" w:hAnsi="Times New Roman"/>
          <w:noProof/>
          <w:sz w:val="24"/>
          <w:szCs w:val="24"/>
        </w:rPr>
      </w:pPr>
      <w:r>
        <w:rPr>
          <w:rFonts w:ascii="Times New Roman" w:hAnsi="Times New Roman"/>
          <w:noProof/>
          <w:sz w:val="24"/>
        </w:rPr>
        <w:t>Atsižvelgdama į šį vertinimą Komisija nemano, kad šiose dviejose srityse reikėtų imtis nenumatytųjų priemonių.</w:t>
      </w:r>
    </w:p>
    <w:p>
      <w:pPr>
        <w:pStyle w:val="ListParagraph"/>
        <w:numPr>
          <w:ilvl w:val="0"/>
          <w:numId w:val="33"/>
        </w:numPr>
        <w:spacing w:before="360" w:after="120"/>
        <w:jc w:val="both"/>
        <w:rPr>
          <w:rFonts w:ascii="Times New Roman" w:eastAsia="Times New Roman" w:hAnsi="Times New Roman"/>
          <w:b/>
          <w:i/>
          <w:noProof/>
          <w:sz w:val="24"/>
          <w:szCs w:val="24"/>
        </w:rPr>
      </w:pPr>
      <w:r>
        <w:rPr>
          <w:rFonts w:ascii="Times New Roman" w:hAnsi="Times New Roman"/>
          <w:noProof/>
          <w:sz w:val="24"/>
        </w:rPr>
        <w:t xml:space="preserve">Tačiau atrodo, kad išstojimo be susitarimo atveju gali kilti rizika </w:t>
      </w:r>
      <w:r>
        <w:rPr>
          <w:rFonts w:ascii="Times New Roman" w:hAnsi="Times New Roman"/>
          <w:b/>
          <w:noProof/>
          <w:sz w:val="24"/>
        </w:rPr>
        <w:t>išvestinių finansinių priemonių, kurių tarpuskaita atliekama</w:t>
      </w:r>
      <w:r>
        <w:rPr>
          <w:rFonts w:ascii="Times New Roman" w:hAnsi="Times New Roman"/>
          <w:noProof/>
          <w:sz w:val="24"/>
        </w:rPr>
        <w:t>, finansiniam stabilumui, nes ES tarpuskaitos narių pozicijos JK pagrindinėse sandorio šalyse nebus tvarkingai likviduojamos. Rizika gali kilti ir tam tikroms JK centrinių vertybinių popierių depozitoriumų Sąjungos subjektams teikiamoms paslaugoms, kurių per trumpą laiką pakeisti neįmanoma. Šiose srityse esamos lygiavertiškumo sistemos suteikia tinkamų priemonių, kurias galima greitai įdiegti. Tam turėtų būti išnaudojamas iki 2019 m. kovo 30 d. likęs laikas. Jei Komisijai prireiktų imtis priemonių, jos apimtų tik tiek, kiek būtina siekiant išvengti rizikos finansiniam stabilumui, kylančios išstojimo be susitarimo atveju, jos būtų ribotos trukmės ir taikomos griežtai nustatytomis sąlygomis. Jei susitarimo pasiekti nepavyktų, Komisija priims laikinus ir sąlyginius lygiavertiškumo sprendimus, siekdama užtikrinti, kad centrinės tarpuskaitos ir depozitoriumų paslaugos nebūtų sutrikdytos</w:t>
      </w:r>
      <w:r>
        <w:rPr>
          <w:rStyle w:val="FootnoteReference"/>
          <w:rFonts w:ascii="Times New Roman" w:hAnsi="Times New Roman"/>
          <w:noProof/>
        </w:rPr>
        <w:footnoteReference w:id="17"/>
      </w:r>
      <w:r>
        <w:rPr>
          <w:rFonts w:ascii="Times New Roman" w:hAnsi="Times New Roman"/>
          <w:noProof/>
          <w:sz w:val="24"/>
        </w:rPr>
        <w:t>. Šiuos sprendimus papildys Jungtinės Karalystės infrastruktūrų pripažinimas, todėl jos raginamos iš anksto kreiptis į Europos vertybinių popierių ir rinkų instituciją (ESMA) dėl pripažinimo.</w:t>
      </w:r>
    </w:p>
    <w:p>
      <w:pPr>
        <w:spacing w:before="360" w:after="120"/>
        <w:jc w:val="both"/>
        <w:rPr>
          <w:rFonts w:ascii="Times New Roman" w:eastAsia="Times New Roman" w:hAnsi="Times New Roman"/>
          <w:noProof/>
          <w:sz w:val="24"/>
          <w:szCs w:val="24"/>
        </w:rPr>
      </w:pPr>
      <w:r>
        <w:rPr>
          <w:rFonts w:ascii="Times New Roman" w:hAnsi="Times New Roman"/>
          <w:noProof/>
          <w:sz w:val="24"/>
        </w:rPr>
        <w:t>Galiausiai Europos priežiūros institucijos raginamos pradėti rengtis bendradarbiavimo susitarimams su JK priežiūros institucijomis siekiant užtikrinti, kad informacijos apie finansų įstaigas ir subjektus mainai galėtų prasidėti iškart po išstojimo dienos, jei išstojimas būtų be susitarimo.</w:t>
      </w:r>
    </w:p>
    <w:p>
      <w:pPr>
        <w:spacing w:before="360" w:after="120"/>
        <w:jc w:val="both"/>
        <w:rPr>
          <w:rFonts w:ascii="Times New Roman" w:eastAsia="Times New Roman" w:hAnsi="Times New Roman"/>
          <w:b/>
          <w:i/>
          <w:noProof/>
          <w:sz w:val="24"/>
          <w:szCs w:val="24"/>
        </w:rPr>
      </w:pPr>
      <w:r>
        <w:rPr>
          <w:rFonts w:ascii="Times New Roman" w:hAnsi="Times New Roman"/>
          <w:b/>
          <w:i/>
          <w:noProof/>
          <w:sz w:val="24"/>
        </w:rPr>
        <w:t>Oro transportas</w:t>
      </w:r>
      <w:r>
        <w:rPr>
          <w:rStyle w:val="FootnoteReference"/>
          <w:rFonts w:ascii="Times New Roman" w:hAnsi="Times New Roman"/>
          <w:b/>
          <w:i/>
          <w:noProof/>
          <w:sz w:val="24"/>
        </w:rPr>
        <w:footnoteReference w:id="18"/>
      </w:r>
    </w:p>
    <w:p>
      <w:pPr>
        <w:spacing w:before="240" w:after="200"/>
        <w:jc w:val="both"/>
        <w:rPr>
          <w:rFonts w:ascii="Times New Roman" w:eastAsia="Times New Roman" w:hAnsi="Times New Roman"/>
          <w:noProof/>
          <w:sz w:val="24"/>
          <w:szCs w:val="24"/>
        </w:rPr>
      </w:pPr>
      <w:r>
        <w:rPr>
          <w:rFonts w:ascii="Times New Roman" w:hAnsi="Times New Roman"/>
          <w:noProof/>
          <w:sz w:val="24"/>
        </w:rPr>
        <w:t xml:space="preserve">Kalbant apie </w:t>
      </w:r>
      <w:r>
        <w:rPr>
          <w:rFonts w:ascii="Times New Roman" w:hAnsi="Times New Roman"/>
          <w:b/>
          <w:noProof/>
          <w:sz w:val="24"/>
        </w:rPr>
        <w:t>oro transportą</w:t>
      </w:r>
      <w:r>
        <w:rPr>
          <w:rFonts w:ascii="Times New Roman" w:hAnsi="Times New Roman"/>
          <w:noProof/>
          <w:sz w:val="24"/>
        </w:rPr>
        <w:t xml:space="preserve">, jei Jungtinė Karalystė išstotų be jokio išstojimo dieną galiojančio susitarimo ir orlaivių naudotojai nesudarytų reikiamų ir galimų alternatyvių susitarimų, oro eismas tarp Jungtinės Karalystės ir Europos Sąjungos staiga nutrūktų, nes nebūtų suteiktos skrydžių teisės ir (arba) negaliotų licencija oro susisiekimui vykdyti arba aviacinės saugos sertifikatai. </w:t>
      </w:r>
    </w:p>
    <w:p>
      <w:pPr>
        <w:pStyle w:val="ListParagraph"/>
        <w:numPr>
          <w:ilvl w:val="0"/>
          <w:numId w:val="4"/>
        </w:numPr>
        <w:spacing w:before="100" w:beforeAutospacing="1" w:after="120"/>
        <w:ind w:left="714" w:hanging="357"/>
        <w:rPr>
          <w:rFonts w:ascii="Times New Roman" w:eastAsia="Times New Roman" w:hAnsi="Times New Roman"/>
          <w:noProof/>
          <w:sz w:val="24"/>
          <w:szCs w:val="24"/>
        </w:rPr>
      </w:pPr>
      <w:r>
        <w:rPr>
          <w:rFonts w:ascii="Times New Roman" w:hAnsi="Times New Roman"/>
          <w:b/>
          <w:noProof/>
          <w:sz w:val="24"/>
        </w:rPr>
        <w:t>Skrydžių teisių</w:t>
      </w:r>
      <w:r>
        <w:rPr>
          <w:rFonts w:ascii="Times New Roman" w:hAnsi="Times New Roman"/>
          <w:noProof/>
          <w:sz w:val="24"/>
        </w:rPr>
        <w:t xml:space="preserve"> srityje Komisija pasiūlys priemonių, užtikrinančių, kad Jungtinės Karalystės oro vežėjams būtų leidžiama skristi virš Europos Sąjungos teritorijos, atlikti techninius nutūpimus (pvz., prisipilti degalų neįlaipinant ir (arba) neišlaipinant keleivių), nutūpti Europos Sąjungoje ir grįžti atgal į Jungtinę Karalystę. Tokios priemonės būtų taikomos su sąlyga, kad Jungtinė Karalystė lygiavertes priemones taikys Europos Sąjungos oro vežėjams.</w:t>
      </w:r>
    </w:p>
    <w:p>
      <w:pPr>
        <w:pStyle w:val="ListParagraph"/>
        <w:numPr>
          <w:ilvl w:val="0"/>
          <w:numId w:val="4"/>
        </w:numPr>
        <w:spacing w:before="100" w:beforeAutospacing="1" w:after="120"/>
        <w:ind w:left="714" w:hanging="357"/>
        <w:rPr>
          <w:rFonts w:ascii="Times New Roman" w:eastAsia="Times New Roman" w:hAnsi="Times New Roman"/>
          <w:noProof/>
          <w:sz w:val="24"/>
          <w:szCs w:val="24"/>
        </w:rPr>
      </w:pPr>
      <w:r>
        <w:rPr>
          <w:rFonts w:ascii="Times New Roman" w:hAnsi="Times New Roman"/>
          <w:b/>
          <w:noProof/>
          <w:sz w:val="24"/>
        </w:rPr>
        <w:t>Aviacijos saugos</w:t>
      </w:r>
      <w:r>
        <w:rPr>
          <w:rFonts w:ascii="Times New Roman" w:hAnsi="Times New Roman"/>
          <w:noProof/>
          <w:sz w:val="24"/>
        </w:rPr>
        <w:t xml:space="preserve"> srityje Europos aviacijos saugos agentūra (EASA) galės išduoti sertifikatus tam tikriems aviacijos produktams (tipo sertifikatus) ir bendrovėms (organizacijų patvirtinimo sertifikatus) tik po to, kai Jungtinė Karalystė taps trečiąja šalimi. Komisija pasiūlys priemonių, </w:t>
      </w:r>
      <w:r>
        <w:rPr>
          <w:rFonts w:ascii="Times New Roman" w:hAnsi="Times New Roman"/>
          <w:b/>
          <w:noProof/>
          <w:sz w:val="24"/>
        </w:rPr>
        <w:t>užtikrinančių nenutrūkstamą tokių sertifikatų galiojimą ribotą laikotarpį</w:t>
      </w:r>
      <w:r>
        <w:rPr>
          <w:rFonts w:ascii="Times New Roman" w:hAnsi="Times New Roman"/>
          <w:noProof/>
          <w:sz w:val="24"/>
        </w:rPr>
        <w:t xml:space="preserve">. Tokios priemonės bus taikomos su sąlyga, kad Jungtinė Karalystė taikys panašias priemones. Analogiškai Komisija pasiūlys priemonių, </w:t>
      </w:r>
      <w:r>
        <w:rPr>
          <w:rFonts w:ascii="Times New Roman" w:hAnsi="Times New Roman"/>
          <w:b/>
          <w:noProof/>
          <w:sz w:val="24"/>
        </w:rPr>
        <w:t>užtikrinančių</w:t>
      </w:r>
      <w:r>
        <w:rPr>
          <w:rFonts w:ascii="Times New Roman" w:hAnsi="Times New Roman"/>
          <w:noProof/>
          <w:sz w:val="24"/>
        </w:rPr>
        <w:t>, kad dalys ir prietaisai, pateikti Sąjungos rinkai iki išstojimo dienos remiantis pažyma, kurią išdavė Jungtinės Karalystės civilinės aviacijos administracijos atestuotas juridinis ar fizinis asmuo, tam tikromis aplinkybėmis vis dar galėtų būti naudojami.</w:t>
      </w:r>
    </w:p>
    <w:p>
      <w:pPr>
        <w:pStyle w:val="ListParagraph"/>
        <w:numPr>
          <w:ilvl w:val="0"/>
          <w:numId w:val="4"/>
        </w:numPr>
        <w:spacing w:before="100" w:beforeAutospacing="1" w:after="240"/>
        <w:ind w:left="714" w:hanging="357"/>
        <w:rPr>
          <w:rFonts w:ascii="Times New Roman" w:eastAsia="Times New Roman" w:hAnsi="Times New Roman"/>
          <w:noProof/>
          <w:sz w:val="24"/>
          <w:szCs w:val="24"/>
        </w:rPr>
      </w:pPr>
      <w:r>
        <w:rPr>
          <w:rFonts w:ascii="Times New Roman" w:hAnsi="Times New Roman"/>
          <w:noProof/>
          <w:sz w:val="24"/>
        </w:rPr>
        <w:t xml:space="preserve">Komisija imsis veiksmų, kad užtikrintų, jog iš Jungtinės Karalystės tranzitu per ES 27 oro uostus skrendantiems keleiviams ir jų rankiniam bagažui ir toliau būtų netaikoma antroji saugumo patikra (t. y. būtų taikoma vadinamoji </w:t>
      </w:r>
      <w:r>
        <w:rPr>
          <w:rFonts w:ascii="Times New Roman" w:hAnsi="Times New Roman"/>
          <w:b/>
          <w:noProof/>
          <w:sz w:val="24"/>
        </w:rPr>
        <w:t>vienintelio saugumo patikrinimo sistema</w:t>
      </w:r>
      <w:r>
        <w:rPr>
          <w:rStyle w:val="FootnoteReference"/>
          <w:rFonts w:ascii="Times New Roman" w:hAnsi="Times New Roman"/>
          <w:noProof/>
        </w:rPr>
        <w:footnoteReference w:id="19"/>
      </w:r>
      <w:r>
        <w:rPr>
          <w:rFonts w:ascii="Times New Roman" w:hAnsi="Times New Roman"/>
          <w:noProof/>
          <w:sz w:val="24"/>
        </w:rPr>
        <w:t>).</w:t>
      </w:r>
    </w:p>
    <w:p>
      <w:pPr>
        <w:spacing w:before="360" w:after="360"/>
        <w:jc w:val="both"/>
        <w:rPr>
          <w:rFonts w:ascii="Times New Roman" w:eastAsia="Times New Roman" w:hAnsi="Times New Roman"/>
          <w:noProof/>
          <w:sz w:val="24"/>
          <w:szCs w:val="24"/>
        </w:rPr>
      </w:pPr>
      <w:r>
        <w:rPr>
          <w:rFonts w:ascii="Times New Roman" w:hAnsi="Times New Roman"/>
          <w:noProof/>
          <w:sz w:val="24"/>
        </w:rPr>
        <w:t xml:space="preserve">Dėl ES teisėje nustatyto reikalavimo, kad kontrolinį oro vežėjų akcijų paketą turi turėti ir juos kontroliuoti ES juridiniai ar fiziniai asmenys, </w:t>
      </w:r>
      <w:r>
        <w:rPr>
          <w:rFonts w:ascii="Times New Roman" w:hAnsi="Times New Roman"/>
          <w:b/>
          <w:noProof/>
          <w:sz w:val="24"/>
        </w:rPr>
        <w:t>Komisija pabrėžia, kad labai svarbu, jog įmonės, norinčios būti pripažintos ES oro vežėjais</w:t>
      </w:r>
      <w:r>
        <w:rPr>
          <w:rFonts w:ascii="Times New Roman" w:hAnsi="Times New Roman"/>
          <w:noProof/>
          <w:sz w:val="24"/>
        </w:rPr>
        <w:t xml:space="preserve">, imtųsi visų reikiamų priemonių ir užsitikrintų, kad 2019 m. kovo 30 d. jos atitiktų šį reikalavimą. </w:t>
      </w:r>
    </w:p>
    <w:p>
      <w:pPr>
        <w:keepNext/>
        <w:spacing w:before="480"/>
        <w:rPr>
          <w:rFonts w:ascii="Times New Roman" w:hAnsi="Times New Roman"/>
          <w:b/>
          <w:i/>
          <w:noProof/>
          <w:sz w:val="24"/>
          <w:szCs w:val="24"/>
        </w:rPr>
      </w:pPr>
      <w:r>
        <w:rPr>
          <w:rFonts w:ascii="Times New Roman" w:hAnsi="Times New Roman"/>
          <w:b/>
          <w:i/>
          <w:noProof/>
          <w:sz w:val="24"/>
        </w:rPr>
        <w:t>Kelių transportas</w:t>
      </w:r>
      <w:r>
        <w:rPr>
          <w:rStyle w:val="FootnoteReference"/>
          <w:rFonts w:ascii="Times New Roman" w:hAnsi="Times New Roman"/>
          <w:b/>
          <w:i/>
          <w:noProof/>
          <w:sz w:val="24"/>
        </w:rPr>
        <w:footnoteReference w:id="20"/>
      </w:r>
    </w:p>
    <w:p>
      <w:pPr>
        <w:spacing w:before="240" w:after="240"/>
        <w:jc w:val="both"/>
        <w:rPr>
          <w:rFonts w:ascii="Times New Roman" w:eastAsia="Times New Roman" w:hAnsi="Times New Roman"/>
          <w:noProof/>
          <w:sz w:val="24"/>
          <w:szCs w:val="24"/>
        </w:rPr>
      </w:pPr>
      <w:r>
        <w:rPr>
          <w:rFonts w:ascii="Times New Roman" w:hAnsi="Times New Roman"/>
          <w:noProof/>
          <w:sz w:val="24"/>
        </w:rPr>
        <w:t xml:space="preserve">Kalbant apie </w:t>
      </w:r>
      <w:r>
        <w:rPr>
          <w:rFonts w:ascii="Times New Roman" w:hAnsi="Times New Roman"/>
          <w:b/>
          <w:noProof/>
          <w:sz w:val="24"/>
        </w:rPr>
        <w:t>kelių transportą</w:t>
      </w:r>
      <w:r>
        <w:rPr>
          <w:rFonts w:ascii="Times New Roman" w:hAnsi="Times New Roman"/>
          <w:noProof/>
          <w:sz w:val="24"/>
        </w:rPr>
        <w:t xml:space="preserve">, išstojimo be susitarimo atveju nuo išstojimo dienos JK vežėjams teisę patekti į rinką suteiktų tik pagal Europos transporto ministrų konferencijos (ECMT) sistemą išduoti leidimai, o pagal juos būtų leidžiama vykdyti daug mažiau transporto veiklos nei dabartinis transporto tarp Sąjungos ir Jungtinės Karalystės mastas. Šiuo metu ES teisėje nėra mechanizmo, pagal kurį būtų galima pratęsti Bendrijos licencijų, suteikiančių platesnes prieigos teises vežėjams Europos Sąjungoje, galiojimą. </w:t>
      </w:r>
    </w:p>
    <w:p>
      <w:pPr>
        <w:keepNext/>
        <w:spacing w:before="480"/>
        <w:rPr>
          <w:rFonts w:ascii="Times New Roman" w:eastAsia="Times New Roman" w:hAnsi="Times New Roman"/>
          <w:b/>
          <w:i/>
          <w:noProof/>
          <w:sz w:val="24"/>
          <w:szCs w:val="24"/>
        </w:rPr>
      </w:pPr>
      <w:r>
        <w:rPr>
          <w:rFonts w:ascii="Times New Roman" w:hAnsi="Times New Roman"/>
          <w:b/>
          <w:i/>
          <w:noProof/>
          <w:sz w:val="24"/>
        </w:rPr>
        <w:t>Muitinė</w:t>
      </w:r>
      <w:r>
        <w:rPr>
          <w:rStyle w:val="FootnoteReference"/>
          <w:rFonts w:ascii="Times New Roman" w:hAnsi="Times New Roman"/>
          <w:b/>
          <w:i/>
          <w:noProof/>
          <w:sz w:val="24"/>
        </w:rPr>
        <w:footnoteReference w:id="21"/>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Susitarimo nesudarymo atveju nuo išstojimo dienos iš Jungtinės Karalystės į Europos Sąjungą įvežamos prekės bus laikomos importu, o iš Europos Sąjungos į Jungtinę Karalystę išvežamos prekės – eksportu. Joms bus taikomi visi atitinkami ES teisės aktai dėl importuojamų ir eksportuojamų prekių, </w:t>
      </w:r>
      <w:r>
        <w:rPr>
          <w:rFonts w:ascii="Times New Roman" w:hAnsi="Times New Roman"/>
          <w:b/>
          <w:noProof/>
          <w:sz w:val="24"/>
        </w:rPr>
        <w:t>įskaitant tam tikrų rinkliavų ir mokesčių</w:t>
      </w:r>
      <w:r>
        <w:rPr>
          <w:rFonts w:ascii="Times New Roman" w:hAnsi="Times New Roman"/>
          <w:noProof/>
          <w:sz w:val="24"/>
        </w:rPr>
        <w:t xml:space="preserve"> (pavyzdžiui, muitų, pridėtinės vertės mokesčio ir importo akcizų) </w:t>
      </w:r>
      <w:r>
        <w:rPr>
          <w:rFonts w:ascii="Times New Roman" w:hAnsi="Times New Roman"/>
          <w:b/>
          <w:noProof/>
          <w:sz w:val="24"/>
        </w:rPr>
        <w:t>taikymą</w:t>
      </w:r>
      <w:r>
        <w:rPr>
          <w:rFonts w:ascii="Times New Roman" w:hAnsi="Times New Roman"/>
          <w:noProof/>
          <w:sz w:val="24"/>
        </w:rPr>
        <w:t xml:space="preserve">, kaip Europos Sąjunga yra įsipareigojusi pagal Pasaulio prekybos organizacijos taisykles. Be to, muitinei turės būti pateikiamos </w:t>
      </w:r>
      <w:r>
        <w:rPr>
          <w:rFonts w:ascii="Times New Roman" w:hAnsi="Times New Roman"/>
          <w:b/>
          <w:noProof/>
          <w:sz w:val="24"/>
        </w:rPr>
        <w:t>muitinės deklaracijos</w:t>
      </w:r>
      <w:r>
        <w:rPr>
          <w:rFonts w:ascii="Times New Roman" w:hAnsi="Times New Roman"/>
          <w:noProof/>
          <w:sz w:val="24"/>
        </w:rPr>
        <w:t xml:space="preserve"> ir siuntos galės būti </w:t>
      </w:r>
      <w:r>
        <w:rPr>
          <w:rFonts w:ascii="Times New Roman" w:hAnsi="Times New Roman"/>
          <w:b/>
          <w:noProof/>
          <w:sz w:val="24"/>
        </w:rPr>
        <w:t>tikrinamos</w:t>
      </w:r>
      <w:r>
        <w:rPr>
          <w:rFonts w:ascii="Times New Roman" w:hAnsi="Times New Roman"/>
          <w:noProof/>
          <w:sz w:val="24"/>
        </w:rPr>
        <w:t xml:space="preserve">. </w:t>
      </w:r>
    </w:p>
    <w:p>
      <w:pPr>
        <w:pStyle w:val="ListParagraph"/>
        <w:numPr>
          <w:ilvl w:val="0"/>
          <w:numId w:val="4"/>
        </w:numPr>
        <w:spacing w:before="240" w:after="120"/>
        <w:contextualSpacing/>
        <w:rPr>
          <w:rFonts w:ascii="Times New Roman" w:eastAsia="Times New Roman" w:hAnsi="Times New Roman"/>
          <w:noProof/>
          <w:sz w:val="24"/>
          <w:szCs w:val="24"/>
        </w:rPr>
      </w:pPr>
      <w:r>
        <w:rPr>
          <w:rFonts w:ascii="Times New Roman" w:hAnsi="Times New Roman"/>
          <w:noProof/>
          <w:sz w:val="24"/>
        </w:rPr>
        <w:t xml:space="preserve">Komisija ragina valstybes nares imtis visų reikiamų priemonių, kad būtų pasirengusios nuo 2019 m. kovo 30 d., jei išstojimas būtų be susitarimo, </w:t>
      </w:r>
      <w:r>
        <w:rPr>
          <w:rFonts w:ascii="Times New Roman" w:hAnsi="Times New Roman"/>
          <w:b/>
          <w:noProof/>
          <w:sz w:val="24"/>
        </w:rPr>
        <w:t>visoms iš Jungtinės Karalystės importuojamoms ir į ją eksportuojamoms prekėms</w:t>
      </w:r>
      <w:r>
        <w:rPr>
          <w:rFonts w:ascii="Times New Roman" w:hAnsi="Times New Roman"/>
          <w:noProof/>
          <w:sz w:val="24"/>
        </w:rPr>
        <w:t xml:space="preserve"> taikyti Sąjungos muitinės kodeksą ir reikiamas netiesioginio apmokestinimo taisykles.</w:t>
      </w:r>
      <w:r>
        <w:rPr>
          <w:noProof/>
        </w:rPr>
        <w:t xml:space="preserve"> </w:t>
      </w:r>
      <w:r>
        <w:rPr>
          <w:rFonts w:ascii="Times New Roman" w:hAnsi="Times New Roman"/>
          <w:noProof/>
          <w:sz w:val="24"/>
        </w:rPr>
        <w:t xml:space="preserve">Muitinė gali išduoti </w:t>
      </w:r>
      <w:r>
        <w:rPr>
          <w:rFonts w:ascii="Times New Roman" w:hAnsi="Times New Roman"/>
          <w:b/>
          <w:noProof/>
          <w:sz w:val="24"/>
        </w:rPr>
        <w:t>leidimus taikyti supaprastintas procedūras</w:t>
      </w:r>
      <w:r>
        <w:rPr>
          <w:rFonts w:ascii="Times New Roman" w:hAnsi="Times New Roman"/>
          <w:noProof/>
          <w:sz w:val="24"/>
        </w:rPr>
        <w:t xml:space="preserve">, kaip numatyta Sąjungos muitinės kodekse, jei ekonominės veiklos vykdytojai to prašo ir laikosi atitinkamų reikalavimų. Vienodas sąlygas ir sklandžią prekybą bus ypač sudėtinga užtikrinti tose srityse, kuriose su Jungtine Karalyste prekiaujama aktyviausiai. Komisija padeda valstybėms narėms ieškoti šios problemos sprendimų, kurie būtų visiškai suderinami su dabartine reglamentavimo sistema. </w:t>
      </w:r>
    </w:p>
    <w:p>
      <w:pPr>
        <w:keepNext/>
        <w:spacing w:before="480" w:after="120"/>
        <w:jc w:val="both"/>
        <w:rPr>
          <w:rFonts w:ascii="Times New Roman" w:eastAsia="Times New Roman" w:hAnsi="Times New Roman"/>
          <w:noProof/>
          <w:sz w:val="24"/>
          <w:szCs w:val="24"/>
        </w:rPr>
      </w:pPr>
      <w:r>
        <w:rPr>
          <w:rFonts w:ascii="Times New Roman" w:hAnsi="Times New Roman"/>
          <w:b/>
          <w:i/>
          <w:noProof/>
          <w:sz w:val="24"/>
        </w:rPr>
        <w:t>Sanitarijos ir fitosanitarijos reikalavimai</w:t>
      </w:r>
      <w:r>
        <w:rPr>
          <w:rStyle w:val="FootnoteReference"/>
          <w:rFonts w:ascii="Times New Roman" w:hAnsi="Times New Roman"/>
          <w:b/>
          <w:i/>
          <w:noProof/>
          <w:sz w:val="24"/>
        </w:rPr>
        <w:footnoteReference w:id="22"/>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Išstojimo be susitarimo atveju nuo išstojimo dienos daugelį prekių ir gyvūnų, kuriems taikomos </w:t>
      </w:r>
      <w:r>
        <w:rPr>
          <w:rFonts w:ascii="Times New Roman" w:hAnsi="Times New Roman"/>
          <w:b/>
          <w:noProof/>
          <w:sz w:val="24"/>
        </w:rPr>
        <w:t>sanitarinės ir fitosanitarinės taisyklės</w:t>
      </w:r>
      <w:r>
        <w:rPr>
          <w:rFonts w:ascii="Times New Roman" w:hAnsi="Times New Roman"/>
          <w:noProof/>
          <w:sz w:val="24"/>
        </w:rPr>
        <w:t xml:space="preserve">, bus draudžiama įvežti, nebent ES teisės aktuose Jungtinė Karalystė bus įtraukta į trečiųjų šalių, iš kurių juos įvežti leidžiama, sąrašą. </w:t>
      </w:r>
    </w:p>
    <w:p>
      <w:pPr>
        <w:pStyle w:val="ListParagraph"/>
        <w:numPr>
          <w:ilvl w:val="0"/>
          <w:numId w:val="4"/>
        </w:numPr>
        <w:tabs>
          <w:tab w:val="left" w:pos="7938"/>
        </w:tabs>
        <w:spacing w:before="240" w:after="120"/>
        <w:contextualSpacing/>
        <w:rPr>
          <w:rFonts w:ascii="Times New Roman" w:eastAsia="Times New Roman" w:hAnsi="Times New Roman"/>
          <w:noProof/>
          <w:sz w:val="24"/>
          <w:szCs w:val="24"/>
        </w:rPr>
      </w:pPr>
      <w:r>
        <w:rPr>
          <w:rFonts w:ascii="Times New Roman" w:hAnsi="Times New Roman"/>
          <w:noProof/>
          <w:sz w:val="24"/>
        </w:rPr>
        <w:t>Remdamasi ES veterinarijos teisės aktais Komisija, jei pagrįsta ir bus laikomasi visų taikomų sąlygų, greitai įtrauks Jungtinę Karalystę į reikiamą sąrašą</w:t>
      </w:r>
      <w:r>
        <w:rPr>
          <w:rStyle w:val="FootnoteReference"/>
          <w:rFonts w:ascii="Times New Roman" w:hAnsi="Times New Roman"/>
          <w:noProof/>
        </w:rPr>
        <w:footnoteReference w:id="23"/>
      </w:r>
      <w:r>
        <w:rPr>
          <w:rFonts w:ascii="Times New Roman" w:hAnsi="Times New Roman"/>
          <w:noProof/>
          <w:sz w:val="24"/>
        </w:rPr>
        <w:t>, kad iš Jungtinės Karalystės į Europos Sąjungą būtų galima įvežti gyvus gyvūnus ir gyvūninės kilmės produktus</w:t>
      </w:r>
      <w:r>
        <w:rPr>
          <w:rStyle w:val="FootnoteReference"/>
          <w:rFonts w:ascii="Times New Roman" w:hAnsi="Times New Roman"/>
          <w:noProof/>
        </w:rPr>
        <w:footnoteReference w:id="24"/>
      </w:r>
      <w:r>
        <w:rPr>
          <w:rFonts w:ascii="Times New Roman" w:hAnsi="Times New Roman"/>
          <w:noProof/>
          <w:sz w:val="24"/>
        </w:rPr>
        <w:t xml:space="preserve">. </w:t>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Tačiau net jei Jungtinė Karalystė ir bus įtraukta į sąrašą, ji turės laikytis trečiosioms šalims taikomų </w:t>
      </w:r>
      <w:r>
        <w:rPr>
          <w:rFonts w:ascii="Times New Roman" w:hAnsi="Times New Roman"/>
          <w:b/>
          <w:noProof/>
          <w:sz w:val="24"/>
        </w:rPr>
        <w:t>griežtų su sveikata susijusių importo sąlygų</w:t>
      </w:r>
      <w:r>
        <w:rPr>
          <w:rFonts w:ascii="Times New Roman" w:hAnsi="Times New Roman"/>
          <w:noProof/>
          <w:sz w:val="24"/>
        </w:rPr>
        <w:t xml:space="preserve"> ir valstybių narių tarnybos pasienio kontrolės postuose turės atlikti sanitarijos ir fitosanitarijos patikrinimus, už kuriuos atsakomybė tenka atitinkamai valstybei narei. Tvirtindama naujus pasienio kontrolės postus 27 ES valstybėse narėse ar esamų postų plėtrą Komisija atsižvelgs į taikomuose ES teisės aktuose numatytas lankstumo galimybes.</w:t>
      </w:r>
    </w:p>
    <w:p>
      <w:pPr>
        <w:keepNext/>
        <w:spacing w:before="480" w:after="120"/>
        <w:jc w:val="both"/>
        <w:rPr>
          <w:rFonts w:ascii="Times New Roman" w:eastAsia="Times New Roman" w:hAnsi="Times New Roman"/>
          <w:b/>
          <w:i/>
          <w:noProof/>
          <w:sz w:val="24"/>
          <w:szCs w:val="24"/>
        </w:rPr>
      </w:pPr>
      <w:r>
        <w:rPr>
          <w:rFonts w:ascii="Times New Roman" w:hAnsi="Times New Roman"/>
          <w:b/>
          <w:i/>
          <w:noProof/>
          <w:sz w:val="24"/>
        </w:rPr>
        <w:t>Asmens duomenys</w:t>
      </w:r>
      <w:r>
        <w:rPr>
          <w:rStyle w:val="FootnoteReference"/>
          <w:rFonts w:ascii="Times New Roman" w:hAnsi="Times New Roman"/>
          <w:b/>
          <w:i/>
          <w:noProof/>
          <w:sz w:val="24"/>
        </w:rPr>
        <w:footnoteReference w:id="25"/>
      </w:r>
    </w:p>
    <w:p>
      <w:pPr>
        <w:spacing w:before="240" w:after="120"/>
        <w:jc w:val="both"/>
        <w:rPr>
          <w:rFonts w:ascii="Times New Roman" w:eastAsia="Times New Roman" w:hAnsi="Times New Roman"/>
          <w:noProof/>
          <w:sz w:val="24"/>
          <w:szCs w:val="24"/>
        </w:rPr>
      </w:pPr>
      <w:r>
        <w:rPr>
          <w:rFonts w:ascii="Times New Roman" w:hAnsi="Times New Roman"/>
          <w:noProof/>
          <w:sz w:val="24"/>
        </w:rPr>
        <w:t>Išstojimo be susitarimo atveju nuo išstojimo dienos asmens duomenų perdavimui į Jungtinę Karalystę bus taikomos tarptautinio duomenų perdavimo taisyklės pagal Bendrąjį duomenų apsaugos reglamentą (ES) 2016/679, teisėsaugos sektoriui skirtą Direktyvą (ES) 2016/680 ir Europos Sąjungos institucijoms bei įstaigoms skirtą Reglamentą (EB) Nr. 45/2001</w:t>
      </w:r>
      <w:r>
        <w:rPr>
          <w:rStyle w:val="FootnoteReference"/>
          <w:rFonts w:ascii="Times New Roman" w:hAnsi="Times New Roman"/>
          <w:noProof/>
        </w:rPr>
        <w:footnoteReference w:id="26"/>
      </w:r>
      <w:r>
        <w:rPr>
          <w:rFonts w:ascii="Times New Roman" w:hAnsi="Times New Roman"/>
          <w:noProof/>
          <w:sz w:val="24"/>
        </w:rPr>
        <w:t xml:space="preserve">. </w:t>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Bendrajame duomenų apsaugos reglamente, Direktyvoje 2016/680 ir Reglamente 45/2001 pateikiamas platus duomenų perdavimo į trečiąsias šalis priemonių rinkinys. Tarp jų visų pirma paminėtinos vadinamosios „tinkamos apsaugos priemonės“ (pvz., Komisijos patvirtintos  standartinės sutarčių sąlygos, įmonei privalomos taisyklės, administraciniai susitarimai), kuriomis gali naudotis ir privačiojo sektoriaus subjektai, ir valdžios institucijos. </w:t>
      </w:r>
    </w:p>
    <w:p>
      <w:pPr>
        <w:spacing w:before="240" w:after="120"/>
        <w:jc w:val="both"/>
        <w:rPr>
          <w:rFonts w:ascii="Times New Roman" w:eastAsia="Times New Roman" w:hAnsi="Times New Roman"/>
          <w:noProof/>
          <w:sz w:val="24"/>
          <w:szCs w:val="24"/>
        </w:rPr>
      </w:pPr>
      <w:r>
        <w:rPr>
          <w:rFonts w:ascii="Times New Roman" w:hAnsi="Times New Roman"/>
          <w:noProof/>
          <w:sz w:val="24"/>
        </w:rPr>
        <w:t xml:space="preserve">Be to, minėtuose trijuose teisės aktuose tam tikroms situacijoms, pavyzdžiui, jei duomenų subjektas aiškiai sutinka su duomenų perdavimu arba jei duomenys reikalingi sutarčiai vykdyti, ieškiniui pateikti ar dėl svarbių viešojo intereso priežasčių, numatyta keletas išimčių, leidžiančių perduoti duomenis ir be tinkamų apsaugos priemonių. Tai tos pačios priemonės, kuriomis naudojamasi keičiantis duomenimis su daugeliu pasaulio šalių, kurių atžvilgiu nepriimtas sprendimas dėl tinkamumo. </w:t>
      </w:r>
    </w:p>
    <w:p>
      <w:pPr>
        <w:spacing w:before="240" w:after="120"/>
        <w:jc w:val="both"/>
        <w:rPr>
          <w:rFonts w:ascii="Times New Roman" w:eastAsia="Times New Roman" w:hAnsi="Times New Roman"/>
          <w:noProof/>
          <w:sz w:val="24"/>
          <w:szCs w:val="24"/>
        </w:rPr>
      </w:pPr>
      <w:r>
        <w:rPr>
          <w:rFonts w:ascii="Times New Roman" w:hAnsi="Times New Roman"/>
          <w:noProof/>
          <w:sz w:val="24"/>
        </w:rPr>
        <w:t>Atsižvelgiant į minėtuose teisės aktuose numatytas galimybes, sprendimo dėl tinkamumo priėmimas nėra Komisijos nenumatytų atvejų planavimo dalis.</w:t>
      </w:r>
    </w:p>
    <w:p>
      <w:pPr>
        <w:keepNext/>
        <w:spacing w:before="480" w:after="120"/>
        <w:jc w:val="both"/>
        <w:rPr>
          <w:rFonts w:ascii="Times New Roman" w:eastAsia="Times New Roman" w:hAnsi="Times New Roman"/>
          <w:noProof/>
          <w:sz w:val="24"/>
          <w:szCs w:val="24"/>
        </w:rPr>
      </w:pPr>
      <w:r>
        <w:rPr>
          <w:rFonts w:ascii="Times New Roman" w:hAnsi="Times New Roman"/>
          <w:b/>
          <w:i/>
          <w:noProof/>
          <w:sz w:val="24"/>
        </w:rPr>
        <w:t>ES klimato politika</w:t>
      </w:r>
    </w:p>
    <w:p>
      <w:pPr>
        <w:pStyle w:val="NormalWeb"/>
        <w:jc w:val="both"/>
        <w:rPr>
          <w:noProof/>
        </w:rPr>
      </w:pPr>
      <w:r>
        <w:rPr>
          <w:noProof/>
        </w:rPr>
        <w:t>Išstojimo be susitarimo atveju nuo išstojimo dienos Jungtinei Karalystei ir jos teritorijoje nebegalios visi ES kovos su klimato kaita srities teisės aktai (dėl ES apyvartinių taršos leidimų prekybos, fluorintų šiltnamio efektą sukeliančių dujų ir kt.). Komisija atidžiai stebės, ar ES apyvartinių taršos leidimų prekybos sistema tinkamai veikia Jungtinės Karalystės išstojimo aplinkybėmis. Prireikus ji imsis priemonių, kad būtų išsaugotas šio mechanizmo vientisumas, pavyzdžiui, ji galėtų laikinai sustabdyti aukcionų ir nemokamo apyvartinių taršos leidimų paskirstymo ir (arba) keitimo procesus, kuriuose dalyvauja Jungtinė Karalystė.</w:t>
      </w:r>
    </w:p>
    <w:p>
      <w:pPr>
        <w:pStyle w:val="NormalWeb"/>
        <w:jc w:val="both"/>
        <w:rPr>
          <w:noProof/>
        </w:rPr>
      </w:pPr>
    </w:p>
    <w:p>
      <w:pPr>
        <w:pStyle w:val="NormalWeb"/>
        <w:jc w:val="both"/>
        <w:rPr>
          <w:noProof/>
        </w:rPr>
      </w:pPr>
      <w:r>
        <w:rPr>
          <w:noProof/>
        </w:rPr>
        <w:t>Siekiant užtikrinti fluorintų šiltnamio efektą sukeliančių dujų kvotų sistemos veikimą, jei iki 2019 m. kovo mėn. nebūtų ratifikuotas susitarimas dėl išstojimo, apskaičiuojant 2019 m. metines kvotas reikėtų nebeatsižvelgti į šių dujų, kurias JK bendrovės teisėtai pateikė savo šalies rinkai, kiekius, nes po išstojimo dienos ES rinka bus mažesnė.</w:t>
      </w:r>
    </w:p>
    <w:p>
      <w:pPr>
        <w:pStyle w:val="NormalWeb"/>
        <w:ind w:left="720"/>
        <w:jc w:val="both"/>
        <w:rPr>
          <w:noProof/>
        </w:rPr>
      </w:pPr>
    </w:p>
    <w:p>
      <w:pPr>
        <w:pStyle w:val="NormalWeb"/>
        <w:numPr>
          <w:ilvl w:val="0"/>
          <w:numId w:val="25"/>
        </w:numPr>
        <w:jc w:val="both"/>
        <w:rPr>
          <w:noProof/>
        </w:rPr>
      </w:pPr>
      <w:r>
        <w:rPr>
          <w:noProof/>
        </w:rPr>
        <w:t>Komisija pakoreguos JK bendrovių orientacines vertes, kuriomis remiantis apskaičiuojamos jų 2019 m. metinės fluorintų šiltnamio efektą sukeliančių dujų kvotos – bus atsižvelgiama tik į jų deklaruotą veiklą 27 ES valstybėse narėse, o į kvotas, susijusias su deklaruota veikla JK viduje, nebus atsižvelgiama</w:t>
      </w:r>
      <w:r>
        <w:rPr>
          <w:rStyle w:val="FootnoteReference"/>
          <w:noProof/>
        </w:rPr>
        <w:footnoteReference w:id="27"/>
      </w:r>
      <w:r>
        <w:rPr>
          <w:noProof/>
        </w:rPr>
        <w:t>.</w:t>
      </w:r>
    </w:p>
    <w:p>
      <w:pPr>
        <w:pStyle w:val="NormalWeb"/>
        <w:numPr>
          <w:ilvl w:val="0"/>
          <w:numId w:val="29"/>
        </w:numPr>
        <w:spacing w:before="600"/>
        <w:ind w:hanging="720"/>
        <w:jc w:val="both"/>
        <w:rPr>
          <w:b/>
          <w:noProof/>
        </w:rPr>
      </w:pPr>
      <w:r>
        <w:rPr>
          <w:b/>
          <w:noProof/>
        </w:rPr>
        <w:t>Tolesni su nenumatytais atvejais susiję veiksmai</w:t>
      </w:r>
    </w:p>
    <w:p>
      <w:pPr>
        <w:spacing w:before="120" w:after="200"/>
        <w:jc w:val="both"/>
        <w:rPr>
          <w:rFonts w:ascii="Times New Roman" w:eastAsia="Times New Roman" w:hAnsi="Times New Roman"/>
          <w:noProof/>
          <w:sz w:val="24"/>
          <w:szCs w:val="24"/>
        </w:rPr>
      </w:pPr>
      <w:r>
        <w:rPr>
          <w:rFonts w:ascii="Times New Roman" w:hAnsi="Times New Roman"/>
          <w:noProof/>
          <w:sz w:val="24"/>
        </w:rPr>
        <w:t xml:space="preserve">Europos Sąjungos ir Jungtinės Karalystės derybos dėl susitarimo dėl išstojimo tęsiasi ir Komisija yra visiškai atsidavusi šiam procesui. </w:t>
      </w:r>
    </w:p>
    <w:p>
      <w:pPr>
        <w:spacing w:after="200"/>
        <w:jc w:val="both"/>
        <w:rPr>
          <w:rFonts w:ascii="Times New Roman" w:eastAsia="Times New Roman" w:hAnsi="Times New Roman"/>
          <w:noProof/>
          <w:sz w:val="24"/>
          <w:szCs w:val="24"/>
        </w:rPr>
      </w:pPr>
      <w:r>
        <w:rPr>
          <w:rFonts w:ascii="Times New Roman" w:hAnsi="Times New Roman"/>
          <w:noProof/>
          <w:sz w:val="24"/>
        </w:rPr>
        <w:t>Tačiau Jungtinės Karalystės išstojimo datai artėjant turime toliau ruoštis visiems galimiems variantams. Pirmiau aprašyti nenumatytiems atvejams skirti veiksmai turi būti ypač glaudžiai koordinuojami visais lygmenimis – Europos Sąjungos, nacionaliniu ir vietos lygmeniu bei su suinteresuotųjų subjektų veiksmais. Šiame komunikate Komisija išdėstė pagrindinius veiksmus, kurių reikia imtis svarbiausiose srityse</w:t>
      </w:r>
      <w:r>
        <w:rPr>
          <w:rStyle w:val="FootnoteReference"/>
          <w:rFonts w:ascii="Times New Roman" w:hAnsi="Times New Roman"/>
          <w:noProof/>
        </w:rPr>
        <w:footnoteReference w:id="28"/>
      </w:r>
      <w:r>
        <w:rPr>
          <w:rFonts w:ascii="Times New Roman" w:hAnsi="Times New Roman"/>
          <w:noProof/>
          <w:sz w:val="24"/>
        </w:rPr>
        <w:t>.</w:t>
      </w:r>
      <w:r>
        <w:rPr>
          <w:rFonts w:ascii="Times New Roman" w:hAnsi="Times New Roman"/>
          <w:b/>
          <w:noProof/>
          <w:sz w:val="24"/>
        </w:rPr>
        <w:t xml:space="preserve"> </w:t>
      </w:r>
    </w:p>
    <w:p>
      <w:pPr>
        <w:spacing w:after="200"/>
        <w:jc w:val="both"/>
        <w:rPr>
          <w:rFonts w:ascii="Times New Roman" w:eastAsia="Times New Roman" w:hAnsi="Times New Roman"/>
          <w:noProof/>
          <w:sz w:val="24"/>
          <w:szCs w:val="24"/>
        </w:rPr>
      </w:pPr>
      <w:r>
        <w:rPr>
          <w:rFonts w:ascii="Times New Roman" w:hAnsi="Times New Roman"/>
          <w:noProof/>
          <w:sz w:val="24"/>
        </w:rPr>
        <w:t xml:space="preserve">Komisija atkreipia dėmesį į tai, kad, priimant kai kurias priemones, paspartinti procedūrinių reikalavimų vykdymo neįmanoma, pavyzdžiui, Sutarčių 1 ir 2 protokoluose nustatyta, kad, priimant teisės aktus, su nacionaliniais parlamentais turi būti konsultuojamasi aštuonias savaites. Savo ruožtu deleguotuosius aktus privaloma tvarka tikrina Europos Parlamentas ir Taryba ir šio proceso visais atvejais paspartinti neįmanoma. </w:t>
      </w:r>
    </w:p>
    <w:p>
      <w:pPr>
        <w:spacing w:after="200"/>
        <w:jc w:val="both"/>
        <w:rPr>
          <w:rFonts w:ascii="Times New Roman" w:eastAsia="Times New Roman" w:hAnsi="Times New Roman"/>
          <w:noProof/>
          <w:sz w:val="24"/>
          <w:szCs w:val="24"/>
        </w:rPr>
      </w:pPr>
      <w:r>
        <w:rPr>
          <w:rFonts w:ascii="Times New Roman" w:hAnsi="Times New Roman"/>
          <w:noProof/>
          <w:sz w:val="24"/>
        </w:rPr>
        <w:t xml:space="preserve">Siekiant visas reikiamas teisėkūros priemones priimti laiku, </w:t>
      </w:r>
      <w:r>
        <w:rPr>
          <w:rFonts w:ascii="Times New Roman" w:hAnsi="Times New Roman"/>
          <w:b/>
          <w:noProof/>
          <w:sz w:val="24"/>
        </w:rPr>
        <w:t>visos susijusios ES institucijos turi visapusiškai bendradarbiauti</w:t>
      </w:r>
      <w:r>
        <w:rPr>
          <w:rFonts w:ascii="Times New Roman" w:hAnsi="Times New Roman"/>
          <w:noProof/>
          <w:sz w:val="24"/>
        </w:rPr>
        <w:t>, kad išvengtume vėlavimo dėl svarstymų, nesusijusių su „Brexit’u“.</w:t>
      </w:r>
    </w:p>
    <w:p>
      <w:pPr>
        <w:spacing w:after="200"/>
        <w:jc w:val="both"/>
        <w:rPr>
          <w:rFonts w:ascii="Times New Roman" w:eastAsia="Times New Roman" w:hAnsi="Times New Roman"/>
          <w:noProof/>
          <w:sz w:val="24"/>
          <w:szCs w:val="24"/>
        </w:rPr>
      </w:pPr>
      <w:r>
        <w:rPr>
          <w:rFonts w:ascii="Times New Roman" w:hAnsi="Times New Roman"/>
          <w:noProof/>
          <w:sz w:val="24"/>
        </w:rPr>
        <w:t xml:space="preserve">5 priede nurodyti minimalūs antrojo lygmens teisės aktų, kuriuos remdamasi savo įgaliojimais priima Komisija, priėmimo terminai. </w:t>
      </w:r>
    </w:p>
    <w:p>
      <w:pPr>
        <w:pBdr>
          <w:top w:val="single" w:sz="4" w:space="0" w:color="000000"/>
          <w:left w:val="single" w:sz="4" w:space="0" w:color="000000"/>
          <w:bottom w:val="single" w:sz="4" w:space="5" w:color="000000"/>
          <w:right w:val="single" w:sz="4" w:space="0" w:color="000000"/>
        </w:pBdr>
        <w:spacing w:after="200"/>
        <w:jc w:val="both"/>
        <w:rPr>
          <w:rFonts w:ascii="Times New Roman" w:eastAsia="Times New Roman" w:hAnsi="Times New Roman"/>
          <w:noProof/>
          <w:sz w:val="24"/>
          <w:szCs w:val="24"/>
        </w:rPr>
      </w:pPr>
      <w:r>
        <w:rPr>
          <w:rFonts w:ascii="Times New Roman" w:hAnsi="Times New Roman"/>
          <w:noProof/>
          <w:sz w:val="24"/>
        </w:rPr>
        <w:t>Atsižvelgdama į tai, Komisija ketina:</w:t>
      </w:r>
    </w:p>
    <w:p>
      <w:pPr>
        <w:pStyle w:val="ListParagraph"/>
        <w:numPr>
          <w:ilvl w:val="2"/>
          <w:numId w:val="32"/>
        </w:numPr>
        <w:pBdr>
          <w:top w:val="single" w:sz="4" w:space="0" w:color="000000"/>
          <w:left w:val="single" w:sz="4" w:space="0" w:color="000000"/>
          <w:bottom w:val="single" w:sz="4" w:space="5" w:color="000000"/>
          <w:right w:val="single" w:sz="4" w:space="0" w:color="000000"/>
        </w:pBdr>
        <w:tabs>
          <w:tab w:val="left" w:pos="567"/>
        </w:tabs>
        <w:spacing w:after="200"/>
        <w:ind w:left="567" w:hanging="567"/>
        <w:jc w:val="both"/>
        <w:rPr>
          <w:rFonts w:ascii="Times New Roman" w:eastAsia="Times New Roman" w:hAnsi="Times New Roman"/>
          <w:noProof/>
          <w:sz w:val="24"/>
          <w:szCs w:val="24"/>
        </w:rPr>
      </w:pPr>
      <w:r>
        <w:rPr>
          <w:rFonts w:ascii="Times New Roman" w:hAnsi="Times New Roman"/>
          <w:noProof/>
          <w:sz w:val="24"/>
        </w:rPr>
        <w:t>visas reikiamas teisėkūros priemones pasiūlyti ir visus deleguotuosius aktus priimti iki 2018 m. gruodžio 31 d.;</w:t>
      </w:r>
    </w:p>
    <w:p>
      <w:pPr>
        <w:pStyle w:val="ListParagraph"/>
        <w:numPr>
          <w:ilvl w:val="2"/>
          <w:numId w:val="32"/>
        </w:numPr>
        <w:pBdr>
          <w:top w:val="single" w:sz="4" w:space="0" w:color="000000"/>
          <w:left w:val="single" w:sz="4" w:space="0" w:color="000000"/>
          <w:bottom w:val="single" w:sz="4" w:space="5" w:color="000000"/>
          <w:right w:val="single" w:sz="4" w:space="0" w:color="000000"/>
        </w:pBdr>
        <w:tabs>
          <w:tab w:val="left" w:pos="567"/>
        </w:tabs>
        <w:spacing w:after="200"/>
        <w:ind w:left="567" w:hanging="567"/>
        <w:jc w:val="both"/>
        <w:rPr>
          <w:rFonts w:ascii="Times New Roman" w:eastAsia="Times New Roman" w:hAnsi="Times New Roman"/>
          <w:noProof/>
          <w:sz w:val="24"/>
          <w:szCs w:val="24"/>
        </w:rPr>
      </w:pPr>
      <w:r>
        <w:rPr>
          <w:rFonts w:ascii="Times New Roman" w:hAnsi="Times New Roman"/>
          <w:noProof/>
          <w:sz w:val="24"/>
        </w:rPr>
        <w:t>tuomet teisėkūros procedūra priimamų aktų atžvilgiu Europos Parlamentas ir Taryba turės pakankamai laiko užbaigti įprastą teisėkūros procedūrą iki šios kadencijos Parlamento plenarinio posėdžio 2019 m. kovo mėn., o deleguotųjų aktų atžvilgiu – atlikti reikiamą kontrolę;</w:t>
      </w:r>
    </w:p>
    <w:p>
      <w:pPr>
        <w:pStyle w:val="ListParagraph"/>
        <w:numPr>
          <w:ilvl w:val="2"/>
          <w:numId w:val="32"/>
        </w:numPr>
        <w:pBdr>
          <w:top w:val="single" w:sz="4" w:space="0" w:color="000000"/>
          <w:left w:val="single" w:sz="4" w:space="0" w:color="000000"/>
          <w:bottom w:val="single" w:sz="4" w:space="5" w:color="000000"/>
          <w:right w:val="single" w:sz="4" w:space="0" w:color="000000"/>
        </w:pBdr>
        <w:tabs>
          <w:tab w:val="left" w:pos="567"/>
        </w:tabs>
        <w:spacing w:after="120"/>
        <w:ind w:left="567" w:hanging="567"/>
        <w:jc w:val="both"/>
        <w:rPr>
          <w:rFonts w:ascii="Times New Roman" w:eastAsia="Times New Roman" w:hAnsi="Times New Roman"/>
          <w:noProof/>
          <w:sz w:val="24"/>
          <w:szCs w:val="24"/>
        </w:rPr>
      </w:pPr>
      <w:r>
        <w:rPr>
          <w:rFonts w:ascii="Times New Roman" w:hAnsi="Times New Roman"/>
          <w:noProof/>
          <w:sz w:val="24"/>
        </w:rPr>
        <w:t>vėliausiai iki 2019 m. vasario 15 d. kompetentingiems komitetams balsuoti pateikti visus reikalingus įgyvendinimo aktų projektus.</w:t>
      </w:r>
    </w:p>
    <w:p>
      <w:pPr>
        <w:spacing w:after="200"/>
        <w:jc w:val="both"/>
        <w:rPr>
          <w:rFonts w:ascii="Times New Roman" w:eastAsia="Times New Roman" w:hAnsi="Times New Roman"/>
          <w:noProof/>
          <w:sz w:val="24"/>
          <w:szCs w:val="24"/>
        </w:rPr>
      </w:pPr>
      <w:r>
        <w:rPr>
          <w:rFonts w:ascii="Times New Roman" w:hAnsi="Times New Roman"/>
          <w:noProof/>
          <w:sz w:val="24"/>
        </w:rPr>
        <w:t xml:space="preserve">Visą šį laikotarpį Komisija deramai koordinuos veiksmus tarp valstybių narių. Tuo tikslu 2018 m. lapkričio arba gruodžio mėn. Tarybos darbo grupė (50 str.) surengs </w:t>
      </w:r>
      <w:r>
        <w:rPr>
          <w:rFonts w:ascii="Times New Roman" w:hAnsi="Times New Roman"/>
          <w:b/>
          <w:noProof/>
          <w:sz w:val="24"/>
        </w:rPr>
        <w:t>keletą sektorinių susitikimų</w:t>
      </w:r>
      <w:r>
        <w:rPr>
          <w:rFonts w:ascii="Times New Roman" w:hAnsi="Times New Roman"/>
          <w:noProof/>
          <w:sz w:val="24"/>
        </w:rPr>
        <w:t xml:space="preserve">, kuriuose dalyvaus 27 ES valstybių narių pasirengimo „Brexit’ui“ koordinatoriai ir atitinkamų nacionalinių administracijų atstovai (plg. 6 priedą). Šie pasirengimo seminarai bus gera proga bendrai įvertinti dabartinę pasirengimo būklę ir nustatyti, ar suinteresuotiesiems subjektams, nacionalinėms administracijoms ar ES lygmeniu reikėtų imtis papildomų veiksmų. Europos Parlamento ir Tarybos posėdžiuose, skirtuose pasirengimo klausimams, Komisija dalyvaus, kiek tik reikės. </w:t>
      </w:r>
    </w:p>
    <w:p>
      <w:pPr>
        <w:spacing w:before="480"/>
        <w:jc w:val="both"/>
        <w:rPr>
          <w:rFonts w:ascii="Times New Roman" w:eastAsia="Times New Roman" w:hAnsi="Times New Roman"/>
          <w:b/>
          <w:i/>
          <w:noProof/>
          <w:sz w:val="24"/>
          <w:szCs w:val="24"/>
        </w:rPr>
      </w:pPr>
      <w:r>
        <w:rPr>
          <w:rFonts w:ascii="Times New Roman" w:hAnsi="Times New Roman"/>
          <w:b/>
          <w:i/>
          <w:noProof/>
          <w:sz w:val="24"/>
        </w:rPr>
        <w:t>ES 27 turi veikti vieningai ir koordinuotai</w:t>
      </w:r>
    </w:p>
    <w:p>
      <w:pPr>
        <w:spacing w:before="240" w:after="200"/>
        <w:jc w:val="both"/>
        <w:rPr>
          <w:rFonts w:ascii="Times New Roman" w:eastAsia="Times New Roman" w:hAnsi="Times New Roman"/>
          <w:noProof/>
          <w:sz w:val="24"/>
          <w:szCs w:val="24"/>
        </w:rPr>
      </w:pPr>
      <w:r>
        <w:rPr>
          <w:rFonts w:ascii="Times New Roman" w:hAnsi="Times New Roman"/>
          <w:noProof/>
          <w:sz w:val="24"/>
        </w:rPr>
        <w:t xml:space="preserve">Komisija ragina valstybes nares šiame precedento neturinčiame išstojimo procese </w:t>
      </w:r>
      <w:r>
        <w:rPr>
          <w:rFonts w:ascii="Times New Roman" w:hAnsi="Times New Roman"/>
          <w:b/>
          <w:noProof/>
          <w:sz w:val="24"/>
        </w:rPr>
        <w:t>išlaikyti vienybę</w:t>
      </w:r>
      <w:r>
        <w:rPr>
          <w:rFonts w:ascii="Times New Roman" w:hAnsi="Times New Roman"/>
          <w:noProof/>
          <w:sz w:val="24"/>
        </w:rPr>
        <w:t xml:space="preserve"> ir toliau rodyti ryžtą ir solidarumą, kuriais pasižymėjo Europos Sąjungos pozicija per visas šias derybas, taip pat pasitikėti, kad </w:t>
      </w:r>
      <w:r>
        <w:rPr>
          <w:rFonts w:ascii="Times New Roman" w:hAnsi="Times New Roman"/>
          <w:b/>
          <w:noProof/>
          <w:sz w:val="24"/>
        </w:rPr>
        <w:t>bendras nenumatytiems atvejams skirtas planas</w:t>
      </w:r>
      <w:r>
        <w:rPr>
          <w:rFonts w:ascii="Times New Roman" w:hAnsi="Times New Roman"/>
          <w:noProof/>
          <w:sz w:val="24"/>
        </w:rPr>
        <w:t xml:space="preserve">, einant čia išdėstytu keliu ir laikantis siūlomų terminų, bus įgyvendintas. Komisija pažymi, kad dvišaliai sprendimai būtų visų pirma nesuderinami su kompetencijų pasidalijimu Europos Sąjungoje, o tais atvejais, kuriais jie su kompetencijų pasidalijimu ir būtų suderinami, galiausiai jie pakenktų Europos Sąjungos vienybei ir padarytų neigiamą poveikį piliečiams, įmonėms bei valdžios institucijoms. </w:t>
      </w:r>
    </w:p>
    <w:p>
      <w:pPr>
        <w:spacing w:after="200"/>
        <w:jc w:val="both"/>
        <w:rPr>
          <w:rFonts w:ascii="Times New Roman" w:eastAsia="Times New Roman" w:hAnsi="Times New Roman"/>
          <w:b/>
          <w:noProof/>
          <w:sz w:val="24"/>
          <w:szCs w:val="24"/>
        </w:rPr>
      </w:pPr>
      <w:r>
        <w:rPr>
          <w:rFonts w:ascii="Times New Roman" w:hAnsi="Times New Roman"/>
          <w:noProof/>
          <w:sz w:val="24"/>
        </w:rPr>
        <w:t xml:space="preserve">Susitarimo dėl išstojimo projektas yra geriausias išstojimo variantas. Jei susitarimas dėl išstojimo nebus sudarytas, Europos Sąjunga gins savo interesus ir visose srityse turėtų veikti vieningai ir koordinuotai. </w:t>
      </w:r>
    </w:p>
    <w:sectPr>
      <w:headerReference w:type="even" r:id="rId20"/>
      <w:headerReference w:type="default" r:id="rId21"/>
      <w:footerReference w:type="even" r:id="rId22"/>
      <w:footerReference w:type="default" r:id="rId23"/>
      <w:headerReference w:type="first" r:id="rId24"/>
      <w:footerReference w:type="first" r:id="rId25"/>
      <w:pgSz w:w="11906" w:h="16838"/>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8639287"/>
      <w:docPartObj>
        <w:docPartGallery w:val="Page Numbers (Bottom of Page)"/>
        <w:docPartUnique/>
      </w:docPartObj>
    </w:sdtPr>
    <w:sdtEndPr>
      <w:rPr>
        <w:rFonts w:ascii="Times New Roman" w:hAnsi="Times New Roman"/>
        <w:noProof/>
      </w:rPr>
    </w:sdtEndPr>
    <w:sdtContent>
      <w:p>
        <w:pPr>
          <w:pStyle w:val="Footer"/>
          <w:jc w:val="right"/>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w:t>
        </w:r>
        <w:r>
          <w:rPr>
            <w:rFonts w:ascii="Times New Roman" w:hAnsi="Times New Roman"/>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 w:id="1">
    <w:p>
      <w:pPr>
        <w:pStyle w:val="FootnoteText"/>
        <w:rPr>
          <w:rFonts w:ascii="Times New Roman" w:eastAsia="Times New Roman" w:hAnsi="Times New Roman"/>
          <w:lang w:val="en-GB"/>
        </w:rPr>
      </w:pPr>
      <w:r>
        <w:rPr>
          <w:rStyle w:val="FootnoteReference"/>
          <w:rFonts w:ascii="Times New Roman" w:hAnsi="Times New Roman"/>
        </w:rPr>
        <w:footnoteRef/>
      </w:r>
      <w:r>
        <w:tab/>
      </w:r>
      <w:hyperlink r:id="rId1">
        <w:r>
          <w:rPr>
            <w:rStyle w:val="Hyperlink"/>
            <w:rFonts w:ascii="Times New Roman" w:hAnsi="Times New Roman"/>
          </w:rPr>
          <w:t>http://data.consilium.europa.eu/doc/document/XT-20006-2018-INIT/lt/pdf</w:t>
        </w:r>
      </w:hyperlink>
      <w:r>
        <w:rPr>
          <w:rFonts w:ascii="Times New Roman" w:hAnsi="Times New Roman"/>
        </w:rPr>
        <w:t>.</w:t>
      </w:r>
    </w:p>
  </w:footnote>
  <w:footnote w:id="2">
    <w:p>
      <w:pPr>
        <w:pStyle w:val="FootnoteText"/>
        <w:ind w:left="720" w:hanging="720"/>
        <w:jc w:val="both"/>
        <w:rPr>
          <w:rFonts w:ascii="Times New Roman" w:eastAsia="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Apie savo ketinimą išstoti iš Sąjungos pagal Europos Sąjungos sutarties 50 straipsnį Jungtinė Karalystė pranešė 2017 m. kovo 29 d. Tai reiškia, kad jei ratifikuotame susitarime dėl išstojimo nebus nustatyta kita data arba pagal Europos Sąjungos sutarties 50 straipsnio 3 dalį Europos Vadovų Taryba kartu su Jungtine Karalyste vieningai nenuspręs, kad Sutartys nustoja galioti vėlesnę dieną, visa Sąjungos pirminė ir antrinė teisė Jungtinei Karalystei nustos galioti 2019 m. kovo 30 d. 00:00 Vidurio Europos laiku. Kol kas Komisija nėra gavusi jokios informacijos, kad Jungtinė Karalystė galėtų prašyti pratęsti savo narystę ES.</w:t>
      </w:r>
    </w:p>
  </w:footnote>
  <w:footnote w:id="3">
    <w:p>
      <w:pPr>
        <w:pStyle w:val="FootnoteText"/>
        <w:rPr>
          <w:lang w:val="pt-PT"/>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COM(2018) 556 </w:t>
      </w:r>
      <w:r>
        <w:rPr>
          <w:rFonts w:ascii="Times New Roman" w:hAnsi="Times New Roman"/>
          <w:i/>
        </w:rPr>
        <w:t>final</w:t>
      </w:r>
      <w:r>
        <w:rPr>
          <w:rFonts w:ascii="Times New Roman" w:hAnsi="Times New Roman"/>
        </w:rPr>
        <w:t>/2.</w:t>
      </w:r>
    </w:p>
  </w:footnote>
  <w:footnote w:id="4">
    <w:p>
      <w:pPr>
        <w:pStyle w:val="FootnoteText"/>
        <w:rPr>
          <w:rFonts w:ascii="Times New Roman" w:hAnsi="Times New Roman"/>
          <w:lang w:val="pt-PT"/>
        </w:rPr>
      </w:pPr>
      <w:r>
        <w:rPr>
          <w:rStyle w:val="FootnoteReference"/>
          <w:rFonts w:ascii="Times New Roman" w:hAnsi="Times New Roman"/>
        </w:rPr>
        <w:footnoteRef/>
      </w:r>
      <w:r>
        <w:rPr>
          <w:rFonts w:ascii="Times New Roman" w:hAnsi="Times New Roman"/>
        </w:rPr>
        <w:t xml:space="preserve"> </w:t>
      </w:r>
      <w:r>
        <w:tab/>
      </w:r>
      <w:hyperlink r:id="rId2">
        <w:r>
          <w:rPr>
            <w:rStyle w:val="Hyperlink"/>
            <w:rFonts w:ascii="Times New Roman" w:hAnsi="Times New Roman"/>
          </w:rPr>
          <w:t>http://data.consilium.europa.eu/doc/document/XT-20006-2018-INIT/lt/pdf</w:t>
        </w:r>
      </w:hyperlink>
      <w:r>
        <w:rPr>
          <w:rFonts w:ascii="Times New Roman" w:hAnsi="Times New Roman"/>
        </w:rPr>
        <w:t xml:space="preserve"> </w:t>
      </w:r>
    </w:p>
  </w:footnote>
  <w:footnote w:id="5">
    <w:p>
      <w:pPr>
        <w:pStyle w:val="FootnoteText"/>
        <w:ind w:left="720" w:hanging="720"/>
        <w:rPr>
          <w:rFonts w:ascii="Times New Roman" w:eastAsia="Times New Roman" w:hAnsi="Times New Roman"/>
          <w:lang w:val="pt-PT"/>
        </w:rPr>
      </w:pPr>
      <w:r>
        <w:rPr>
          <w:rStyle w:val="FootnoteReference"/>
          <w:rFonts w:ascii="Times New Roman" w:hAnsi="Times New Roman"/>
        </w:rPr>
        <w:footnoteRef/>
      </w:r>
      <w:r>
        <w:rPr>
          <w:rFonts w:ascii="Times New Roman" w:hAnsi="Times New Roman"/>
        </w:rPr>
        <w:t xml:space="preserve"> </w:t>
      </w:r>
      <w:r>
        <w:tab/>
      </w:r>
      <w:hyperlink r:id="rId3">
        <w:r>
          <w:rPr>
            <w:rStyle w:val="Hyperlink"/>
            <w:rFonts w:ascii="Times New Roman" w:hAnsi="Times New Roman"/>
          </w:rPr>
          <w:t>https://ec.europa.eu/commission/publications/draft-agreement-withdrawal-united-kingdom-great-britain-and-northern-ireland-european-union-and-european-atomic-energy-community-0_en</w:t>
        </w:r>
      </w:hyperlink>
      <w:r>
        <w:rPr>
          <w:rFonts w:ascii="Times New Roman" w:hAnsi="Times New Roman"/>
        </w:rPr>
        <w:t xml:space="preserve"> </w:t>
      </w:r>
      <w:r>
        <w:rPr>
          <w:rStyle w:val="Hyperlink"/>
          <w:rFonts w:ascii="Times New Roman" w:hAnsi="Times New Roman"/>
        </w:rPr>
        <w:t>https://ec.europa.eu/commission/sites/beta-political/files/draft_agreement_coloured.pdf</w:t>
      </w:r>
    </w:p>
  </w:footnote>
  <w:footnote w:id="6">
    <w:p>
      <w:pPr>
        <w:pStyle w:val="FootnoteText"/>
        <w:rPr>
          <w:rFonts w:ascii="Times New Roman" w:eastAsia="Times New Roman" w:hAnsi="Times New Roman"/>
          <w:lang w:val="pt-PT"/>
        </w:rPr>
      </w:pPr>
      <w:r>
        <w:rPr>
          <w:rStyle w:val="FootnoteReference"/>
          <w:rFonts w:ascii="Times New Roman" w:hAnsi="Times New Roman"/>
        </w:rPr>
        <w:footnoteRef/>
      </w:r>
      <w:r>
        <w:rPr>
          <w:rFonts w:ascii="Times New Roman" w:hAnsi="Times New Roman"/>
        </w:rPr>
        <w:t xml:space="preserve"> </w:t>
      </w:r>
      <w:r>
        <w:tab/>
      </w:r>
      <w:hyperlink r:id="rId4">
        <w:r>
          <w:rPr>
            <w:rStyle w:val="Hyperlink"/>
            <w:rFonts w:ascii="Times New Roman" w:hAnsi="Times New Roman"/>
          </w:rPr>
          <w:t>https://ec.europa.eu/commission/sites/beta-political/files/joint_statement.pdf</w:t>
        </w:r>
      </w:hyperlink>
    </w:p>
  </w:footnote>
  <w:footnote w:id="7">
    <w:p>
      <w:pPr>
        <w:pStyle w:val="FootnoteText"/>
        <w:rPr>
          <w:rFonts w:ascii="Times New Roman" w:hAnsi="Times New Roman"/>
          <w:lang w:val="pt-PT"/>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Žr. tolesnį skirsnį apie piliečius.</w:t>
      </w:r>
    </w:p>
  </w:footnote>
  <w:footnote w:id="8">
    <w:p>
      <w:pPr>
        <w:pStyle w:val="FootnoteText"/>
        <w:rPr>
          <w:lang w:val="pt-PT"/>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Žr. 4 skirsnį.</w:t>
      </w:r>
    </w:p>
  </w:footnote>
  <w:footnote w:id="9">
    <w:p>
      <w:pPr>
        <w:pStyle w:val="FootnoteText"/>
        <w:rPr>
          <w:rFonts w:ascii="Times New Roman" w:hAnsi="Times New Roman"/>
          <w:lang w:val="pt-PT"/>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Visas sąrašas pateikiamas 3 priede.</w:t>
      </w:r>
    </w:p>
  </w:footnote>
  <w:footnote w:id="10">
    <w:p>
      <w:pPr>
        <w:pStyle w:val="FootnoteText"/>
        <w:ind w:left="720" w:hanging="720"/>
        <w:jc w:val="both"/>
        <w:rPr>
          <w:rFonts w:ascii="Times New Roman" w:eastAsia="Times New Roman" w:hAnsi="Times New Roman"/>
          <w:lang w:val="pt-PT"/>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Prireikus vėlesniame etape į šį sąrašą gali būti įtraukiama papildomų veiksmų.</w:t>
      </w:r>
    </w:p>
  </w:footnote>
  <w:footnote w:id="11">
    <w:p>
      <w:pPr>
        <w:pStyle w:val="FootnoteText"/>
        <w:ind w:left="720" w:hanging="720"/>
        <w:jc w:val="both"/>
        <w:rPr>
          <w:rFonts w:ascii="Times New Roman" w:eastAsia="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27 ES valstybėse narėse išstojimo metu gyvenantiems Jungtinės Karalystės piliečiams šios valstybės narės turės įforminti ir išduoti atitinkamus dokumentus kaip trečiosios šalies piliečiams. Kad galėtų toliau gyventi ir dirbti 27 ES valstybėse narėse, tie Jungtinės Karalystės piliečiai turės turėti nacionalinių migracijos institucijų išduotą leidimą gyventi. </w:t>
      </w:r>
    </w:p>
  </w:footnote>
  <w:footnote w:id="12">
    <w:p>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https://www.gov.uk/government/news/pm-brexit-negotiations-statement-21-september-2018.</w:t>
      </w:r>
    </w:p>
  </w:footnote>
  <w:footnote w:id="13">
    <w:p>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COM(2018) 745.</w:t>
      </w:r>
    </w:p>
  </w:footnote>
  <w:footnote w:id="14">
    <w:p>
      <w:pPr>
        <w:pStyle w:val="FootnoteText"/>
        <w:ind w:left="720" w:hanging="720"/>
        <w:jc w:val="both"/>
        <w:rPr>
          <w:rFonts w:ascii="Times New Roman" w:eastAsia="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Suinteresuotiesiems subjektams skirti Komisijos pranešimai šiuo klausimu pateikiami </w:t>
      </w:r>
      <w:hyperlink r:id="rId5" w:anchor="fisma.">
        <w:r>
          <w:rPr>
            <w:rStyle w:val="Hyperlink"/>
            <w:rFonts w:ascii="Times New Roman" w:hAnsi="Times New Roman"/>
          </w:rPr>
          <w:t>https://ec.europa.eu/info/brexit/brexit-preparedness/preparedness-notices_lt#fisma</w:t>
        </w:r>
      </w:hyperlink>
      <w:r>
        <w:rPr>
          <w:rStyle w:val="Hyperlink"/>
          <w:rFonts w:ascii="Times New Roman" w:hAnsi="Times New Roman"/>
        </w:rPr>
        <w:t>.</w:t>
      </w:r>
      <w:r>
        <w:rPr>
          <w:rFonts w:ascii="Times New Roman" w:hAnsi="Times New Roman"/>
        </w:rPr>
        <w:t xml:space="preserve"> </w:t>
      </w:r>
    </w:p>
  </w:footnote>
  <w:footnote w:id="15">
    <w:p>
      <w:pPr>
        <w:pStyle w:val="FootnoteText"/>
        <w:ind w:left="720" w:hanging="720"/>
        <w:rPr>
          <w:rFonts w:ascii="Times New Roman" w:hAnsi="Times New Roman"/>
        </w:rPr>
      </w:pPr>
      <w:r>
        <w:rPr>
          <w:rStyle w:val="FootnoteReference"/>
        </w:rPr>
        <w:footnoteRef/>
      </w:r>
      <w:r>
        <w:t xml:space="preserve"> </w:t>
      </w:r>
      <w:r>
        <w:tab/>
      </w:r>
      <w:r>
        <w:rPr>
          <w:rFonts w:ascii="Times New Roman" w:hAnsi="Times New Roman"/>
        </w:rPr>
        <w:t>Taip pat žr. 2018 m. lapkričio 5 d. EIOPA pranešimą https://eiopa.europa.eu/Pages/News/EIOPA-calls-for-immediate-action-to-ensure-service-continuity-in-cross-border-insurance-.aspx.</w:t>
      </w:r>
    </w:p>
  </w:footnote>
  <w:footnote w:id="16">
    <w:p>
      <w:pPr>
        <w:pStyle w:val="FootnoteText"/>
        <w:ind w:left="720" w:hanging="720"/>
        <w:jc w:val="both"/>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Siekdama palengvinti ilgalaikių sutarčių perkėlimą į Europos Sąjungą, 2018 m. lapkričio 8 d. Europos vertybinių popierių ir rinkų institucija (ESMA) pateikė Komisijai patvirtinti techninių standartų projektą. Šie standartai užtikrins, kad šios sutartys būtų taip pat reglamentuojamos ir po perkėlimo.</w:t>
      </w:r>
    </w:p>
  </w:footnote>
  <w:footnote w:id="17">
    <w:p>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Minėtos priemonės bus taikomos, jei kompetentingame komitete valstybės narės balsuos už jas.</w:t>
      </w:r>
    </w:p>
  </w:footnote>
  <w:footnote w:id="18">
    <w:p>
      <w:pPr>
        <w:pStyle w:val="FootnoteText"/>
        <w:ind w:left="720" w:hanging="720"/>
        <w:jc w:val="both"/>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Suinteresuotiesiems subjektams skirti Komisijos pranešimai šiuo klausimu pateikiami </w:t>
      </w:r>
      <w:hyperlink r:id="rId6" w:anchor="move">
        <w:r>
          <w:rPr>
            <w:rStyle w:val="Hyperlink"/>
            <w:rFonts w:ascii="Times New Roman" w:hAnsi="Times New Roman"/>
          </w:rPr>
          <w:t>https://ec.europa.eu/info/brexit/brexit-preparedness/preparedness-notices_lt#move.</w:t>
        </w:r>
      </w:hyperlink>
      <w:r>
        <w:rPr>
          <w:rFonts w:ascii="Times New Roman" w:hAnsi="Times New Roman"/>
        </w:rPr>
        <w:t xml:space="preserve"> </w:t>
      </w:r>
    </w:p>
  </w:footnote>
  <w:footnote w:id="19">
    <w:p>
      <w:pPr>
        <w:pStyle w:val="FootnoteText"/>
        <w:ind w:left="720" w:hanging="720"/>
        <w:jc w:val="both"/>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Ši priemonė bus taikoma, jei kompetentingame komitete valstybės narės balsuos už ją.</w:t>
      </w:r>
    </w:p>
  </w:footnote>
  <w:footnote w:id="20">
    <w:p>
      <w:pPr>
        <w:pStyle w:val="FootnoteText"/>
        <w:ind w:left="720" w:hanging="720"/>
        <w:jc w:val="both"/>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Suinteresuotiesiems subjektams skirti Komisijos pranešimai šiuo klausimu pateikiami </w:t>
      </w:r>
      <w:hyperlink r:id="rId7" w:anchor="move">
        <w:r>
          <w:rPr>
            <w:rStyle w:val="Hyperlink"/>
            <w:rFonts w:ascii="Times New Roman" w:hAnsi="Times New Roman"/>
          </w:rPr>
          <w:t>https://ec.europa.eu/info/brexit/brexit-preparedness/preparedness-notices_lt#move.</w:t>
        </w:r>
      </w:hyperlink>
      <w:r>
        <w:rPr>
          <w:rFonts w:ascii="Times New Roman" w:hAnsi="Times New Roman"/>
        </w:rPr>
        <w:t xml:space="preserve"> </w:t>
      </w:r>
    </w:p>
  </w:footnote>
  <w:footnote w:id="21">
    <w:p>
      <w:pPr>
        <w:pStyle w:val="FootnoteText"/>
        <w:ind w:left="720" w:hanging="720"/>
        <w:jc w:val="both"/>
        <w:rPr>
          <w:rFonts w:ascii="Times New Roman" w:eastAsia="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Suinteresuotiesiems subjektams skirti Komisijos pranešimai šiuo klausimu pateikiami </w:t>
      </w:r>
      <w:hyperlink r:id="rId8" w:anchor="tradetaxud">
        <w:r>
          <w:rPr>
            <w:rStyle w:val="Hyperlink"/>
            <w:rFonts w:ascii="Times New Roman" w:hAnsi="Times New Roman"/>
          </w:rPr>
          <w:t>https://ec.europa.eu/info/brexit/brexit-preparedness/preparedness-notices_lt#tradetaxud</w:t>
        </w:r>
      </w:hyperlink>
      <w:r>
        <w:rPr>
          <w:rFonts w:ascii="Times New Roman" w:hAnsi="Times New Roman"/>
        </w:rPr>
        <w:t xml:space="preserve"> </w:t>
      </w:r>
    </w:p>
  </w:footnote>
  <w:footnote w:id="22">
    <w:p>
      <w:pPr>
        <w:pStyle w:val="FootnoteText"/>
        <w:ind w:left="720" w:hanging="720"/>
        <w:jc w:val="both"/>
        <w:rPr>
          <w:rFonts w:ascii="Times New Roman" w:eastAsia="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Suinteresuotiesiems subjektams skirti Komisijos pranešimai šiuo klausimu pateikiami adresu </w:t>
      </w:r>
      <w:hyperlink r:id="rId9" w:anchor="sante">
        <w:r>
          <w:rPr>
            <w:rStyle w:val="Hyperlink"/>
            <w:rFonts w:ascii="Times New Roman" w:hAnsi="Times New Roman"/>
          </w:rPr>
          <w:t>https://ec.europa.eu/info/brexit/brexit-preparedness/preparedness-notices_lt#sante.</w:t>
        </w:r>
      </w:hyperlink>
      <w:r>
        <w:rPr>
          <w:rFonts w:ascii="Times New Roman" w:hAnsi="Times New Roman"/>
        </w:rPr>
        <w:t xml:space="preserve"> </w:t>
      </w:r>
    </w:p>
  </w:footnote>
  <w:footnote w:id="23">
    <w:p>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Įtraukimas į sąrašą priklauso nuo to, ar už tai kompetentingame komitete balsuos valstybės narės.</w:t>
      </w:r>
    </w:p>
  </w:footnote>
  <w:footnote w:id="24">
    <w:p>
      <w:pPr>
        <w:pStyle w:val="FootnoteText"/>
        <w:ind w:left="709" w:hanging="709"/>
        <w:jc w:val="both"/>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Komisija pažymi, kad Jungtinės Karalystės Vyriausybė 2018 m. rugsėjo 24 d. paskelbė rekomendacinį pranešimą „dėl gyvūnų ir gyvūninės kilmės produktų importo susitarimo dėl Brexit’o nesudarymo atveju“. Jame teigiama, kad „nuo Jungtinės Karalystės išstojimo iš ES dienos dabartinė importo kontrolės tvarka ir reikalavimai dėl pranešimo apie tiesiogiai iš ES įvežamus gyvus gyvūnus ir gyvūninės kilmės produktus nepasikeis“.</w:t>
      </w:r>
    </w:p>
  </w:footnote>
  <w:footnote w:id="25">
    <w:p>
      <w:pPr>
        <w:pStyle w:val="FootnoteText"/>
        <w:ind w:left="720" w:hanging="720"/>
        <w:jc w:val="both"/>
        <w:rPr>
          <w:rFonts w:ascii="Times New Roman" w:eastAsia="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 xml:space="preserve">Suinteresuotiesiems subjektams skirti Komisijos pranešimai šiuo klausimu pateikiami adresu </w:t>
      </w:r>
      <w:hyperlink r:id="rId10">
        <w:r>
          <w:rPr>
            <w:rStyle w:val="Hyperlink"/>
            <w:rFonts w:ascii="Times New Roman" w:hAnsi="Times New Roman"/>
          </w:rPr>
          <w:t>https://ec.europa.eu/info/sites/info/files/file_import/data_protection_en.pdf</w:t>
        </w:r>
      </w:hyperlink>
      <w:r>
        <w:rPr>
          <w:rFonts w:ascii="Times New Roman" w:hAnsi="Times New Roman"/>
        </w:rPr>
        <w:t xml:space="preserve">. </w:t>
      </w:r>
    </w:p>
  </w:footnote>
  <w:footnote w:id="26">
    <w:p>
      <w:pPr>
        <w:pStyle w:val="FootnoteText"/>
        <w:ind w:left="720" w:hanging="720"/>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Arba pagal jį pakeisiančią priemonę, kai ji įsigalios.</w:t>
      </w:r>
    </w:p>
  </w:footnote>
  <w:footnote w:id="27">
    <w:p>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Ši priemonė bus taikoma, jei kompetentingame komitete valstybės narės balsuos už ją.</w:t>
      </w:r>
    </w:p>
  </w:footnote>
  <w:footnote w:id="28">
    <w:p>
      <w:pPr>
        <w:pStyle w:val="FootnoteText"/>
        <w:rPr>
          <w:lang w:val="en-GB"/>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Jų apžvalga pateikiama 4 priede.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sz w:val="20"/>
        <w:lang w:val="en-GB" w:eastAsia="en-GB" w:bidi="ar-SA"/>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 name="WordArt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a:extLst>
                        <a:ext uri="{91240B29-F687-4F45-9708-019B960494DF}">
                          <a14:hiddenLine xmlns:a14="http://schemas.microsoft.com/office/drawing/2010/main" w="9525">
                            <a:solidFill>
                              <a:srgbClr val="000000"/>
                            </a:solidFill>
                            <a:round/>
                            <a:headEnd/>
                            <a:tailEnd/>
                          </a14:hiddenLine>
                        </a:ext>
                      </a:extLst>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xmlns:o="urn:schemas-microsoft-com:office:office" xmlns:w14="http://schemas.microsoft.com/office/word/2010/wordml" xmlns:v="urn:schemas-microsoft-com:vml" w14:anchorId="501CA460" id="_x0000_t202" coordsize="21600,21600" o:spt="202" path="m,l,21600r21600,l21600,xe">
              <v:stroke joinstyle="miter"/>
              <v:path gradientshapeok="t" o:connecttype="rect"/>
            </v:shapetype>
            <v:shape xmlns:o="urn:schemas-microsoft-com:office:office" xmlns:v="urn:schemas-microsoft-com:vml" id="WordArt 7" o:spid="_x0000_s1026" type="#_x0000_t202"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" filled="f" stroked="f">
              <v:stroke joinstyle="round"/>
              <o:lock v:ext="edit" selection="t" text="t" shapetype="t"/>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sz w:val="20"/>
        <w:lang w:val="en-GB" w:eastAsia="en-GB" w:bidi="ar-SA"/>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WordArt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a:extLst>
                        <a:ext uri="{91240B29-F687-4F45-9708-019B960494DF}">
                          <a14:hiddenLine xmlns:a14="http://schemas.microsoft.com/office/drawing/2010/main" w="9525">
                            <a:solidFill>
                              <a:srgbClr val="000000"/>
                            </a:solidFill>
                            <a:round/>
                            <a:headEnd/>
                            <a:tailEnd/>
                          </a14:hiddenLine>
                        </a:ext>
                      </a:extLst>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xmlns:o="urn:schemas-microsoft-com:office:office" xmlns:w14="http://schemas.microsoft.com/office/word/2010/wordml" xmlns:v="urn:schemas-microsoft-com:vml" w14:anchorId="157C6293" id="_x0000_t202" coordsize="21600,21600" o:spt="202" path="m,l,21600r21600,l21600,xe">
              <v:stroke joinstyle="miter"/>
              <v:path gradientshapeok="t" o:connecttype="rect"/>
            </v:shapetype>
            <v:shape xmlns:o="urn:schemas-microsoft-com:office:office" xmlns:v="urn:schemas-microsoft-com:vml" id="WordArt 6" o:spid="_x0000_s1026" type="#_x0000_t202"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" filled="f" stroked="f">
              <v:stroke joinstyle="round"/>
              <o:lock v:ext="edit" selection="t" text="t" shapetype="t"/>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sz w:val="20"/>
        <w:lang w:val="en-GB" w:eastAsia="en-GB" w:bidi="ar-SA"/>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 name="WordArt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a:extLst>
                        <a:ext uri="{91240B29-F687-4F45-9708-019B960494DF}">
                          <a14:hiddenLine xmlns:a14="http://schemas.microsoft.com/office/drawing/2010/main" w="9525">
                            <a:solidFill>
                              <a:srgbClr val="000000"/>
                            </a:solidFill>
                            <a:round/>
                            <a:headEnd/>
                            <a:tailEnd/>
                          </a14:hiddenLine>
                        </a:ext>
                      </a:extLst>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xmlns:o="urn:schemas-microsoft-com:office:office" xmlns:w14="http://schemas.microsoft.com/office/word/2010/wordml" xmlns:v="urn:schemas-microsoft-com:vml" w14:anchorId="0B4862EC" id="_x0000_t202" coordsize="21600,21600" o:spt="202" path="m,l,21600r21600,l21600,xe">
              <v:stroke joinstyle="miter"/>
              <v:path gradientshapeok="t" o:connecttype="rect"/>
            </v:shapetype>
            <v:shape xmlns:o="urn:schemas-microsoft-com:office:office" xmlns:v="urn:schemas-microsoft-com:vml" id="WordArt 5"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" filled="f" stroked="f">
              <v:stroke joinstyle="round"/>
              <o:lock v:ext="edit" selection="t" text="t" shapetype="t"/>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4E93"/>
    <w:multiLevelType w:val="hybridMultilevel"/>
    <w:tmpl w:val="00BEDFB8"/>
    <w:lvl w:ilvl="0" w:tplc="415CB20E">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B20707"/>
    <w:multiLevelType w:val="hybridMultilevel"/>
    <w:tmpl w:val="A4EC8AD2"/>
    <w:lvl w:ilvl="0" w:tplc="3E3AA8C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126792"/>
    <w:multiLevelType w:val="hybridMultilevel"/>
    <w:tmpl w:val="28C0D6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210F9B"/>
    <w:multiLevelType w:val="hybridMultilevel"/>
    <w:tmpl w:val="E6C6BAB0"/>
    <w:lvl w:ilvl="0" w:tplc="32D6B342">
      <w:start w:val="1"/>
      <w:numFmt w:val="bullet"/>
      <w:lvlText w:val="Ø"/>
      <w:lvlJc w:val="left"/>
      <w:pPr>
        <w:ind w:left="720" w:hanging="360"/>
      </w:pPr>
      <w:rPr>
        <w:rFonts w:ascii="Wingdings" w:eastAsia="Wingdings" w:hAnsi="Wingdings"/>
        <w:w w:val="100"/>
        <w:sz w:val="20"/>
        <w:szCs w:val="20"/>
        <w:shd w:val="clear" w:color="auto" w:fil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C93A37"/>
    <w:multiLevelType w:val="hybridMultilevel"/>
    <w:tmpl w:val="FB7204CE"/>
    <w:lvl w:ilvl="0" w:tplc="91B65EB6">
      <w:start w:val="1"/>
      <w:numFmt w:val="bullet"/>
      <w:lvlText w:val=""/>
      <w:lvlJc w:val="left"/>
      <w:pPr>
        <w:ind w:left="837" w:hanging="360"/>
      </w:pPr>
      <w:rPr>
        <w:rFonts w:ascii="Symbol" w:eastAsia="Symbol" w:hAnsi="Symbol" w:hint="default"/>
        <w:sz w:val="20"/>
        <w:szCs w:val="20"/>
      </w:rPr>
    </w:lvl>
    <w:lvl w:ilvl="1" w:tplc="0B1200E4">
      <w:start w:val="1"/>
      <w:numFmt w:val="bullet"/>
      <w:lvlText w:val="•"/>
      <w:lvlJc w:val="left"/>
      <w:pPr>
        <w:ind w:left="1328" w:hanging="360"/>
      </w:pPr>
      <w:rPr>
        <w:rFonts w:hint="default"/>
      </w:rPr>
    </w:lvl>
    <w:lvl w:ilvl="2" w:tplc="67940BF6">
      <w:start w:val="1"/>
      <w:numFmt w:val="bullet"/>
      <w:lvlText w:val="•"/>
      <w:lvlJc w:val="left"/>
      <w:pPr>
        <w:ind w:left="1819" w:hanging="360"/>
      </w:pPr>
      <w:rPr>
        <w:rFonts w:hint="default"/>
      </w:rPr>
    </w:lvl>
    <w:lvl w:ilvl="3" w:tplc="4F30418C">
      <w:start w:val="1"/>
      <w:numFmt w:val="bullet"/>
      <w:lvlText w:val="•"/>
      <w:lvlJc w:val="left"/>
      <w:pPr>
        <w:ind w:left="2311" w:hanging="360"/>
      </w:pPr>
      <w:rPr>
        <w:rFonts w:hint="default"/>
      </w:rPr>
    </w:lvl>
    <w:lvl w:ilvl="4" w:tplc="0684663E">
      <w:start w:val="1"/>
      <w:numFmt w:val="bullet"/>
      <w:lvlText w:val="•"/>
      <w:lvlJc w:val="left"/>
      <w:pPr>
        <w:ind w:left="2802" w:hanging="360"/>
      </w:pPr>
      <w:rPr>
        <w:rFonts w:hint="default"/>
      </w:rPr>
    </w:lvl>
    <w:lvl w:ilvl="5" w:tplc="B5D8A86A">
      <w:start w:val="1"/>
      <w:numFmt w:val="bullet"/>
      <w:lvlText w:val="•"/>
      <w:lvlJc w:val="left"/>
      <w:pPr>
        <w:ind w:left="3293" w:hanging="360"/>
      </w:pPr>
      <w:rPr>
        <w:rFonts w:hint="default"/>
      </w:rPr>
    </w:lvl>
    <w:lvl w:ilvl="6" w:tplc="82CEB95A">
      <w:start w:val="1"/>
      <w:numFmt w:val="bullet"/>
      <w:lvlText w:val="•"/>
      <w:lvlJc w:val="left"/>
      <w:pPr>
        <w:ind w:left="3784" w:hanging="360"/>
      </w:pPr>
      <w:rPr>
        <w:rFonts w:hint="default"/>
      </w:rPr>
    </w:lvl>
    <w:lvl w:ilvl="7" w:tplc="2F703F5C">
      <w:start w:val="1"/>
      <w:numFmt w:val="bullet"/>
      <w:lvlText w:val="•"/>
      <w:lvlJc w:val="left"/>
      <w:pPr>
        <w:ind w:left="4275" w:hanging="360"/>
      </w:pPr>
      <w:rPr>
        <w:rFonts w:hint="default"/>
      </w:rPr>
    </w:lvl>
    <w:lvl w:ilvl="8" w:tplc="190A06A2">
      <w:start w:val="1"/>
      <w:numFmt w:val="bullet"/>
      <w:lvlText w:val="•"/>
      <w:lvlJc w:val="left"/>
      <w:pPr>
        <w:ind w:left="4766" w:hanging="360"/>
      </w:pPr>
      <w:rPr>
        <w:rFonts w:hint="default"/>
      </w:rPr>
    </w:lvl>
  </w:abstractNum>
  <w:abstractNum w:abstractNumId="5">
    <w:nsid w:val="23DE2C08"/>
    <w:multiLevelType w:val="hybridMultilevel"/>
    <w:tmpl w:val="F8C2EB56"/>
    <w:lvl w:ilvl="0" w:tplc="D57453C6">
      <w:start w:val="5"/>
      <w:numFmt w:val="decimal"/>
      <w:lvlText w:val="%1."/>
      <w:lvlJc w:val="left"/>
      <w:pPr>
        <w:ind w:left="786"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5B7098B"/>
    <w:multiLevelType w:val="hybridMultilevel"/>
    <w:tmpl w:val="83EA12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59300CEE">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E76CB3"/>
    <w:multiLevelType w:val="hybridMultilevel"/>
    <w:tmpl w:val="A81CC340"/>
    <w:lvl w:ilvl="0" w:tplc="007A9126">
      <w:start w:val="1"/>
      <w:numFmt w:val="bullet"/>
      <w:lvlText w:val=""/>
      <w:lvlJc w:val="left"/>
      <w:pPr>
        <w:ind w:left="822" w:hanging="360"/>
      </w:pPr>
      <w:rPr>
        <w:rFonts w:ascii="Symbol" w:eastAsia="Symbol" w:hAnsi="Symbol" w:hint="default"/>
        <w:sz w:val="20"/>
        <w:szCs w:val="20"/>
      </w:rPr>
    </w:lvl>
    <w:lvl w:ilvl="1" w:tplc="FEC0A35A">
      <w:start w:val="1"/>
      <w:numFmt w:val="bullet"/>
      <w:lvlText w:val="•"/>
      <w:lvlJc w:val="left"/>
      <w:pPr>
        <w:ind w:left="1314" w:hanging="360"/>
      </w:pPr>
      <w:rPr>
        <w:rFonts w:hint="default"/>
      </w:rPr>
    </w:lvl>
    <w:lvl w:ilvl="2" w:tplc="61F2DC82">
      <w:start w:val="1"/>
      <w:numFmt w:val="bullet"/>
      <w:lvlText w:val="•"/>
      <w:lvlJc w:val="left"/>
      <w:pPr>
        <w:ind w:left="1807" w:hanging="360"/>
      </w:pPr>
      <w:rPr>
        <w:rFonts w:hint="default"/>
      </w:rPr>
    </w:lvl>
    <w:lvl w:ilvl="3" w:tplc="F86AAE34">
      <w:start w:val="1"/>
      <w:numFmt w:val="bullet"/>
      <w:lvlText w:val="•"/>
      <w:lvlJc w:val="left"/>
      <w:pPr>
        <w:ind w:left="2300" w:hanging="360"/>
      </w:pPr>
      <w:rPr>
        <w:rFonts w:hint="default"/>
      </w:rPr>
    </w:lvl>
    <w:lvl w:ilvl="4" w:tplc="B636D728">
      <w:start w:val="1"/>
      <w:numFmt w:val="bullet"/>
      <w:lvlText w:val="•"/>
      <w:lvlJc w:val="left"/>
      <w:pPr>
        <w:ind w:left="2792" w:hanging="360"/>
      </w:pPr>
      <w:rPr>
        <w:rFonts w:hint="default"/>
      </w:rPr>
    </w:lvl>
    <w:lvl w:ilvl="5" w:tplc="B64ACE04">
      <w:start w:val="1"/>
      <w:numFmt w:val="bullet"/>
      <w:lvlText w:val="•"/>
      <w:lvlJc w:val="left"/>
      <w:pPr>
        <w:ind w:left="3285" w:hanging="360"/>
      </w:pPr>
      <w:rPr>
        <w:rFonts w:hint="default"/>
      </w:rPr>
    </w:lvl>
    <w:lvl w:ilvl="6" w:tplc="E3745C3E">
      <w:start w:val="1"/>
      <w:numFmt w:val="bullet"/>
      <w:lvlText w:val="•"/>
      <w:lvlJc w:val="left"/>
      <w:pPr>
        <w:ind w:left="3777" w:hanging="360"/>
      </w:pPr>
      <w:rPr>
        <w:rFonts w:hint="default"/>
      </w:rPr>
    </w:lvl>
    <w:lvl w:ilvl="7" w:tplc="351A9BAC">
      <w:start w:val="1"/>
      <w:numFmt w:val="bullet"/>
      <w:lvlText w:val="•"/>
      <w:lvlJc w:val="left"/>
      <w:pPr>
        <w:ind w:left="4270" w:hanging="360"/>
      </w:pPr>
      <w:rPr>
        <w:rFonts w:hint="default"/>
      </w:rPr>
    </w:lvl>
    <w:lvl w:ilvl="8" w:tplc="8F6A7888">
      <w:start w:val="1"/>
      <w:numFmt w:val="bullet"/>
      <w:lvlText w:val="•"/>
      <w:lvlJc w:val="left"/>
      <w:pPr>
        <w:ind w:left="4763" w:hanging="360"/>
      </w:pPr>
      <w:rPr>
        <w:rFonts w:hint="default"/>
      </w:rPr>
    </w:lvl>
  </w:abstractNum>
  <w:abstractNum w:abstractNumId="8">
    <w:nsid w:val="2DAA114E"/>
    <w:multiLevelType w:val="hybridMultilevel"/>
    <w:tmpl w:val="FCE68DB4"/>
    <w:lvl w:ilvl="0" w:tplc="B3789BEE">
      <w:start w:val="1"/>
      <w:numFmt w:val="bullet"/>
      <w:lvlText w:val=""/>
      <w:lvlJc w:val="left"/>
      <w:pPr>
        <w:ind w:left="822" w:hanging="360"/>
      </w:pPr>
      <w:rPr>
        <w:rFonts w:ascii="Symbol" w:eastAsia="Symbol" w:hAnsi="Symbol" w:hint="default"/>
        <w:sz w:val="20"/>
        <w:szCs w:val="20"/>
      </w:rPr>
    </w:lvl>
    <w:lvl w:ilvl="1" w:tplc="695C7888">
      <w:start w:val="1"/>
      <w:numFmt w:val="bullet"/>
      <w:lvlText w:val="•"/>
      <w:lvlJc w:val="left"/>
      <w:pPr>
        <w:ind w:left="1314" w:hanging="360"/>
      </w:pPr>
      <w:rPr>
        <w:rFonts w:hint="default"/>
      </w:rPr>
    </w:lvl>
    <w:lvl w:ilvl="2" w:tplc="93FA5522">
      <w:start w:val="1"/>
      <w:numFmt w:val="bullet"/>
      <w:lvlText w:val="•"/>
      <w:lvlJc w:val="left"/>
      <w:pPr>
        <w:ind w:left="1807" w:hanging="360"/>
      </w:pPr>
      <w:rPr>
        <w:rFonts w:hint="default"/>
      </w:rPr>
    </w:lvl>
    <w:lvl w:ilvl="3" w:tplc="838AB1F4">
      <w:start w:val="1"/>
      <w:numFmt w:val="bullet"/>
      <w:lvlText w:val="•"/>
      <w:lvlJc w:val="left"/>
      <w:pPr>
        <w:ind w:left="2300" w:hanging="360"/>
      </w:pPr>
      <w:rPr>
        <w:rFonts w:hint="default"/>
      </w:rPr>
    </w:lvl>
    <w:lvl w:ilvl="4" w:tplc="8660836A">
      <w:start w:val="1"/>
      <w:numFmt w:val="bullet"/>
      <w:lvlText w:val="•"/>
      <w:lvlJc w:val="left"/>
      <w:pPr>
        <w:ind w:left="2792" w:hanging="360"/>
      </w:pPr>
      <w:rPr>
        <w:rFonts w:hint="default"/>
      </w:rPr>
    </w:lvl>
    <w:lvl w:ilvl="5" w:tplc="20B0411C">
      <w:start w:val="1"/>
      <w:numFmt w:val="bullet"/>
      <w:lvlText w:val="•"/>
      <w:lvlJc w:val="left"/>
      <w:pPr>
        <w:ind w:left="3285" w:hanging="360"/>
      </w:pPr>
      <w:rPr>
        <w:rFonts w:hint="default"/>
      </w:rPr>
    </w:lvl>
    <w:lvl w:ilvl="6" w:tplc="433A6CE0">
      <w:start w:val="1"/>
      <w:numFmt w:val="bullet"/>
      <w:lvlText w:val="•"/>
      <w:lvlJc w:val="left"/>
      <w:pPr>
        <w:ind w:left="3777" w:hanging="360"/>
      </w:pPr>
      <w:rPr>
        <w:rFonts w:hint="default"/>
      </w:rPr>
    </w:lvl>
    <w:lvl w:ilvl="7" w:tplc="36D4B2A2">
      <w:start w:val="1"/>
      <w:numFmt w:val="bullet"/>
      <w:lvlText w:val="•"/>
      <w:lvlJc w:val="left"/>
      <w:pPr>
        <w:ind w:left="4270" w:hanging="360"/>
      </w:pPr>
      <w:rPr>
        <w:rFonts w:hint="default"/>
      </w:rPr>
    </w:lvl>
    <w:lvl w:ilvl="8" w:tplc="79288C6E">
      <w:start w:val="1"/>
      <w:numFmt w:val="bullet"/>
      <w:lvlText w:val="•"/>
      <w:lvlJc w:val="left"/>
      <w:pPr>
        <w:ind w:left="4763" w:hanging="360"/>
      </w:pPr>
      <w:rPr>
        <w:rFonts w:hint="default"/>
      </w:rPr>
    </w:lvl>
  </w:abstractNum>
  <w:abstractNum w:abstractNumId="9">
    <w:nsid w:val="2F00000B"/>
    <w:multiLevelType w:val="hybridMultilevel"/>
    <w:tmpl w:val="5E2524F4"/>
    <w:lvl w:ilvl="0" w:tplc="0E785788">
      <w:start w:val="1"/>
      <w:numFmt w:val="bullet"/>
      <w:lvlText w:val="Ø"/>
      <w:lvlJc w:val="left"/>
      <w:pPr>
        <w:ind w:left="720" w:hanging="360"/>
        <w:jc w:val="both"/>
      </w:pPr>
      <w:rPr>
        <w:rFonts w:ascii="Wingdings" w:eastAsia="Wingdings" w:hAnsi="Wingdings"/>
        <w:w w:val="100"/>
        <w:sz w:val="20"/>
        <w:szCs w:val="20"/>
        <w:shd w:val="clear" w:color="auto" w:fill="auto"/>
      </w:rPr>
    </w:lvl>
    <w:lvl w:ilvl="1" w:tplc="779E6894">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72328924">
      <w:start w:val="1"/>
      <w:numFmt w:val="bullet"/>
      <w:lvlText w:val="§"/>
      <w:lvlJc w:val="left"/>
      <w:pPr>
        <w:ind w:left="2160" w:hanging="360"/>
        <w:jc w:val="both"/>
      </w:pPr>
      <w:rPr>
        <w:rFonts w:ascii="Wingdings" w:eastAsia="Wingdings" w:hAnsi="Wingdings"/>
        <w:w w:val="100"/>
        <w:sz w:val="20"/>
        <w:szCs w:val="20"/>
        <w:shd w:val="clear" w:color="auto" w:fill="auto"/>
      </w:rPr>
    </w:lvl>
    <w:lvl w:ilvl="3" w:tplc="93DE21BE">
      <w:start w:val="1"/>
      <w:numFmt w:val="bullet"/>
      <w:lvlText w:val="·"/>
      <w:lvlJc w:val="left"/>
      <w:pPr>
        <w:ind w:left="2880" w:hanging="360"/>
        <w:jc w:val="both"/>
      </w:pPr>
      <w:rPr>
        <w:rFonts w:ascii="Symbol" w:eastAsia="Symbol" w:hAnsi="Symbol"/>
        <w:w w:val="100"/>
        <w:sz w:val="20"/>
        <w:szCs w:val="20"/>
        <w:shd w:val="clear" w:color="auto" w:fill="auto"/>
      </w:rPr>
    </w:lvl>
    <w:lvl w:ilvl="4" w:tplc="DB2A9102">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730860D6">
      <w:start w:val="1"/>
      <w:numFmt w:val="bullet"/>
      <w:lvlText w:val="§"/>
      <w:lvlJc w:val="left"/>
      <w:pPr>
        <w:ind w:left="4320" w:hanging="360"/>
        <w:jc w:val="both"/>
      </w:pPr>
      <w:rPr>
        <w:rFonts w:ascii="Wingdings" w:eastAsia="Wingdings" w:hAnsi="Wingdings"/>
        <w:w w:val="100"/>
        <w:sz w:val="20"/>
        <w:szCs w:val="20"/>
        <w:shd w:val="clear" w:color="auto" w:fill="auto"/>
      </w:rPr>
    </w:lvl>
    <w:lvl w:ilvl="6" w:tplc="4E6866E4">
      <w:start w:val="1"/>
      <w:numFmt w:val="bullet"/>
      <w:lvlText w:val="·"/>
      <w:lvlJc w:val="left"/>
      <w:pPr>
        <w:ind w:left="5040" w:hanging="360"/>
        <w:jc w:val="both"/>
      </w:pPr>
      <w:rPr>
        <w:rFonts w:ascii="Symbol" w:eastAsia="Symbol" w:hAnsi="Symbol"/>
        <w:w w:val="100"/>
        <w:sz w:val="20"/>
        <w:szCs w:val="20"/>
        <w:shd w:val="clear" w:color="auto" w:fill="auto"/>
      </w:rPr>
    </w:lvl>
    <w:lvl w:ilvl="7" w:tplc="D278CADC">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FD625644">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10">
    <w:nsid w:val="2F000012"/>
    <w:multiLevelType w:val="hybridMultilevel"/>
    <w:tmpl w:val="3795C8F2"/>
    <w:lvl w:ilvl="0" w:tplc="6FBA9A0A">
      <w:start w:val="1"/>
      <w:numFmt w:val="decimal"/>
      <w:lvlText w:val="%1."/>
      <w:lvlJc w:val="left"/>
      <w:pPr>
        <w:ind w:left="360" w:hanging="360"/>
        <w:jc w:val="both"/>
      </w:pPr>
    </w:lvl>
    <w:lvl w:ilvl="1" w:tplc="0BF415D4">
      <w:start w:val="1"/>
      <w:numFmt w:val="lowerLetter"/>
      <w:lvlText w:val="%2."/>
      <w:lvlJc w:val="left"/>
      <w:pPr>
        <w:ind w:left="1080" w:hanging="360"/>
        <w:jc w:val="both"/>
      </w:pPr>
    </w:lvl>
    <w:lvl w:ilvl="2" w:tplc="CB8C58E6">
      <w:start w:val="1"/>
      <w:numFmt w:val="lowerRoman"/>
      <w:lvlText w:val="%3."/>
      <w:lvlJc w:val="right"/>
      <w:pPr>
        <w:ind w:left="1800" w:hanging="180"/>
        <w:jc w:val="both"/>
      </w:pPr>
    </w:lvl>
    <w:lvl w:ilvl="3" w:tplc="C13EF79E">
      <w:start w:val="1"/>
      <w:numFmt w:val="decimal"/>
      <w:lvlText w:val="%4."/>
      <w:lvlJc w:val="left"/>
      <w:pPr>
        <w:ind w:left="2520" w:hanging="360"/>
        <w:jc w:val="both"/>
      </w:pPr>
    </w:lvl>
    <w:lvl w:ilvl="4" w:tplc="0F92C9C0">
      <w:start w:val="1"/>
      <w:numFmt w:val="lowerLetter"/>
      <w:lvlText w:val="%5."/>
      <w:lvlJc w:val="left"/>
      <w:pPr>
        <w:ind w:left="3240" w:hanging="360"/>
        <w:jc w:val="both"/>
      </w:pPr>
    </w:lvl>
    <w:lvl w:ilvl="5" w:tplc="4BD23052">
      <w:start w:val="1"/>
      <w:numFmt w:val="lowerRoman"/>
      <w:lvlText w:val="%6."/>
      <w:lvlJc w:val="right"/>
      <w:pPr>
        <w:ind w:left="3960" w:hanging="180"/>
        <w:jc w:val="both"/>
      </w:pPr>
    </w:lvl>
    <w:lvl w:ilvl="6" w:tplc="42D439CC">
      <w:start w:val="1"/>
      <w:numFmt w:val="decimal"/>
      <w:lvlText w:val="%7."/>
      <w:lvlJc w:val="left"/>
      <w:pPr>
        <w:ind w:left="4680" w:hanging="360"/>
        <w:jc w:val="both"/>
      </w:pPr>
    </w:lvl>
    <w:lvl w:ilvl="7" w:tplc="926CDB90">
      <w:start w:val="1"/>
      <w:numFmt w:val="lowerLetter"/>
      <w:lvlText w:val="%8."/>
      <w:lvlJc w:val="left"/>
      <w:pPr>
        <w:ind w:left="5400" w:hanging="360"/>
        <w:jc w:val="both"/>
      </w:pPr>
    </w:lvl>
    <w:lvl w:ilvl="8" w:tplc="B77488F0">
      <w:start w:val="1"/>
      <w:numFmt w:val="lowerRoman"/>
      <w:lvlText w:val="%9."/>
      <w:lvlJc w:val="right"/>
      <w:pPr>
        <w:ind w:left="6120" w:hanging="180"/>
        <w:jc w:val="both"/>
      </w:pPr>
    </w:lvl>
  </w:abstractNum>
  <w:abstractNum w:abstractNumId="11">
    <w:nsid w:val="2F000022"/>
    <w:multiLevelType w:val="hybridMultilevel"/>
    <w:tmpl w:val="4D6D2672"/>
    <w:lvl w:ilvl="0" w:tplc="48869F76">
      <w:start w:val="1"/>
      <w:numFmt w:val="bullet"/>
      <w:lvlText w:val="·"/>
      <w:lvlJc w:val="left"/>
      <w:pPr>
        <w:ind w:left="720" w:hanging="360"/>
        <w:jc w:val="both"/>
      </w:pPr>
      <w:rPr>
        <w:rFonts w:ascii="Symbol" w:eastAsia="Symbol" w:hAnsi="Symbol"/>
        <w:w w:val="100"/>
        <w:sz w:val="20"/>
        <w:szCs w:val="20"/>
        <w:shd w:val="clear" w:color="auto" w:fill="auto"/>
      </w:rPr>
    </w:lvl>
    <w:lvl w:ilvl="1" w:tplc="13B8DDB8">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6A9A2344">
      <w:start w:val="1"/>
      <w:numFmt w:val="bullet"/>
      <w:lvlText w:val="§"/>
      <w:lvlJc w:val="left"/>
      <w:pPr>
        <w:ind w:left="2160" w:hanging="360"/>
        <w:jc w:val="both"/>
      </w:pPr>
      <w:rPr>
        <w:rFonts w:ascii="Wingdings" w:eastAsia="Wingdings" w:hAnsi="Wingdings"/>
        <w:w w:val="100"/>
        <w:sz w:val="20"/>
        <w:szCs w:val="20"/>
        <w:shd w:val="clear" w:color="auto" w:fill="auto"/>
      </w:rPr>
    </w:lvl>
    <w:lvl w:ilvl="3" w:tplc="354C19D2">
      <w:start w:val="1"/>
      <w:numFmt w:val="bullet"/>
      <w:lvlText w:val="·"/>
      <w:lvlJc w:val="left"/>
      <w:pPr>
        <w:ind w:left="2880" w:hanging="360"/>
        <w:jc w:val="both"/>
      </w:pPr>
      <w:rPr>
        <w:rFonts w:ascii="Symbol" w:eastAsia="Symbol" w:hAnsi="Symbol"/>
        <w:w w:val="100"/>
        <w:sz w:val="20"/>
        <w:szCs w:val="20"/>
        <w:shd w:val="clear" w:color="auto" w:fill="auto"/>
      </w:rPr>
    </w:lvl>
    <w:lvl w:ilvl="4" w:tplc="E9C26CE4">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C41E4222">
      <w:start w:val="1"/>
      <w:numFmt w:val="bullet"/>
      <w:lvlText w:val="§"/>
      <w:lvlJc w:val="left"/>
      <w:pPr>
        <w:ind w:left="4320" w:hanging="360"/>
        <w:jc w:val="both"/>
      </w:pPr>
      <w:rPr>
        <w:rFonts w:ascii="Wingdings" w:eastAsia="Wingdings" w:hAnsi="Wingdings"/>
        <w:w w:val="100"/>
        <w:sz w:val="20"/>
        <w:szCs w:val="20"/>
        <w:shd w:val="clear" w:color="auto" w:fill="auto"/>
      </w:rPr>
    </w:lvl>
    <w:lvl w:ilvl="6" w:tplc="832807FC">
      <w:start w:val="1"/>
      <w:numFmt w:val="bullet"/>
      <w:lvlText w:val="·"/>
      <w:lvlJc w:val="left"/>
      <w:pPr>
        <w:ind w:left="5040" w:hanging="360"/>
        <w:jc w:val="both"/>
      </w:pPr>
      <w:rPr>
        <w:rFonts w:ascii="Symbol" w:eastAsia="Symbol" w:hAnsi="Symbol"/>
        <w:w w:val="100"/>
        <w:sz w:val="20"/>
        <w:szCs w:val="20"/>
        <w:shd w:val="clear" w:color="auto" w:fill="auto"/>
      </w:rPr>
    </w:lvl>
    <w:lvl w:ilvl="7" w:tplc="B4B2ADCC">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21A03A7C">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12">
    <w:nsid w:val="2F000024"/>
    <w:multiLevelType w:val="hybridMultilevel"/>
    <w:tmpl w:val="57DE5DFD"/>
    <w:lvl w:ilvl="0" w:tplc="4ECA2BC2">
      <w:start w:val="1"/>
      <w:numFmt w:val="bullet"/>
      <w:lvlText w:val="·"/>
      <w:lvlJc w:val="left"/>
      <w:pPr>
        <w:ind w:left="780" w:hanging="360"/>
        <w:jc w:val="both"/>
      </w:pPr>
      <w:rPr>
        <w:rFonts w:ascii="Symbol" w:eastAsia="Symbol" w:hAnsi="Symbol"/>
        <w:w w:val="100"/>
        <w:sz w:val="20"/>
        <w:szCs w:val="20"/>
        <w:shd w:val="clear" w:color="auto" w:fill="auto"/>
      </w:rPr>
    </w:lvl>
    <w:lvl w:ilvl="1" w:tplc="32705334">
      <w:start w:val="1"/>
      <w:numFmt w:val="bullet"/>
      <w:lvlText w:val="o"/>
      <w:lvlJc w:val="left"/>
      <w:pPr>
        <w:ind w:left="1500" w:hanging="360"/>
        <w:jc w:val="both"/>
      </w:pPr>
      <w:rPr>
        <w:rFonts w:ascii="Courier New" w:eastAsia="Courier New" w:hAnsi="Courier New"/>
        <w:w w:val="100"/>
        <w:sz w:val="20"/>
        <w:szCs w:val="20"/>
        <w:shd w:val="clear" w:color="auto" w:fill="auto"/>
      </w:rPr>
    </w:lvl>
    <w:lvl w:ilvl="2" w:tplc="8B74730E">
      <w:start w:val="1"/>
      <w:numFmt w:val="bullet"/>
      <w:lvlText w:val="§"/>
      <w:lvlJc w:val="left"/>
      <w:pPr>
        <w:ind w:left="2220" w:hanging="360"/>
        <w:jc w:val="both"/>
      </w:pPr>
      <w:rPr>
        <w:rFonts w:ascii="Wingdings" w:eastAsia="Wingdings" w:hAnsi="Wingdings"/>
        <w:w w:val="100"/>
        <w:sz w:val="20"/>
        <w:szCs w:val="20"/>
        <w:shd w:val="clear" w:color="auto" w:fill="auto"/>
      </w:rPr>
    </w:lvl>
    <w:lvl w:ilvl="3" w:tplc="51BA9F8E">
      <w:start w:val="1"/>
      <w:numFmt w:val="bullet"/>
      <w:lvlText w:val="·"/>
      <w:lvlJc w:val="left"/>
      <w:pPr>
        <w:ind w:left="2940" w:hanging="360"/>
        <w:jc w:val="both"/>
      </w:pPr>
      <w:rPr>
        <w:rFonts w:ascii="Symbol" w:eastAsia="Symbol" w:hAnsi="Symbol"/>
        <w:w w:val="100"/>
        <w:sz w:val="20"/>
        <w:szCs w:val="20"/>
        <w:shd w:val="clear" w:color="auto" w:fill="auto"/>
      </w:rPr>
    </w:lvl>
    <w:lvl w:ilvl="4" w:tplc="7C5A0CBC">
      <w:start w:val="1"/>
      <w:numFmt w:val="bullet"/>
      <w:lvlText w:val="o"/>
      <w:lvlJc w:val="left"/>
      <w:pPr>
        <w:ind w:left="3660" w:hanging="360"/>
        <w:jc w:val="both"/>
      </w:pPr>
      <w:rPr>
        <w:rFonts w:ascii="Courier New" w:eastAsia="Courier New" w:hAnsi="Courier New"/>
        <w:w w:val="100"/>
        <w:sz w:val="20"/>
        <w:szCs w:val="20"/>
        <w:shd w:val="clear" w:color="auto" w:fill="auto"/>
      </w:rPr>
    </w:lvl>
    <w:lvl w:ilvl="5" w:tplc="FC68B310">
      <w:start w:val="1"/>
      <w:numFmt w:val="bullet"/>
      <w:lvlText w:val="§"/>
      <w:lvlJc w:val="left"/>
      <w:pPr>
        <w:ind w:left="4380" w:hanging="360"/>
        <w:jc w:val="both"/>
      </w:pPr>
      <w:rPr>
        <w:rFonts w:ascii="Wingdings" w:eastAsia="Wingdings" w:hAnsi="Wingdings"/>
        <w:w w:val="100"/>
        <w:sz w:val="20"/>
        <w:szCs w:val="20"/>
        <w:shd w:val="clear" w:color="auto" w:fill="auto"/>
      </w:rPr>
    </w:lvl>
    <w:lvl w:ilvl="6" w:tplc="13109602">
      <w:start w:val="1"/>
      <w:numFmt w:val="bullet"/>
      <w:lvlText w:val="·"/>
      <w:lvlJc w:val="left"/>
      <w:pPr>
        <w:ind w:left="5100" w:hanging="360"/>
        <w:jc w:val="both"/>
      </w:pPr>
      <w:rPr>
        <w:rFonts w:ascii="Symbol" w:eastAsia="Symbol" w:hAnsi="Symbol"/>
        <w:w w:val="100"/>
        <w:sz w:val="20"/>
        <w:szCs w:val="20"/>
        <w:shd w:val="clear" w:color="auto" w:fill="auto"/>
      </w:rPr>
    </w:lvl>
    <w:lvl w:ilvl="7" w:tplc="624C5734">
      <w:start w:val="1"/>
      <w:numFmt w:val="bullet"/>
      <w:lvlText w:val="o"/>
      <w:lvlJc w:val="left"/>
      <w:pPr>
        <w:ind w:left="5820" w:hanging="360"/>
        <w:jc w:val="both"/>
      </w:pPr>
      <w:rPr>
        <w:rFonts w:ascii="Courier New" w:eastAsia="Courier New" w:hAnsi="Courier New"/>
        <w:w w:val="100"/>
        <w:sz w:val="20"/>
        <w:szCs w:val="20"/>
        <w:shd w:val="clear" w:color="auto" w:fill="auto"/>
      </w:rPr>
    </w:lvl>
    <w:lvl w:ilvl="8" w:tplc="D91EE372">
      <w:start w:val="1"/>
      <w:numFmt w:val="bullet"/>
      <w:lvlText w:val="§"/>
      <w:lvlJc w:val="left"/>
      <w:pPr>
        <w:ind w:left="6540" w:hanging="360"/>
        <w:jc w:val="both"/>
      </w:pPr>
      <w:rPr>
        <w:rFonts w:ascii="Wingdings" w:eastAsia="Wingdings" w:hAnsi="Wingdings"/>
        <w:w w:val="100"/>
        <w:sz w:val="20"/>
        <w:szCs w:val="20"/>
        <w:shd w:val="clear" w:color="auto" w:fill="auto"/>
      </w:rPr>
    </w:lvl>
  </w:abstractNum>
  <w:abstractNum w:abstractNumId="13">
    <w:nsid w:val="2F00002F"/>
    <w:multiLevelType w:val="hybridMultilevel"/>
    <w:tmpl w:val="41633036"/>
    <w:lvl w:ilvl="0" w:tplc="32D6B342">
      <w:start w:val="1"/>
      <w:numFmt w:val="bullet"/>
      <w:lvlText w:val="Ø"/>
      <w:lvlJc w:val="left"/>
      <w:pPr>
        <w:ind w:left="720" w:hanging="360"/>
        <w:jc w:val="both"/>
      </w:pPr>
      <w:rPr>
        <w:rFonts w:ascii="Wingdings" w:eastAsia="Wingdings" w:hAnsi="Wingdings"/>
        <w:w w:val="100"/>
        <w:sz w:val="20"/>
        <w:szCs w:val="20"/>
        <w:shd w:val="clear" w:color="auto" w:fill="auto"/>
      </w:rPr>
    </w:lvl>
    <w:lvl w:ilvl="1" w:tplc="58F29FD4">
      <w:start w:val="1"/>
      <w:numFmt w:val="lowerLetter"/>
      <w:lvlText w:val="%2."/>
      <w:lvlJc w:val="left"/>
      <w:pPr>
        <w:ind w:left="1440" w:hanging="360"/>
        <w:jc w:val="both"/>
      </w:pPr>
    </w:lvl>
    <w:lvl w:ilvl="2" w:tplc="39FE156E">
      <w:start w:val="1"/>
      <w:numFmt w:val="lowerRoman"/>
      <w:lvlText w:val="%3."/>
      <w:lvlJc w:val="right"/>
      <w:pPr>
        <w:ind w:left="2160" w:hanging="180"/>
        <w:jc w:val="both"/>
      </w:pPr>
    </w:lvl>
    <w:lvl w:ilvl="3" w:tplc="A14EBC4C">
      <w:start w:val="1"/>
      <w:numFmt w:val="decimal"/>
      <w:lvlText w:val="%4."/>
      <w:lvlJc w:val="left"/>
      <w:pPr>
        <w:ind w:left="2880" w:hanging="360"/>
        <w:jc w:val="both"/>
      </w:pPr>
    </w:lvl>
    <w:lvl w:ilvl="4" w:tplc="2A6E34FA">
      <w:start w:val="1"/>
      <w:numFmt w:val="lowerLetter"/>
      <w:lvlText w:val="%5."/>
      <w:lvlJc w:val="left"/>
      <w:pPr>
        <w:ind w:left="3600" w:hanging="360"/>
        <w:jc w:val="both"/>
      </w:pPr>
    </w:lvl>
    <w:lvl w:ilvl="5" w:tplc="EAE27978">
      <w:start w:val="1"/>
      <w:numFmt w:val="lowerRoman"/>
      <w:lvlText w:val="%6."/>
      <w:lvlJc w:val="right"/>
      <w:pPr>
        <w:ind w:left="4320" w:hanging="180"/>
        <w:jc w:val="both"/>
      </w:pPr>
    </w:lvl>
    <w:lvl w:ilvl="6" w:tplc="805A73FC">
      <w:start w:val="1"/>
      <w:numFmt w:val="decimal"/>
      <w:lvlText w:val="%7."/>
      <w:lvlJc w:val="left"/>
      <w:pPr>
        <w:ind w:left="5040" w:hanging="360"/>
        <w:jc w:val="both"/>
      </w:pPr>
    </w:lvl>
    <w:lvl w:ilvl="7" w:tplc="03B6A842">
      <w:start w:val="1"/>
      <w:numFmt w:val="lowerLetter"/>
      <w:lvlText w:val="%8."/>
      <w:lvlJc w:val="left"/>
      <w:pPr>
        <w:ind w:left="5760" w:hanging="360"/>
        <w:jc w:val="both"/>
      </w:pPr>
    </w:lvl>
    <w:lvl w:ilvl="8" w:tplc="7DCECFF0">
      <w:start w:val="1"/>
      <w:numFmt w:val="lowerRoman"/>
      <w:lvlText w:val="%9."/>
      <w:lvlJc w:val="right"/>
      <w:pPr>
        <w:ind w:left="6480" w:hanging="180"/>
        <w:jc w:val="both"/>
      </w:pPr>
    </w:lvl>
  </w:abstractNum>
  <w:abstractNum w:abstractNumId="14">
    <w:nsid w:val="405362A1"/>
    <w:multiLevelType w:val="hybridMultilevel"/>
    <w:tmpl w:val="189A4D3C"/>
    <w:lvl w:ilvl="0" w:tplc="753E6B9A">
      <w:start w:val="1"/>
      <w:numFmt w:val="bullet"/>
      <w:lvlText w:val=""/>
      <w:lvlJc w:val="left"/>
      <w:pPr>
        <w:ind w:left="822" w:hanging="360"/>
      </w:pPr>
      <w:rPr>
        <w:rFonts w:ascii="Symbol" w:eastAsia="Symbol" w:hAnsi="Symbol" w:hint="default"/>
        <w:sz w:val="20"/>
        <w:szCs w:val="20"/>
      </w:rPr>
    </w:lvl>
    <w:lvl w:ilvl="1" w:tplc="76B20318">
      <w:start w:val="1"/>
      <w:numFmt w:val="bullet"/>
      <w:lvlText w:val="•"/>
      <w:lvlJc w:val="left"/>
      <w:pPr>
        <w:ind w:left="1314" w:hanging="360"/>
      </w:pPr>
      <w:rPr>
        <w:rFonts w:hint="default"/>
      </w:rPr>
    </w:lvl>
    <w:lvl w:ilvl="2" w:tplc="1BC6DD0E">
      <w:start w:val="1"/>
      <w:numFmt w:val="bullet"/>
      <w:lvlText w:val="•"/>
      <w:lvlJc w:val="left"/>
      <w:pPr>
        <w:ind w:left="1807" w:hanging="360"/>
      </w:pPr>
      <w:rPr>
        <w:rFonts w:hint="default"/>
      </w:rPr>
    </w:lvl>
    <w:lvl w:ilvl="3" w:tplc="DD221D90">
      <w:start w:val="1"/>
      <w:numFmt w:val="bullet"/>
      <w:lvlText w:val="•"/>
      <w:lvlJc w:val="left"/>
      <w:pPr>
        <w:ind w:left="2300" w:hanging="360"/>
      </w:pPr>
      <w:rPr>
        <w:rFonts w:hint="default"/>
      </w:rPr>
    </w:lvl>
    <w:lvl w:ilvl="4" w:tplc="8CECB3A2">
      <w:start w:val="1"/>
      <w:numFmt w:val="bullet"/>
      <w:lvlText w:val="•"/>
      <w:lvlJc w:val="left"/>
      <w:pPr>
        <w:ind w:left="2792" w:hanging="360"/>
      </w:pPr>
      <w:rPr>
        <w:rFonts w:hint="default"/>
      </w:rPr>
    </w:lvl>
    <w:lvl w:ilvl="5" w:tplc="F9CA8236">
      <w:start w:val="1"/>
      <w:numFmt w:val="bullet"/>
      <w:lvlText w:val="•"/>
      <w:lvlJc w:val="left"/>
      <w:pPr>
        <w:ind w:left="3285" w:hanging="360"/>
      </w:pPr>
      <w:rPr>
        <w:rFonts w:hint="default"/>
      </w:rPr>
    </w:lvl>
    <w:lvl w:ilvl="6" w:tplc="F2E837B0">
      <w:start w:val="1"/>
      <w:numFmt w:val="bullet"/>
      <w:lvlText w:val="•"/>
      <w:lvlJc w:val="left"/>
      <w:pPr>
        <w:ind w:left="3777" w:hanging="360"/>
      </w:pPr>
      <w:rPr>
        <w:rFonts w:hint="default"/>
      </w:rPr>
    </w:lvl>
    <w:lvl w:ilvl="7" w:tplc="E42028A2">
      <w:start w:val="1"/>
      <w:numFmt w:val="bullet"/>
      <w:lvlText w:val="•"/>
      <w:lvlJc w:val="left"/>
      <w:pPr>
        <w:ind w:left="4270" w:hanging="360"/>
      </w:pPr>
      <w:rPr>
        <w:rFonts w:hint="default"/>
      </w:rPr>
    </w:lvl>
    <w:lvl w:ilvl="8" w:tplc="2E32A776">
      <w:start w:val="1"/>
      <w:numFmt w:val="bullet"/>
      <w:lvlText w:val="•"/>
      <w:lvlJc w:val="left"/>
      <w:pPr>
        <w:ind w:left="4763" w:hanging="360"/>
      </w:pPr>
      <w:rPr>
        <w:rFonts w:hint="default"/>
      </w:rPr>
    </w:lvl>
  </w:abstractNum>
  <w:abstractNum w:abstractNumId="15">
    <w:nsid w:val="40814570"/>
    <w:multiLevelType w:val="hybridMultilevel"/>
    <w:tmpl w:val="1B3ADCA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B2E2219E">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A0589E"/>
    <w:multiLevelType w:val="hybridMultilevel"/>
    <w:tmpl w:val="D4EABB88"/>
    <w:lvl w:ilvl="0" w:tplc="E4E011CC">
      <w:start w:val="1"/>
      <w:numFmt w:val="bullet"/>
      <w:lvlText w:val=""/>
      <w:lvlJc w:val="left"/>
      <w:pPr>
        <w:ind w:left="837" w:hanging="360"/>
      </w:pPr>
      <w:rPr>
        <w:rFonts w:ascii="Symbol" w:eastAsia="Symbol" w:hAnsi="Symbol" w:hint="default"/>
        <w:sz w:val="20"/>
        <w:szCs w:val="20"/>
      </w:rPr>
    </w:lvl>
    <w:lvl w:ilvl="1" w:tplc="3A8A2E2C">
      <w:start w:val="1"/>
      <w:numFmt w:val="bullet"/>
      <w:lvlText w:val="•"/>
      <w:lvlJc w:val="left"/>
      <w:pPr>
        <w:ind w:left="1328" w:hanging="360"/>
      </w:pPr>
      <w:rPr>
        <w:rFonts w:hint="default"/>
      </w:rPr>
    </w:lvl>
    <w:lvl w:ilvl="2" w:tplc="C6FA162C">
      <w:start w:val="1"/>
      <w:numFmt w:val="bullet"/>
      <w:lvlText w:val="•"/>
      <w:lvlJc w:val="left"/>
      <w:pPr>
        <w:ind w:left="1819" w:hanging="360"/>
      </w:pPr>
      <w:rPr>
        <w:rFonts w:hint="default"/>
      </w:rPr>
    </w:lvl>
    <w:lvl w:ilvl="3" w:tplc="FB84A93C">
      <w:start w:val="1"/>
      <w:numFmt w:val="bullet"/>
      <w:lvlText w:val="•"/>
      <w:lvlJc w:val="left"/>
      <w:pPr>
        <w:ind w:left="2311" w:hanging="360"/>
      </w:pPr>
      <w:rPr>
        <w:rFonts w:hint="default"/>
      </w:rPr>
    </w:lvl>
    <w:lvl w:ilvl="4" w:tplc="D666BC68">
      <w:start w:val="1"/>
      <w:numFmt w:val="bullet"/>
      <w:lvlText w:val="•"/>
      <w:lvlJc w:val="left"/>
      <w:pPr>
        <w:ind w:left="2802" w:hanging="360"/>
      </w:pPr>
      <w:rPr>
        <w:rFonts w:hint="default"/>
      </w:rPr>
    </w:lvl>
    <w:lvl w:ilvl="5" w:tplc="61EC0F04">
      <w:start w:val="1"/>
      <w:numFmt w:val="bullet"/>
      <w:lvlText w:val="•"/>
      <w:lvlJc w:val="left"/>
      <w:pPr>
        <w:ind w:left="3293" w:hanging="360"/>
      </w:pPr>
      <w:rPr>
        <w:rFonts w:hint="default"/>
      </w:rPr>
    </w:lvl>
    <w:lvl w:ilvl="6" w:tplc="8BEC7D84">
      <w:start w:val="1"/>
      <w:numFmt w:val="bullet"/>
      <w:lvlText w:val="•"/>
      <w:lvlJc w:val="left"/>
      <w:pPr>
        <w:ind w:left="3784" w:hanging="360"/>
      </w:pPr>
      <w:rPr>
        <w:rFonts w:hint="default"/>
      </w:rPr>
    </w:lvl>
    <w:lvl w:ilvl="7" w:tplc="BE94E0FE">
      <w:start w:val="1"/>
      <w:numFmt w:val="bullet"/>
      <w:lvlText w:val="•"/>
      <w:lvlJc w:val="left"/>
      <w:pPr>
        <w:ind w:left="4275" w:hanging="360"/>
      </w:pPr>
      <w:rPr>
        <w:rFonts w:hint="default"/>
      </w:rPr>
    </w:lvl>
    <w:lvl w:ilvl="8" w:tplc="FB54898C">
      <w:start w:val="1"/>
      <w:numFmt w:val="bullet"/>
      <w:lvlText w:val="•"/>
      <w:lvlJc w:val="left"/>
      <w:pPr>
        <w:ind w:left="4766" w:hanging="360"/>
      </w:pPr>
      <w:rPr>
        <w:rFonts w:hint="default"/>
      </w:rPr>
    </w:lvl>
  </w:abstractNum>
  <w:abstractNum w:abstractNumId="17">
    <w:nsid w:val="51892F82"/>
    <w:multiLevelType w:val="multilevel"/>
    <w:tmpl w:val="AE8CA1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59666EDD"/>
    <w:multiLevelType w:val="hybridMultilevel"/>
    <w:tmpl w:val="C2E2D7EC"/>
    <w:lvl w:ilvl="0" w:tplc="FA9615A8">
      <w:start w:val="1"/>
      <w:numFmt w:val="bullet"/>
      <w:lvlText w:val=""/>
      <w:lvlJc w:val="left"/>
      <w:pPr>
        <w:ind w:left="822" w:hanging="360"/>
      </w:pPr>
      <w:rPr>
        <w:rFonts w:ascii="Symbol" w:eastAsia="Symbol" w:hAnsi="Symbol" w:hint="default"/>
        <w:sz w:val="20"/>
        <w:szCs w:val="20"/>
      </w:rPr>
    </w:lvl>
    <w:lvl w:ilvl="1" w:tplc="11DEC7D6">
      <w:start w:val="1"/>
      <w:numFmt w:val="bullet"/>
      <w:lvlText w:val="•"/>
      <w:lvlJc w:val="left"/>
      <w:pPr>
        <w:ind w:left="1314" w:hanging="360"/>
      </w:pPr>
      <w:rPr>
        <w:rFonts w:hint="default"/>
      </w:rPr>
    </w:lvl>
    <w:lvl w:ilvl="2" w:tplc="F9BC24EA">
      <w:start w:val="1"/>
      <w:numFmt w:val="bullet"/>
      <w:lvlText w:val="•"/>
      <w:lvlJc w:val="left"/>
      <w:pPr>
        <w:ind w:left="1807" w:hanging="360"/>
      </w:pPr>
      <w:rPr>
        <w:rFonts w:hint="default"/>
      </w:rPr>
    </w:lvl>
    <w:lvl w:ilvl="3" w:tplc="A8A651A6">
      <w:start w:val="1"/>
      <w:numFmt w:val="bullet"/>
      <w:lvlText w:val="•"/>
      <w:lvlJc w:val="left"/>
      <w:pPr>
        <w:ind w:left="2300" w:hanging="360"/>
      </w:pPr>
      <w:rPr>
        <w:rFonts w:hint="default"/>
      </w:rPr>
    </w:lvl>
    <w:lvl w:ilvl="4" w:tplc="DFF69166">
      <w:start w:val="1"/>
      <w:numFmt w:val="bullet"/>
      <w:lvlText w:val="•"/>
      <w:lvlJc w:val="left"/>
      <w:pPr>
        <w:ind w:left="2792" w:hanging="360"/>
      </w:pPr>
      <w:rPr>
        <w:rFonts w:hint="default"/>
      </w:rPr>
    </w:lvl>
    <w:lvl w:ilvl="5" w:tplc="77685444">
      <w:start w:val="1"/>
      <w:numFmt w:val="bullet"/>
      <w:lvlText w:val="•"/>
      <w:lvlJc w:val="left"/>
      <w:pPr>
        <w:ind w:left="3285" w:hanging="360"/>
      </w:pPr>
      <w:rPr>
        <w:rFonts w:hint="default"/>
      </w:rPr>
    </w:lvl>
    <w:lvl w:ilvl="6" w:tplc="2AE034AA">
      <w:start w:val="1"/>
      <w:numFmt w:val="bullet"/>
      <w:lvlText w:val="•"/>
      <w:lvlJc w:val="left"/>
      <w:pPr>
        <w:ind w:left="3777" w:hanging="360"/>
      </w:pPr>
      <w:rPr>
        <w:rFonts w:hint="default"/>
      </w:rPr>
    </w:lvl>
    <w:lvl w:ilvl="7" w:tplc="A7527772">
      <w:start w:val="1"/>
      <w:numFmt w:val="bullet"/>
      <w:lvlText w:val="•"/>
      <w:lvlJc w:val="left"/>
      <w:pPr>
        <w:ind w:left="4270" w:hanging="360"/>
      </w:pPr>
      <w:rPr>
        <w:rFonts w:hint="default"/>
      </w:rPr>
    </w:lvl>
    <w:lvl w:ilvl="8" w:tplc="BB2AD232">
      <w:start w:val="1"/>
      <w:numFmt w:val="bullet"/>
      <w:lvlText w:val="•"/>
      <w:lvlJc w:val="left"/>
      <w:pPr>
        <w:ind w:left="4763" w:hanging="360"/>
      </w:pPr>
      <w:rPr>
        <w:rFonts w:hint="default"/>
      </w:rPr>
    </w:lvl>
  </w:abstractNum>
  <w:abstractNum w:abstractNumId="19">
    <w:nsid w:val="5BD36A94"/>
    <w:multiLevelType w:val="hybridMultilevel"/>
    <w:tmpl w:val="8228DD16"/>
    <w:lvl w:ilvl="0" w:tplc="57D04E1A">
      <w:start w:val="3"/>
      <w:numFmt w:val="decimal"/>
      <w:lvlText w:val="%1."/>
      <w:lvlJc w:val="left"/>
      <w:pPr>
        <w:ind w:left="360" w:hanging="360"/>
      </w:pPr>
      <w:rPr>
        <w:rFonts w:ascii="Times New Roman" w:hAnsi="Times New Roman" w:cs="Times New Roman" w:hint="default"/>
      </w:rPr>
    </w:lvl>
    <w:lvl w:ilvl="1" w:tplc="08090019" w:tentative="1">
      <w:start w:val="1"/>
      <w:numFmt w:val="lowerLetter"/>
      <w:lvlText w:val="%2."/>
      <w:lvlJc w:val="left"/>
      <w:pPr>
        <w:ind w:left="22" w:hanging="360"/>
      </w:pPr>
    </w:lvl>
    <w:lvl w:ilvl="2" w:tplc="0809001B" w:tentative="1">
      <w:start w:val="1"/>
      <w:numFmt w:val="lowerRoman"/>
      <w:lvlText w:val="%3."/>
      <w:lvlJc w:val="right"/>
      <w:pPr>
        <w:ind w:left="742" w:hanging="180"/>
      </w:pPr>
    </w:lvl>
    <w:lvl w:ilvl="3" w:tplc="0809000F" w:tentative="1">
      <w:start w:val="1"/>
      <w:numFmt w:val="decimal"/>
      <w:lvlText w:val="%4."/>
      <w:lvlJc w:val="left"/>
      <w:pPr>
        <w:ind w:left="1462" w:hanging="360"/>
      </w:pPr>
    </w:lvl>
    <w:lvl w:ilvl="4" w:tplc="08090019" w:tentative="1">
      <w:start w:val="1"/>
      <w:numFmt w:val="lowerLetter"/>
      <w:lvlText w:val="%5."/>
      <w:lvlJc w:val="left"/>
      <w:pPr>
        <w:ind w:left="2182" w:hanging="360"/>
      </w:pPr>
    </w:lvl>
    <w:lvl w:ilvl="5" w:tplc="0809001B" w:tentative="1">
      <w:start w:val="1"/>
      <w:numFmt w:val="lowerRoman"/>
      <w:lvlText w:val="%6."/>
      <w:lvlJc w:val="right"/>
      <w:pPr>
        <w:ind w:left="2902" w:hanging="180"/>
      </w:pPr>
    </w:lvl>
    <w:lvl w:ilvl="6" w:tplc="0809000F" w:tentative="1">
      <w:start w:val="1"/>
      <w:numFmt w:val="decimal"/>
      <w:lvlText w:val="%7."/>
      <w:lvlJc w:val="left"/>
      <w:pPr>
        <w:ind w:left="3622" w:hanging="360"/>
      </w:pPr>
    </w:lvl>
    <w:lvl w:ilvl="7" w:tplc="08090019" w:tentative="1">
      <w:start w:val="1"/>
      <w:numFmt w:val="lowerLetter"/>
      <w:lvlText w:val="%8."/>
      <w:lvlJc w:val="left"/>
      <w:pPr>
        <w:ind w:left="4342" w:hanging="360"/>
      </w:pPr>
    </w:lvl>
    <w:lvl w:ilvl="8" w:tplc="0809001B" w:tentative="1">
      <w:start w:val="1"/>
      <w:numFmt w:val="lowerRoman"/>
      <w:lvlText w:val="%9."/>
      <w:lvlJc w:val="right"/>
      <w:pPr>
        <w:ind w:left="5062" w:hanging="180"/>
      </w:pPr>
    </w:lvl>
  </w:abstractNum>
  <w:abstractNum w:abstractNumId="20">
    <w:nsid w:val="64027D2E"/>
    <w:multiLevelType w:val="hybridMultilevel"/>
    <w:tmpl w:val="3336E41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696C2463"/>
    <w:multiLevelType w:val="hybridMultilevel"/>
    <w:tmpl w:val="20689D4A"/>
    <w:lvl w:ilvl="0" w:tplc="85FED7B2">
      <w:start w:val="1"/>
      <w:numFmt w:val="bullet"/>
      <w:lvlText w:val=""/>
      <w:lvlJc w:val="left"/>
      <w:pPr>
        <w:ind w:left="837" w:hanging="360"/>
      </w:pPr>
      <w:rPr>
        <w:rFonts w:ascii="Symbol" w:eastAsia="Symbol" w:hAnsi="Symbol" w:hint="default"/>
        <w:sz w:val="20"/>
        <w:szCs w:val="20"/>
      </w:rPr>
    </w:lvl>
    <w:lvl w:ilvl="1" w:tplc="4E4AEA7A">
      <w:start w:val="1"/>
      <w:numFmt w:val="bullet"/>
      <w:lvlText w:val="•"/>
      <w:lvlJc w:val="left"/>
      <w:pPr>
        <w:ind w:left="1328" w:hanging="360"/>
      </w:pPr>
      <w:rPr>
        <w:rFonts w:hint="default"/>
      </w:rPr>
    </w:lvl>
    <w:lvl w:ilvl="2" w:tplc="D0A60460">
      <w:start w:val="1"/>
      <w:numFmt w:val="bullet"/>
      <w:lvlText w:val="•"/>
      <w:lvlJc w:val="left"/>
      <w:pPr>
        <w:ind w:left="1819" w:hanging="360"/>
      </w:pPr>
      <w:rPr>
        <w:rFonts w:hint="default"/>
      </w:rPr>
    </w:lvl>
    <w:lvl w:ilvl="3" w:tplc="50565586">
      <w:start w:val="1"/>
      <w:numFmt w:val="bullet"/>
      <w:lvlText w:val="•"/>
      <w:lvlJc w:val="left"/>
      <w:pPr>
        <w:ind w:left="2311" w:hanging="360"/>
      </w:pPr>
      <w:rPr>
        <w:rFonts w:hint="default"/>
      </w:rPr>
    </w:lvl>
    <w:lvl w:ilvl="4" w:tplc="4F40C57E">
      <w:start w:val="1"/>
      <w:numFmt w:val="bullet"/>
      <w:lvlText w:val="•"/>
      <w:lvlJc w:val="left"/>
      <w:pPr>
        <w:ind w:left="2802" w:hanging="360"/>
      </w:pPr>
      <w:rPr>
        <w:rFonts w:hint="default"/>
      </w:rPr>
    </w:lvl>
    <w:lvl w:ilvl="5" w:tplc="E560424A">
      <w:start w:val="1"/>
      <w:numFmt w:val="bullet"/>
      <w:lvlText w:val="•"/>
      <w:lvlJc w:val="left"/>
      <w:pPr>
        <w:ind w:left="3293" w:hanging="360"/>
      </w:pPr>
      <w:rPr>
        <w:rFonts w:hint="default"/>
      </w:rPr>
    </w:lvl>
    <w:lvl w:ilvl="6" w:tplc="5DE46E90">
      <w:start w:val="1"/>
      <w:numFmt w:val="bullet"/>
      <w:lvlText w:val="•"/>
      <w:lvlJc w:val="left"/>
      <w:pPr>
        <w:ind w:left="3784" w:hanging="360"/>
      </w:pPr>
      <w:rPr>
        <w:rFonts w:hint="default"/>
      </w:rPr>
    </w:lvl>
    <w:lvl w:ilvl="7" w:tplc="F628FECC">
      <w:start w:val="1"/>
      <w:numFmt w:val="bullet"/>
      <w:lvlText w:val="•"/>
      <w:lvlJc w:val="left"/>
      <w:pPr>
        <w:ind w:left="4275" w:hanging="360"/>
      </w:pPr>
      <w:rPr>
        <w:rFonts w:hint="default"/>
      </w:rPr>
    </w:lvl>
    <w:lvl w:ilvl="8" w:tplc="5F5CCFC8">
      <w:start w:val="1"/>
      <w:numFmt w:val="bullet"/>
      <w:lvlText w:val="•"/>
      <w:lvlJc w:val="left"/>
      <w:pPr>
        <w:ind w:left="4766" w:hanging="360"/>
      </w:pPr>
      <w:rPr>
        <w:rFonts w:hint="default"/>
      </w:rPr>
    </w:lvl>
  </w:abstractNum>
  <w:abstractNum w:abstractNumId="22">
    <w:nsid w:val="6C233DA2"/>
    <w:multiLevelType w:val="hybridMultilevel"/>
    <w:tmpl w:val="5186F232"/>
    <w:lvl w:ilvl="0" w:tplc="01462338">
      <w:start w:val="1"/>
      <w:numFmt w:val="bullet"/>
      <w:lvlText w:val=""/>
      <w:lvlJc w:val="left"/>
      <w:pPr>
        <w:ind w:left="837" w:hanging="360"/>
      </w:pPr>
      <w:rPr>
        <w:rFonts w:ascii="Symbol" w:eastAsia="Symbol" w:hAnsi="Symbol" w:hint="default"/>
        <w:sz w:val="20"/>
        <w:szCs w:val="20"/>
      </w:rPr>
    </w:lvl>
    <w:lvl w:ilvl="1" w:tplc="96CCA3F2">
      <w:start w:val="1"/>
      <w:numFmt w:val="bullet"/>
      <w:lvlText w:val="•"/>
      <w:lvlJc w:val="left"/>
      <w:pPr>
        <w:ind w:left="1328" w:hanging="360"/>
      </w:pPr>
      <w:rPr>
        <w:rFonts w:hint="default"/>
      </w:rPr>
    </w:lvl>
    <w:lvl w:ilvl="2" w:tplc="11F67A38">
      <w:start w:val="1"/>
      <w:numFmt w:val="bullet"/>
      <w:lvlText w:val="•"/>
      <w:lvlJc w:val="left"/>
      <w:pPr>
        <w:ind w:left="1819" w:hanging="360"/>
      </w:pPr>
      <w:rPr>
        <w:rFonts w:hint="default"/>
      </w:rPr>
    </w:lvl>
    <w:lvl w:ilvl="3" w:tplc="3DFA2070">
      <w:start w:val="1"/>
      <w:numFmt w:val="bullet"/>
      <w:lvlText w:val="•"/>
      <w:lvlJc w:val="left"/>
      <w:pPr>
        <w:ind w:left="2311" w:hanging="360"/>
      </w:pPr>
      <w:rPr>
        <w:rFonts w:hint="default"/>
      </w:rPr>
    </w:lvl>
    <w:lvl w:ilvl="4" w:tplc="DE0866FC">
      <w:start w:val="1"/>
      <w:numFmt w:val="bullet"/>
      <w:lvlText w:val="•"/>
      <w:lvlJc w:val="left"/>
      <w:pPr>
        <w:ind w:left="2802" w:hanging="360"/>
      </w:pPr>
      <w:rPr>
        <w:rFonts w:hint="default"/>
      </w:rPr>
    </w:lvl>
    <w:lvl w:ilvl="5" w:tplc="4710B3E2">
      <w:start w:val="1"/>
      <w:numFmt w:val="bullet"/>
      <w:lvlText w:val="•"/>
      <w:lvlJc w:val="left"/>
      <w:pPr>
        <w:ind w:left="3293" w:hanging="360"/>
      </w:pPr>
      <w:rPr>
        <w:rFonts w:hint="default"/>
      </w:rPr>
    </w:lvl>
    <w:lvl w:ilvl="6" w:tplc="5300BB36">
      <w:start w:val="1"/>
      <w:numFmt w:val="bullet"/>
      <w:lvlText w:val="•"/>
      <w:lvlJc w:val="left"/>
      <w:pPr>
        <w:ind w:left="3784" w:hanging="360"/>
      </w:pPr>
      <w:rPr>
        <w:rFonts w:hint="default"/>
      </w:rPr>
    </w:lvl>
    <w:lvl w:ilvl="7" w:tplc="849E1368">
      <w:start w:val="1"/>
      <w:numFmt w:val="bullet"/>
      <w:lvlText w:val="•"/>
      <w:lvlJc w:val="left"/>
      <w:pPr>
        <w:ind w:left="4275" w:hanging="360"/>
      </w:pPr>
      <w:rPr>
        <w:rFonts w:hint="default"/>
      </w:rPr>
    </w:lvl>
    <w:lvl w:ilvl="8" w:tplc="C0B69BB2">
      <w:start w:val="1"/>
      <w:numFmt w:val="bullet"/>
      <w:lvlText w:val="•"/>
      <w:lvlJc w:val="left"/>
      <w:pPr>
        <w:ind w:left="4766" w:hanging="360"/>
      </w:pPr>
      <w:rPr>
        <w:rFonts w:hint="default"/>
      </w:rPr>
    </w:lvl>
  </w:abstractNum>
  <w:abstractNum w:abstractNumId="23">
    <w:nsid w:val="6CE843B2"/>
    <w:multiLevelType w:val="hybridMultilevel"/>
    <w:tmpl w:val="1F6CDDDC"/>
    <w:lvl w:ilvl="0" w:tplc="CFCA365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F7F3B74"/>
    <w:multiLevelType w:val="hybridMultilevel"/>
    <w:tmpl w:val="1664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8947EF"/>
    <w:multiLevelType w:val="hybridMultilevel"/>
    <w:tmpl w:val="D166AFFE"/>
    <w:lvl w:ilvl="0" w:tplc="4DB6D934">
      <w:start w:val="1"/>
      <w:numFmt w:val="bullet"/>
      <w:lvlText w:val=""/>
      <w:lvlJc w:val="left"/>
      <w:pPr>
        <w:ind w:left="822" w:hanging="360"/>
      </w:pPr>
      <w:rPr>
        <w:rFonts w:ascii="Symbol" w:eastAsia="Symbol" w:hAnsi="Symbol" w:hint="default"/>
        <w:sz w:val="20"/>
        <w:szCs w:val="20"/>
      </w:rPr>
    </w:lvl>
    <w:lvl w:ilvl="1" w:tplc="61685A7A">
      <w:start w:val="1"/>
      <w:numFmt w:val="bullet"/>
      <w:lvlText w:val="•"/>
      <w:lvlJc w:val="left"/>
      <w:pPr>
        <w:ind w:left="1314" w:hanging="360"/>
      </w:pPr>
      <w:rPr>
        <w:rFonts w:hint="default"/>
      </w:rPr>
    </w:lvl>
    <w:lvl w:ilvl="2" w:tplc="4E6E5FB8">
      <w:start w:val="1"/>
      <w:numFmt w:val="bullet"/>
      <w:lvlText w:val="•"/>
      <w:lvlJc w:val="left"/>
      <w:pPr>
        <w:ind w:left="1807" w:hanging="360"/>
      </w:pPr>
      <w:rPr>
        <w:rFonts w:hint="default"/>
      </w:rPr>
    </w:lvl>
    <w:lvl w:ilvl="3" w:tplc="A96051E0">
      <w:start w:val="1"/>
      <w:numFmt w:val="bullet"/>
      <w:lvlText w:val="•"/>
      <w:lvlJc w:val="left"/>
      <w:pPr>
        <w:ind w:left="2300" w:hanging="360"/>
      </w:pPr>
      <w:rPr>
        <w:rFonts w:hint="default"/>
      </w:rPr>
    </w:lvl>
    <w:lvl w:ilvl="4" w:tplc="54E40526">
      <w:start w:val="1"/>
      <w:numFmt w:val="bullet"/>
      <w:lvlText w:val="•"/>
      <w:lvlJc w:val="left"/>
      <w:pPr>
        <w:ind w:left="2792" w:hanging="360"/>
      </w:pPr>
      <w:rPr>
        <w:rFonts w:hint="default"/>
      </w:rPr>
    </w:lvl>
    <w:lvl w:ilvl="5" w:tplc="D466089E">
      <w:start w:val="1"/>
      <w:numFmt w:val="bullet"/>
      <w:lvlText w:val="•"/>
      <w:lvlJc w:val="left"/>
      <w:pPr>
        <w:ind w:left="3285" w:hanging="360"/>
      </w:pPr>
      <w:rPr>
        <w:rFonts w:hint="default"/>
      </w:rPr>
    </w:lvl>
    <w:lvl w:ilvl="6" w:tplc="DB74A708">
      <w:start w:val="1"/>
      <w:numFmt w:val="bullet"/>
      <w:lvlText w:val="•"/>
      <w:lvlJc w:val="left"/>
      <w:pPr>
        <w:ind w:left="3777" w:hanging="360"/>
      </w:pPr>
      <w:rPr>
        <w:rFonts w:hint="default"/>
      </w:rPr>
    </w:lvl>
    <w:lvl w:ilvl="7" w:tplc="6128C99E">
      <w:start w:val="1"/>
      <w:numFmt w:val="bullet"/>
      <w:lvlText w:val="•"/>
      <w:lvlJc w:val="left"/>
      <w:pPr>
        <w:ind w:left="4270" w:hanging="360"/>
      </w:pPr>
      <w:rPr>
        <w:rFonts w:hint="default"/>
      </w:rPr>
    </w:lvl>
    <w:lvl w:ilvl="8" w:tplc="2FD458D6">
      <w:start w:val="1"/>
      <w:numFmt w:val="bullet"/>
      <w:lvlText w:val="•"/>
      <w:lvlJc w:val="left"/>
      <w:pPr>
        <w:ind w:left="4763" w:hanging="360"/>
      </w:pPr>
      <w:rPr>
        <w:rFonts w:hint="default"/>
      </w:rPr>
    </w:lvl>
  </w:abstractNum>
  <w:abstractNum w:abstractNumId="26">
    <w:nsid w:val="75BC6CC7"/>
    <w:multiLevelType w:val="hybridMultilevel"/>
    <w:tmpl w:val="C3BEFDF8"/>
    <w:lvl w:ilvl="0" w:tplc="AC12CDC4">
      <w:start w:val="1"/>
      <w:numFmt w:val="bullet"/>
      <w:lvlText w:val=""/>
      <w:lvlJc w:val="left"/>
      <w:pPr>
        <w:ind w:left="837" w:hanging="360"/>
      </w:pPr>
      <w:rPr>
        <w:rFonts w:ascii="Symbol" w:eastAsia="Symbol" w:hAnsi="Symbol" w:hint="default"/>
        <w:sz w:val="20"/>
        <w:szCs w:val="20"/>
      </w:rPr>
    </w:lvl>
    <w:lvl w:ilvl="1" w:tplc="7BB8AA76">
      <w:start w:val="1"/>
      <w:numFmt w:val="bullet"/>
      <w:lvlText w:val="•"/>
      <w:lvlJc w:val="left"/>
      <w:pPr>
        <w:ind w:left="1328" w:hanging="360"/>
      </w:pPr>
      <w:rPr>
        <w:rFonts w:hint="default"/>
      </w:rPr>
    </w:lvl>
    <w:lvl w:ilvl="2" w:tplc="F684E530">
      <w:start w:val="1"/>
      <w:numFmt w:val="bullet"/>
      <w:lvlText w:val="•"/>
      <w:lvlJc w:val="left"/>
      <w:pPr>
        <w:ind w:left="1819" w:hanging="360"/>
      </w:pPr>
      <w:rPr>
        <w:rFonts w:hint="default"/>
      </w:rPr>
    </w:lvl>
    <w:lvl w:ilvl="3" w:tplc="FDB01404">
      <w:start w:val="1"/>
      <w:numFmt w:val="bullet"/>
      <w:lvlText w:val="•"/>
      <w:lvlJc w:val="left"/>
      <w:pPr>
        <w:ind w:left="2311" w:hanging="360"/>
      </w:pPr>
      <w:rPr>
        <w:rFonts w:hint="default"/>
      </w:rPr>
    </w:lvl>
    <w:lvl w:ilvl="4" w:tplc="2A9ADFA8">
      <w:start w:val="1"/>
      <w:numFmt w:val="bullet"/>
      <w:lvlText w:val="•"/>
      <w:lvlJc w:val="left"/>
      <w:pPr>
        <w:ind w:left="2802" w:hanging="360"/>
      </w:pPr>
      <w:rPr>
        <w:rFonts w:hint="default"/>
      </w:rPr>
    </w:lvl>
    <w:lvl w:ilvl="5" w:tplc="DCB6D8DE">
      <w:start w:val="1"/>
      <w:numFmt w:val="bullet"/>
      <w:lvlText w:val="•"/>
      <w:lvlJc w:val="left"/>
      <w:pPr>
        <w:ind w:left="3293" w:hanging="360"/>
      </w:pPr>
      <w:rPr>
        <w:rFonts w:hint="default"/>
      </w:rPr>
    </w:lvl>
    <w:lvl w:ilvl="6" w:tplc="4CAAA8FC">
      <w:start w:val="1"/>
      <w:numFmt w:val="bullet"/>
      <w:lvlText w:val="•"/>
      <w:lvlJc w:val="left"/>
      <w:pPr>
        <w:ind w:left="3784" w:hanging="360"/>
      </w:pPr>
      <w:rPr>
        <w:rFonts w:hint="default"/>
      </w:rPr>
    </w:lvl>
    <w:lvl w:ilvl="7" w:tplc="64769AD6">
      <w:start w:val="1"/>
      <w:numFmt w:val="bullet"/>
      <w:lvlText w:val="•"/>
      <w:lvlJc w:val="left"/>
      <w:pPr>
        <w:ind w:left="4275" w:hanging="360"/>
      </w:pPr>
      <w:rPr>
        <w:rFonts w:hint="default"/>
      </w:rPr>
    </w:lvl>
    <w:lvl w:ilvl="8" w:tplc="A50C4C4A">
      <w:start w:val="1"/>
      <w:numFmt w:val="bullet"/>
      <w:lvlText w:val="•"/>
      <w:lvlJc w:val="left"/>
      <w:pPr>
        <w:ind w:left="4766" w:hanging="360"/>
      </w:pPr>
      <w:rPr>
        <w:rFonts w:hint="default"/>
      </w:rPr>
    </w:lvl>
  </w:abstractNum>
  <w:abstractNum w:abstractNumId="27">
    <w:nsid w:val="764740A8"/>
    <w:multiLevelType w:val="hybridMultilevel"/>
    <w:tmpl w:val="81C85900"/>
    <w:lvl w:ilvl="0" w:tplc="C2BE7B3E">
      <w:start w:val="1"/>
      <w:numFmt w:val="bullet"/>
      <w:lvlText w:val=""/>
      <w:lvlJc w:val="left"/>
      <w:pPr>
        <w:ind w:left="837" w:hanging="360"/>
      </w:pPr>
      <w:rPr>
        <w:rFonts w:ascii="Symbol" w:eastAsia="Symbol" w:hAnsi="Symbol" w:hint="default"/>
        <w:sz w:val="20"/>
        <w:szCs w:val="20"/>
      </w:rPr>
    </w:lvl>
    <w:lvl w:ilvl="1" w:tplc="7A908526">
      <w:start w:val="1"/>
      <w:numFmt w:val="bullet"/>
      <w:lvlText w:val="•"/>
      <w:lvlJc w:val="left"/>
      <w:pPr>
        <w:ind w:left="1328" w:hanging="360"/>
      </w:pPr>
      <w:rPr>
        <w:rFonts w:hint="default"/>
      </w:rPr>
    </w:lvl>
    <w:lvl w:ilvl="2" w:tplc="865C116E">
      <w:start w:val="1"/>
      <w:numFmt w:val="bullet"/>
      <w:lvlText w:val="•"/>
      <w:lvlJc w:val="left"/>
      <w:pPr>
        <w:ind w:left="1819" w:hanging="360"/>
      </w:pPr>
      <w:rPr>
        <w:rFonts w:hint="default"/>
      </w:rPr>
    </w:lvl>
    <w:lvl w:ilvl="3" w:tplc="E690BB72">
      <w:start w:val="1"/>
      <w:numFmt w:val="bullet"/>
      <w:lvlText w:val="•"/>
      <w:lvlJc w:val="left"/>
      <w:pPr>
        <w:ind w:left="2311" w:hanging="360"/>
      </w:pPr>
      <w:rPr>
        <w:rFonts w:hint="default"/>
      </w:rPr>
    </w:lvl>
    <w:lvl w:ilvl="4" w:tplc="A82E73B0">
      <w:start w:val="1"/>
      <w:numFmt w:val="bullet"/>
      <w:lvlText w:val="•"/>
      <w:lvlJc w:val="left"/>
      <w:pPr>
        <w:ind w:left="2802" w:hanging="360"/>
      </w:pPr>
      <w:rPr>
        <w:rFonts w:hint="default"/>
      </w:rPr>
    </w:lvl>
    <w:lvl w:ilvl="5" w:tplc="965CD92E">
      <w:start w:val="1"/>
      <w:numFmt w:val="bullet"/>
      <w:lvlText w:val="•"/>
      <w:lvlJc w:val="left"/>
      <w:pPr>
        <w:ind w:left="3293" w:hanging="360"/>
      </w:pPr>
      <w:rPr>
        <w:rFonts w:hint="default"/>
      </w:rPr>
    </w:lvl>
    <w:lvl w:ilvl="6" w:tplc="5D00447E">
      <w:start w:val="1"/>
      <w:numFmt w:val="bullet"/>
      <w:lvlText w:val="•"/>
      <w:lvlJc w:val="left"/>
      <w:pPr>
        <w:ind w:left="3784" w:hanging="360"/>
      </w:pPr>
      <w:rPr>
        <w:rFonts w:hint="default"/>
      </w:rPr>
    </w:lvl>
    <w:lvl w:ilvl="7" w:tplc="089A683C">
      <w:start w:val="1"/>
      <w:numFmt w:val="bullet"/>
      <w:lvlText w:val="•"/>
      <w:lvlJc w:val="left"/>
      <w:pPr>
        <w:ind w:left="4275" w:hanging="360"/>
      </w:pPr>
      <w:rPr>
        <w:rFonts w:hint="default"/>
      </w:rPr>
    </w:lvl>
    <w:lvl w:ilvl="8" w:tplc="2A7C3836">
      <w:start w:val="1"/>
      <w:numFmt w:val="bullet"/>
      <w:lvlText w:val="•"/>
      <w:lvlJc w:val="left"/>
      <w:pPr>
        <w:ind w:left="4766" w:hanging="360"/>
      </w:pPr>
      <w:rPr>
        <w:rFonts w:hint="default"/>
      </w:rPr>
    </w:lvl>
  </w:abstractNum>
  <w:abstractNum w:abstractNumId="28">
    <w:nsid w:val="7D213592"/>
    <w:multiLevelType w:val="hybridMultilevel"/>
    <w:tmpl w:val="A852F52E"/>
    <w:lvl w:ilvl="0" w:tplc="760647C4">
      <w:start w:val="1"/>
      <w:numFmt w:val="bullet"/>
      <w:lvlText w:val=""/>
      <w:lvlJc w:val="left"/>
      <w:pPr>
        <w:ind w:left="822" w:hanging="360"/>
      </w:pPr>
      <w:rPr>
        <w:rFonts w:ascii="Symbol" w:eastAsia="Symbol" w:hAnsi="Symbol" w:hint="default"/>
        <w:sz w:val="20"/>
        <w:szCs w:val="20"/>
      </w:rPr>
    </w:lvl>
    <w:lvl w:ilvl="1" w:tplc="777C3988">
      <w:start w:val="1"/>
      <w:numFmt w:val="bullet"/>
      <w:lvlText w:val="•"/>
      <w:lvlJc w:val="left"/>
      <w:pPr>
        <w:ind w:left="1314" w:hanging="360"/>
      </w:pPr>
      <w:rPr>
        <w:rFonts w:hint="default"/>
      </w:rPr>
    </w:lvl>
    <w:lvl w:ilvl="2" w:tplc="9D5AEF6C">
      <w:start w:val="1"/>
      <w:numFmt w:val="bullet"/>
      <w:lvlText w:val="•"/>
      <w:lvlJc w:val="left"/>
      <w:pPr>
        <w:ind w:left="1807" w:hanging="360"/>
      </w:pPr>
      <w:rPr>
        <w:rFonts w:hint="default"/>
      </w:rPr>
    </w:lvl>
    <w:lvl w:ilvl="3" w:tplc="96769268">
      <w:start w:val="1"/>
      <w:numFmt w:val="bullet"/>
      <w:lvlText w:val="•"/>
      <w:lvlJc w:val="left"/>
      <w:pPr>
        <w:ind w:left="2300" w:hanging="360"/>
      </w:pPr>
      <w:rPr>
        <w:rFonts w:hint="default"/>
      </w:rPr>
    </w:lvl>
    <w:lvl w:ilvl="4" w:tplc="1954E970">
      <w:start w:val="1"/>
      <w:numFmt w:val="bullet"/>
      <w:lvlText w:val="•"/>
      <w:lvlJc w:val="left"/>
      <w:pPr>
        <w:ind w:left="2792" w:hanging="360"/>
      </w:pPr>
      <w:rPr>
        <w:rFonts w:hint="default"/>
      </w:rPr>
    </w:lvl>
    <w:lvl w:ilvl="5" w:tplc="2D7094C6">
      <w:start w:val="1"/>
      <w:numFmt w:val="bullet"/>
      <w:lvlText w:val="•"/>
      <w:lvlJc w:val="left"/>
      <w:pPr>
        <w:ind w:left="3285" w:hanging="360"/>
      </w:pPr>
      <w:rPr>
        <w:rFonts w:hint="default"/>
      </w:rPr>
    </w:lvl>
    <w:lvl w:ilvl="6" w:tplc="1D48B446">
      <w:start w:val="1"/>
      <w:numFmt w:val="bullet"/>
      <w:lvlText w:val="•"/>
      <w:lvlJc w:val="left"/>
      <w:pPr>
        <w:ind w:left="3777" w:hanging="360"/>
      </w:pPr>
      <w:rPr>
        <w:rFonts w:hint="default"/>
      </w:rPr>
    </w:lvl>
    <w:lvl w:ilvl="7" w:tplc="850CB8A4">
      <w:start w:val="1"/>
      <w:numFmt w:val="bullet"/>
      <w:lvlText w:val="•"/>
      <w:lvlJc w:val="left"/>
      <w:pPr>
        <w:ind w:left="4270" w:hanging="360"/>
      </w:pPr>
      <w:rPr>
        <w:rFonts w:hint="default"/>
      </w:rPr>
    </w:lvl>
    <w:lvl w:ilvl="8" w:tplc="11A2F50E">
      <w:start w:val="1"/>
      <w:numFmt w:val="bullet"/>
      <w:lvlText w:val="•"/>
      <w:lvlJc w:val="left"/>
      <w:pPr>
        <w:ind w:left="4763" w:hanging="360"/>
      </w:pPr>
      <w:rPr>
        <w:rFonts w:hint="default"/>
      </w:rPr>
    </w:lvl>
  </w:abstractNum>
  <w:num w:numId="1">
    <w:abstractNumId w:val="10"/>
  </w:num>
  <w:num w:numId="2">
    <w:abstractNumId w:val="11"/>
  </w:num>
  <w:num w:numId="3">
    <w:abstractNumId w:val="13"/>
  </w:num>
  <w:num w:numId="4">
    <w:abstractNumId w:val="9"/>
  </w:num>
  <w:num w:numId="5">
    <w:abstractNumId w:val="12"/>
  </w:num>
  <w:num w:numId="6">
    <w:abstractNumId w:val="17"/>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5"/>
  </w:num>
  <w:num w:numId="13">
    <w:abstractNumId w:val="28"/>
  </w:num>
  <w:num w:numId="14">
    <w:abstractNumId w:val="18"/>
  </w:num>
  <w:num w:numId="15">
    <w:abstractNumId w:val="4"/>
  </w:num>
  <w:num w:numId="16">
    <w:abstractNumId w:val="21"/>
  </w:num>
  <w:num w:numId="17">
    <w:abstractNumId w:val="25"/>
  </w:num>
  <w:num w:numId="18">
    <w:abstractNumId w:val="14"/>
  </w:num>
  <w:num w:numId="19">
    <w:abstractNumId w:val="27"/>
  </w:num>
  <w:num w:numId="20">
    <w:abstractNumId w:val="22"/>
  </w:num>
  <w:num w:numId="21">
    <w:abstractNumId w:val="16"/>
  </w:num>
  <w:num w:numId="22">
    <w:abstractNumId w:val="7"/>
  </w:num>
  <w:num w:numId="23">
    <w:abstractNumId w:val="8"/>
  </w:num>
  <w:num w:numId="24">
    <w:abstractNumId w:val="26"/>
  </w:num>
  <w:num w:numId="25">
    <w:abstractNumId w:val="6"/>
  </w:num>
  <w:num w:numId="26">
    <w:abstractNumId w:val="2"/>
  </w:num>
  <w:num w:numId="27">
    <w:abstractNumId w:val="0"/>
  </w:num>
  <w:num w:numId="28">
    <w:abstractNumId w:val="1"/>
  </w:num>
  <w:num w:numId="29">
    <w:abstractNumId w:val="23"/>
  </w:num>
  <w:num w:numId="30">
    <w:abstractNumId w:val="20"/>
  </w:num>
  <w:num w:numId="31">
    <w:abstractNumId w:val="24"/>
  </w:num>
  <w:num w:numId="32">
    <w:abstractNumId w:val="15"/>
  </w:num>
  <w:num w:numId="3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revisionView w:markup="0"/>
  <w:defaultTabStop w:val="720"/>
  <w:hyphenationZone w:val="425"/>
  <w:displayHorizontalDrawingGridEvery w:val="0"/>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AB8FC95B-4863-4B2F-BAC3-78C566E7D5F1"/>
    <w:docVar w:name="LW_COVERPAGE_TYPE" w:val="1"/>
    <w:docVar w:name="LW_CROSSREFERENCE" w:val="&lt;UNUSED&gt;"/>
    <w:docVar w:name="LW_DocType" w:val="NORMAL"/>
    <w:docVar w:name="LW_EMISSION" w:val="2018 11 13"/>
    <w:docVar w:name="LW_EMISSION_ISODATE" w:val="2018-11-13"/>
    <w:docVar w:name="LW_EMISSION_LOCATION" w:val="STR"/>
    <w:docVar w:name="LW_EMISSION_PREFIX" w:val="Strasbūras, "/>
    <w:docVar w:name="LW_EMISSION_SUFFIX" w:val=" "/>
    <w:docVar w:name="LW_ID_DOCTYPE_NONLW" w:val="CP-009"/>
    <w:docVar w:name="LW_LANGUE" w:val="LT"/>
    <w:docVar w:name="LW_LEVEL_OF_SENSITIVITY" w:val="Standard treatment"/>
    <w:docVar w:name="LW_NOM.INST" w:val="EUROPOS KOMISIJA"/>
    <w:docVar w:name="LW_NOM.INST_JOINTDOC" w:val="&lt;EMPTY&gt;"/>
    <w:docVar w:name="LW_PART_NBR" w:val="1"/>
    <w:docVar w:name="LW_PART_NBR_TOTAL" w:val="1"/>
    <w:docVar w:name="LW_REF.INST.NEW" w:val="COM"/>
    <w:docVar w:name="LW_REF.INST.NEW_ADOPTED" w:val="final"/>
    <w:docVar w:name="LW_REF.INST.NEW_TEXT" w:val="(2018) 88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ITRE.OBJ.CP" w:val="Pasirengimas Jungtin\u279?s Karalyst\u279?s i\u353?stojimui i\u353? Europos S\u261?jungos 2019 m. kovo 30 d. Veiksm\u371? planas nenumatytiems atvejams"/>
    <w:docVar w:name="LW_TYPE.DOC.CP" w:val="KOMISIJOS KOMUNIKATAS"/>
    <w:docVar w:name="LW_TYPE.DOC.CP.USERTEXT" w:val="EUROPOS PARLAMENTUI, EUROPOS VADOV\u370? TARYBAI, TARYBAI, EUROPOS CENTRINIAM BANKUI, EUROPOS EKONOMIKOS IR SOCIALINI\u370? REIKAL\u370? KOMITETUI, REGION\u370? KOMITETUI IR EUROPOS INVESTICIJ\u370? BANKUI_x000b_"/>
  </w:docVar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lt-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7"/>
    <w:qFormat/>
    <w:pPr>
      <w:ind w:left="99"/>
      <w:outlineLvl w:val="0"/>
    </w:pPr>
    <w:rPr>
      <w:rFonts w:ascii="Times New Roman" w:eastAsia="Times New Roman" w:hAnsi="Times New Roman"/>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w w:val="100"/>
      <w:sz w:val="20"/>
      <w:szCs w:val="20"/>
      <w:shd w:val="clear" w:color="auto" w:fill="auto"/>
    </w:rPr>
  </w:style>
  <w:style w:type="paragraph" w:styleId="ListParagraph">
    <w:name w:val="List Paragraph"/>
    <w:aliases w:val="OBC Bullet,Normal 1,Task Body,Viñetas (Inicio Parrafo),Paragrafo elenco,3 Txt tabla,Zerrenda-paragrafoa,Fiche List Paragraph,Dot pt,F5 List Paragraph,List Paragraph1,No Spacing1,List Paragraph Char Char Char,Indicator Text,Numbered Para 1"/>
    <w:basedOn w:val="Normal"/>
    <w:link w:val="ListParagraphChar"/>
    <w:uiPriority w:val="34"/>
    <w:qFormat/>
    <w:pPr>
      <w:ind w:left="720"/>
    </w:pPr>
  </w:style>
  <w:style w:type="table" w:styleId="TableGrid">
    <w:name w:val="Table Grid"/>
    <w:basedOn w:val="TableNormal"/>
    <w:uiPriority w:val="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r">
    <w:name w:val="Marker"/>
    <w:basedOn w:val="DefaultParagraphFont"/>
    <w:rPr>
      <w:color w:val="0000FF"/>
      <w:w w:val="100"/>
      <w:sz w:val="20"/>
      <w:szCs w:val="20"/>
      <w:shd w:val="clear" w:color="000000" w:fill="auto"/>
    </w:rPr>
  </w:style>
  <w:style w:type="paragraph" w:customStyle="1" w:styleId="Pagedecouverture">
    <w:name w:val="Page de couverture"/>
    <w:basedOn w:val="Normal"/>
    <w:next w:val="Normal"/>
    <w:pPr>
      <w:jc w:val="both"/>
    </w:pPr>
    <w:rPr>
      <w:rFonts w:ascii="Times New Roman" w:eastAsia="Times New Roman" w:hAnsi="Times New Roman"/>
      <w:sz w:val="24"/>
      <w:szCs w:val="24"/>
    </w:rPr>
  </w:style>
  <w:style w:type="paragraph" w:styleId="Header">
    <w:name w:val="header"/>
    <w:basedOn w:val="Normal"/>
    <w:link w:val="HeaderChar"/>
    <w:unhideWhenUsed/>
    <w:pPr>
      <w:tabs>
        <w:tab w:val="center" w:pos="4536"/>
        <w:tab w:val="right" w:pos="9072"/>
      </w:tabs>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pPr>
  </w:style>
  <w:style w:type="character" w:customStyle="1" w:styleId="FooterChar">
    <w:name w:val="Footer Char"/>
    <w:basedOn w:val="DefaultParagraphFont"/>
    <w:link w:val="Footer"/>
    <w:uiPriority w:val="99"/>
  </w:style>
  <w:style w:type="paragraph" w:customStyle="1" w:styleId="Typedudocument">
    <w:name w:val="Type du document"/>
    <w:basedOn w:val="Normal"/>
    <w:next w:val="Normal"/>
    <w:link w:val="TypedudocumentChar"/>
    <w:pPr>
      <w:jc w:val="center"/>
    </w:pPr>
    <w:rPr>
      <w:rFonts w:ascii="Times New Roman" w:eastAsia="Times New Roman" w:hAnsi="Times New Roman"/>
      <w:b/>
      <w:sz w:val="24"/>
      <w:szCs w:val="24"/>
    </w:rPr>
  </w:style>
  <w:style w:type="paragraph" w:customStyle="1" w:styleId="Titreobjet">
    <w:name w:val="Titre objet"/>
    <w:basedOn w:val="Normal"/>
    <w:next w:val="Normal"/>
    <w:pPr>
      <w:jc w:val="center"/>
    </w:pPr>
    <w:rPr>
      <w:rFonts w:ascii="Times New Roman" w:eastAsia="Times New Roman" w:hAnsi="Times New Roman"/>
      <w:b/>
      <w:sz w:val="24"/>
      <w:szCs w:val="24"/>
    </w:rPr>
  </w:style>
  <w:style w:type="paragraph" w:customStyle="1" w:styleId="FooterCoverPage">
    <w:name w:val="Footer Cover Page"/>
    <w:basedOn w:val="Normal"/>
    <w:link w:val="FooterCoverPageChar"/>
    <w:pPr>
      <w:tabs>
        <w:tab w:val="center" w:pos="4535"/>
        <w:tab w:val="right" w:pos="9071"/>
        <w:tab w:val="right" w:pos="9921"/>
      </w:tabs>
      <w:spacing w:before="360"/>
      <w:ind w:left="-850" w:right="-850"/>
    </w:pPr>
    <w:rPr>
      <w:rFonts w:ascii="Times New Roman" w:hAnsi="Times New Roman"/>
      <w:sz w:val="24"/>
    </w:rPr>
  </w:style>
  <w:style w:type="character" w:customStyle="1" w:styleId="TypedudocumentChar">
    <w:name w:val="Type du document Char"/>
    <w:basedOn w:val="DefaultParagraphFont"/>
    <w:link w:val="Typedudocument"/>
    <w:rPr>
      <w:rFonts w:ascii="Times New Roman" w:eastAsia="Times New Roman" w:hAnsi="Times New Roman"/>
      <w:b/>
      <w:w w:val="100"/>
      <w:sz w:val="24"/>
      <w:szCs w:val="24"/>
      <w:shd w:val="clear" w:color="auto" w:fill="auto"/>
    </w:rPr>
  </w:style>
  <w:style w:type="character" w:customStyle="1" w:styleId="FooterCoverPageChar">
    <w:name w:val="Footer Cover Page Char"/>
    <w:basedOn w:val="TypedudocumentChar"/>
    <w:link w:val="FooterCoverPage"/>
    <w:rPr>
      <w:rFonts w:ascii="Times New Roman" w:eastAsia="Times New Roman" w:hAnsi="Times New Roman"/>
      <w:b w:val="0"/>
      <w:w w:val="100"/>
      <w:sz w:val="24"/>
      <w:szCs w:val="24"/>
      <w:shd w:val="clear" w:color="auto" w:fill="auto"/>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ind w:left="113" w:right="113"/>
      <w:jc w:val="center"/>
    </w:pPr>
    <w:rPr>
      <w:rFonts w:ascii="Times New Roman" w:hAnsi="Times New Roman"/>
      <w:b/>
      <w:sz w:val="32"/>
    </w:rPr>
  </w:style>
  <w:style w:type="character" w:customStyle="1" w:styleId="FooterSensitivityChar">
    <w:name w:val="Footer Sensitivity Char"/>
    <w:basedOn w:val="TypedudocumentChar"/>
    <w:link w:val="FooterSensitivity"/>
    <w:rPr>
      <w:rFonts w:ascii="Times New Roman" w:eastAsia="Times New Roman" w:hAnsi="Times New Roman"/>
      <w:b/>
      <w:w w:val="100"/>
      <w:sz w:val="32"/>
      <w:szCs w:val="24"/>
      <w:shd w:val="clear" w:color="auto" w:fill="auto"/>
    </w:rPr>
  </w:style>
  <w:style w:type="paragraph" w:customStyle="1" w:styleId="HeaderCoverPage">
    <w:name w:val="Header Cover Page"/>
    <w:basedOn w:val="Normal"/>
    <w:link w:val="HeaderCoverPageChar"/>
    <w:pPr>
      <w:tabs>
        <w:tab w:val="center" w:pos="4535"/>
        <w:tab w:val="right" w:pos="9071"/>
      </w:tabs>
      <w:spacing w:after="120"/>
      <w:jc w:val="both"/>
    </w:pPr>
    <w:rPr>
      <w:rFonts w:ascii="Times New Roman" w:hAnsi="Times New Roman"/>
      <w:sz w:val="24"/>
    </w:rPr>
  </w:style>
  <w:style w:type="character" w:customStyle="1" w:styleId="HeaderCoverPageChar">
    <w:name w:val="Header Cover Page Char"/>
    <w:basedOn w:val="TypedudocumentChar"/>
    <w:link w:val="HeaderCoverPage"/>
    <w:rPr>
      <w:rFonts w:ascii="Times New Roman" w:eastAsia="Times New Roman" w:hAnsi="Times New Roman"/>
      <w:b w:val="0"/>
      <w:w w:val="100"/>
      <w:sz w:val="24"/>
      <w:szCs w:val="24"/>
      <w:shd w:val="clear" w:color="auto" w:fill="auto"/>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rFonts w:ascii="Times New Roman" w:hAnsi="Times New Roman"/>
      <w:b/>
      <w:sz w:val="32"/>
    </w:rPr>
  </w:style>
  <w:style w:type="character" w:customStyle="1" w:styleId="HeaderSensitivityChar">
    <w:name w:val="Header Sensitivity Char"/>
    <w:basedOn w:val="TypedudocumentChar"/>
    <w:link w:val="HeaderSensitivity"/>
    <w:rPr>
      <w:rFonts w:ascii="Times New Roman" w:eastAsia="Times New Roman" w:hAnsi="Times New Roman"/>
      <w:b/>
      <w:w w:val="100"/>
      <w:sz w:val="32"/>
      <w:szCs w:val="24"/>
      <w:shd w:val="clear" w:color="auto" w:fill="auto"/>
    </w:rPr>
  </w:style>
  <w:style w:type="paragraph" w:styleId="NormalWeb">
    <w:name w:val="Normal (Web)"/>
    <w:basedOn w:val="Normal"/>
    <w:uiPriority w:val="99"/>
    <w:unhideWhenUsed/>
    <w:rPr>
      <w:rFonts w:ascii="Times New Roman" w:eastAsia="Times New Roman" w:hAnsi="Times New Roman"/>
      <w:sz w:val="24"/>
      <w:szCs w:val="24"/>
    </w:rPr>
  </w:style>
  <w:style w:type="paragraph" w:styleId="FootnoteText">
    <w:name w:val="footnote text"/>
    <w:basedOn w:val="Normal"/>
    <w:link w:val="FootnoteTextChar"/>
    <w:unhideWhenUsed/>
    <w:rPr>
      <w:sz w:val="20"/>
      <w:szCs w:val="20"/>
    </w:rPr>
  </w:style>
  <w:style w:type="character" w:customStyle="1" w:styleId="FootnoteTextChar">
    <w:name w:val="Footnote Text Char"/>
    <w:basedOn w:val="DefaultParagraphFont"/>
    <w:link w:val="FootnoteText"/>
    <w:rPr>
      <w:w w:val="100"/>
      <w:sz w:val="20"/>
      <w:szCs w:val="20"/>
      <w:shd w:val="clear" w:color="auto" w:fill="auto"/>
    </w:rPr>
  </w:style>
  <w:style w:type="character" w:styleId="FootnoteReference">
    <w:name w:val="footnote reference"/>
    <w:basedOn w:val="DefaultParagraphFont"/>
    <w:unhideWhenUsed/>
    <w:rPr>
      <w:w w:val="100"/>
      <w:sz w:val="20"/>
      <w:szCs w:val="20"/>
      <w:shd w:val="clear" w:color="auto" w:fill="auto"/>
      <w:vertAlign w:val="superscript"/>
    </w:rPr>
  </w:style>
  <w:style w:type="character" w:styleId="Hyperlink">
    <w:name w:val="Hyperlink"/>
    <w:basedOn w:val="DefaultParagraphFont"/>
    <w:unhideWhenUsed/>
    <w:rPr>
      <w:color w:val="0000FF" w:themeColor="hyperlink"/>
      <w:w w:val="100"/>
      <w:sz w:val="20"/>
      <w:szCs w:val="20"/>
      <w:u w:val="single"/>
      <w:shd w:val="clear" w:color="auto" w:fill="auto"/>
    </w:rPr>
  </w:style>
  <w:style w:type="character" w:customStyle="1" w:styleId="ListParagraphChar">
    <w:name w:val="List Paragraph Char"/>
    <w:aliases w:val="OBC Bullet Char,Normal 1 Char,Task Body Char,Viñetas (Inicio Parrafo) Char,Paragrafo elenco Char,3 Txt tabla Char,Zerrenda-paragrafoa Char,Fiche List Paragraph Char,Dot pt Char,F5 List Paragraph Char,List Paragraph1 Char"/>
    <w:link w:val="ListParagraph"/>
    <w:uiPriority w:val="34"/>
    <w:qFormat/>
  </w:style>
  <w:style w:type="paragraph" w:customStyle="1" w:styleId="Briefingtext">
    <w:name w:val="Briefing text"/>
    <w:basedOn w:val="Normal"/>
    <w:link w:val="BriefingtextChar"/>
    <w:pPr>
      <w:jc w:val="both"/>
    </w:pPr>
    <w:rPr>
      <w:rFonts w:ascii="Arial" w:eastAsia="Arial" w:hAnsi="Arial"/>
      <w:sz w:val="20"/>
      <w:szCs w:val="20"/>
    </w:rPr>
  </w:style>
  <w:style w:type="character" w:customStyle="1" w:styleId="BriefingtextChar">
    <w:name w:val="Briefing text Char"/>
    <w:link w:val="Briefingtext"/>
    <w:rPr>
      <w:rFonts w:ascii="Arial" w:eastAsia="Arial" w:hAnsi="Arial"/>
      <w:w w:val="100"/>
      <w:sz w:val="20"/>
      <w:szCs w:val="20"/>
      <w:shd w:val="clear" w:color="auto" w:fill="auto"/>
    </w:rPr>
  </w:style>
  <w:style w:type="paragraph" w:customStyle="1" w:styleId="Default">
    <w:name w:val="Default"/>
    <w:pPr>
      <w:autoSpaceDE w:val="0"/>
      <w:autoSpaceDN w:val="0"/>
    </w:pPr>
    <w:rPr>
      <w:rFonts w:ascii="Times New Roman" w:eastAsia="Times New Roman" w:hAnsi="Times New Roman"/>
      <w:color w:val="000000"/>
      <w:sz w:val="24"/>
      <w:szCs w:val="24"/>
    </w:rPr>
  </w:style>
  <w:style w:type="paragraph" w:styleId="BalloonText">
    <w:name w:val="Balloon Text"/>
    <w:basedOn w:val="Normal"/>
    <w:link w:val="BalloonTextChar"/>
    <w:semiHidden/>
    <w:unhideWhenUsed/>
    <w:rPr>
      <w:rFonts w:ascii="Tahoma" w:eastAsia="Tahoma" w:hAnsi="Tahoma"/>
      <w:sz w:val="16"/>
      <w:szCs w:val="16"/>
    </w:rPr>
  </w:style>
  <w:style w:type="character" w:customStyle="1" w:styleId="BalloonTextChar">
    <w:name w:val="Balloon Text Char"/>
    <w:basedOn w:val="DefaultParagraphFont"/>
    <w:link w:val="BalloonText"/>
    <w:semiHidden/>
    <w:rPr>
      <w:rFonts w:ascii="Tahoma" w:eastAsia="Tahoma" w:hAnsi="Tahoma"/>
      <w:w w:val="100"/>
      <w:sz w:val="16"/>
      <w:szCs w:val="16"/>
      <w:shd w:val="clear" w:color="auto" w:fill="auto"/>
    </w:rPr>
  </w:style>
  <w:style w:type="paragraph" w:customStyle="1" w:styleId="statut">
    <w:name w:val="statut"/>
    <w:basedOn w:val="Normal"/>
    <w:rPr>
      <w:rFonts w:ascii="Times New Roman" w:eastAsia="Times New Roman" w:hAnsi="Times New Roman"/>
      <w:sz w:val="24"/>
      <w:szCs w:val="24"/>
    </w:rPr>
  </w:style>
  <w:style w:type="character" w:customStyle="1" w:styleId="truncate">
    <w:name w:val="truncate"/>
    <w:basedOn w:val="DefaultParagraphFont"/>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Pr>
      <w:w w:val="100"/>
      <w:sz w:val="16"/>
      <w:szCs w:val="16"/>
      <w:shd w:val="clear" w:color="auto" w:fill="auto"/>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rPr>
      <w:w w:val="100"/>
      <w:sz w:val="20"/>
      <w:szCs w:val="20"/>
      <w:shd w:val="clear" w:color="auto" w:fill="auto"/>
    </w:rPr>
  </w:style>
  <w:style w:type="paragraph" w:styleId="CommentSubject">
    <w:name w:val="annotation subject"/>
    <w:basedOn w:val="CommentText"/>
    <w:next w:val="CommentText"/>
    <w:link w:val="CommentSubjectChar"/>
    <w:semiHidden/>
    <w:unhideWhenUsed/>
    <w:rPr>
      <w:b/>
    </w:rPr>
  </w:style>
  <w:style w:type="character" w:customStyle="1" w:styleId="CommentSubjectChar">
    <w:name w:val="Comment Subject Char"/>
    <w:basedOn w:val="CommentTextChar"/>
    <w:link w:val="CommentSubject"/>
    <w:semiHidden/>
    <w:rPr>
      <w:b/>
      <w:w w:val="100"/>
      <w:sz w:val="20"/>
      <w:szCs w:val="20"/>
      <w:shd w:val="clear" w:color="auto" w:fill="auto"/>
    </w:rPr>
  </w:style>
  <w:style w:type="character" w:styleId="FollowedHyperlink">
    <w:name w:val="FollowedHyperlink"/>
    <w:basedOn w:val="DefaultParagraphFont"/>
    <w:semiHidden/>
    <w:unhideWhenUsed/>
    <w:rPr>
      <w:color w:val="800080" w:themeColor="followedHyperlink"/>
      <w:w w:val="100"/>
      <w:sz w:val="20"/>
      <w:szCs w:val="20"/>
      <w:u w:val="single"/>
      <w:shd w:val="clear" w:color="auto" w:fill="auto"/>
    </w:rPr>
  </w:style>
  <w:style w:type="character" w:customStyle="1" w:styleId="UnresolvedMention">
    <w:name w:val="Unresolved Mention"/>
    <w:basedOn w:val="DefaultParagraphFont"/>
    <w:semiHidden/>
    <w:unhideWhenUsed/>
    <w:rPr>
      <w:color w:val="605E5C"/>
      <w:w w:val="100"/>
      <w:sz w:val="20"/>
      <w:szCs w:val="20"/>
      <w:shd w:val="clear" w:color="000000" w:fill="E1DFDD"/>
    </w:rPr>
  </w:style>
  <w:style w:type="paragraph" w:styleId="Revision">
    <w:name w:val="Revision"/>
    <w:semiHidden/>
  </w:style>
  <w:style w:type="character" w:customStyle="1" w:styleId="Heading1Char">
    <w:name w:val="Heading 1 Char"/>
    <w:basedOn w:val="DefaultParagraphFont"/>
    <w:link w:val="Heading1"/>
    <w:rPr>
      <w:rFonts w:ascii="Times New Roman" w:eastAsia="Times New Roman" w:hAnsi="Times New Roman"/>
      <w:w w:val="100"/>
      <w:sz w:val="24"/>
      <w:szCs w:val="24"/>
      <w:u w:val="single"/>
      <w:shd w:val="clear" w:color="auto" w:fill="auto"/>
    </w:rPr>
  </w:style>
  <w:style w:type="paragraph" w:customStyle="1" w:styleId="TableParagraph">
    <w:name w:val="Table Paragraph"/>
    <w:basedOn w:val="Normal"/>
    <w:uiPriority w:val="1"/>
    <w:qFormat/>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lt-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7"/>
    <w:qFormat/>
    <w:pPr>
      <w:ind w:left="99"/>
      <w:outlineLvl w:val="0"/>
    </w:pPr>
    <w:rPr>
      <w:rFonts w:ascii="Times New Roman" w:eastAsia="Times New Roman" w:hAnsi="Times New Roman"/>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w w:val="100"/>
      <w:sz w:val="20"/>
      <w:szCs w:val="20"/>
      <w:shd w:val="clear" w:color="auto" w:fill="auto"/>
    </w:rPr>
  </w:style>
  <w:style w:type="paragraph" w:styleId="ListParagraph">
    <w:name w:val="List Paragraph"/>
    <w:aliases w:val="OBC Bullet,Normal 1,Task Body,Viñetas (Inicio Parrafo),Paragrafo elenco,3 Txt tabla,Zerrenda-paragrafoa,Fiche List Paragraph,Dot pt,F5 List Paragraph,List Paragraph1,No Spacing1,List Paragraph Char Char Char,Indicator Text,Numbered Para 1"/>
    <w:basedOn w:val="Normal"/>
    <w:link w:val="ListParagraphChar"/>
    <w:uiPriority w:val="34"/>
    <w:qFormat/>
    <w:pPr>
      <w:ind w:left="720"/>
    </w:pPr>
  </w:style>
  <w:style w:type="table" w:styleId="TableGrid">
    <w:name w:val="Table Grid"/>
    <w:basedOn w:val="TableNormal"/>
    <w:uiPriority w:val="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r">
    <w:name w:val="Marker"/>
    <w:basedOn w:val="DefaultParagraphFont"/>
    <w:rPr>
      <w:color w:val="0000FF"/>
      <w:w w:val="100"/>
      <w:sz w:val="20"/>
      <w:szCs w:val="20"/>
      <w:shd w:val="clear" w:color="000000" w:fill="auto"/>
    </w:rPr>
  </w:style>
  <w:style w:type="paragraph" w:customStyle="1" w:styleId="Pagedecouverture">
    <w:name w:val="Page de couverture"/>
    <w:basedOn w:val="Normal"/>
    <w:next w:val="Normal"/>
    <w:pPr>
      <w:jc w:val="both"/>
    </w:pPr>
    <w:rPr>
      <w:rFonts w:ascii="Times New Roman" w:eastAsia="Times New Roman" w:hAnsi="Times New Roman"/>
      <w:sz w:val="24"/>
      <w:szCs w:val="24"/>
    </w:rPr>
  </w:style>
  <w:style w:type="paragraph" w:styleId="Header">
    <w:name w:val="header"/>
    <w:basedOn w:val="Normal"/>
    <w:link w:val="HeaderChar"/>
    <w:unhideWhenUsed/>
    <w:pPr>
      <w:tabs>
        <w:tab w:val="center" w:pos="4536"/>
        <w:tab w:val="right" w:pos="9072"/>
      </w:tabs>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pPr>
  </w:style>
  <w:style w:type="character" w:customStyle="1" w:styleId="FooterChar">
    <w:name w:val="Footer Char"/>
    <w:basedOn w:val="DefaultParagraphFont"/>
    <w:link w:val="Footer"/>
    <w:uiPriority w:val="99"/>
  </w:style>
  <w:style w:type="paragraph" w:customStyle="1" w:styleId="Typedudocument">
    <w:name w:val="Type du document"/>
    <w:basedOn w:val="Normal"/>
    <w:next w:val="Normal"/>
    <w:link w:val="TypedudocumentChar"/>
    <w:pPr>
      <w:jc w:val="center"/>
    </w:pPr>
    <w:rPr>
      <w:rFonts w:ascii="Times New Roman" w:eastAsia="Times New Roman" w:hAnsi="Times New Roman"/>
      <w:b/>
      <w:sz w:val="24"/>
      <w:szCs w:val="24"/>
    </w:rPr>
  </w:style>
  <w:style w:type="paragraph" w:customStyle="1" w:styleId="Titreobjet">
    <w:name w:val="Titre objet"/>
    <w:basedOn w:val="Normal"/>
    <w:next w:val="Normal"/>
    <w:pPr>
      <w:jc w:val="center"/>
    </w:pPr>
    <w:rPr>
      <w:rFonts w:ascii="Times New Roman" w:eastAsia="Times New Roman" w:hAnsi="Times New Roman"/>
      <w:b/>
      <w:sz w:val="24"/>
      <w:szCs w:val="24"/>
    </w:rPr>
  </w:style>
  <w:style w:type="paragraph" w:customStyle="1" w:styleId="FooterCoverPage">
    <w:name w:val="Footer Cover Page"/>
    <w:basedOn w:val="Normal"/>
    <w:link w:val="FooterCoverPageChar"/>
    <w:pPr>
      <w:tabs>
        <w:tab w:val="center" w:pos="4535"/>
        <w:tab w:val="right" w:pos="9071"/>
        <w:tab w:val="right" w:pos="9921"/>
      </w:tabs>
      <w:spacing w:before="360"/>
      <w:ind w:left="-850" w:right="-850"/>
    </w:pPr>
    <w:rPr>
      <w:rFonts w:ascii="Times New Roman" w:hAnsi="Times New Roman"/>
      <w:sz w:val="24"/>
    </w:rPr>
  </w:style>
  <w:style w:type="character" w:customStyle="1" w:styleId="TypedudocumentChar">
    <w:name w:val="Type du document Char"/>
    <w:basedOn w:val="DefaultParagraphFont"/>
    <w:link w:val="Typedudocument"/>
    <w:rPr>
      <w:rFonts w:ascii="Times New Roman" w:eastAsia="Times New Roman" w:hAnsi="Times New Roman"/>
      <w:b/>
      <w:w w:val="100"/>
      <w:sz w:val="24"/>
      <w:szCs w:val="24"/>
      <w:shd w:val="clear" w:color="auto" w:fill="auto"/>
    </w:rPr>
  </w:style>
  <w:style w:type="character" w:customStyle="1" w:styleId="FooterCoverPageChar">
    <w:name w:val="Footer Cover Page Char"/>
    <w:basedOn w:val="TypedudocumentChar"/>
    <w:link w:val="FooterCoverPage"/>
    <w:rPr>
      <w:rFonts w:ascii="Times New Roman" w:eastAsia="Times New Roman" w:hAnsi="Times New Roman"/>
      <w:b w:val="0"/>
      <w:w w:val="100"/>
      <w:sz w:val="24"/>
      <w:szCs w:val="24"/>
      <w:shd w:val="clear" w:color="auto" w:fill="auto"/>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ind w:left="113" w:right="113"/>
      <w:jc w:val="center"/>
    </w:pPr>
    <w:rPr>
      <w:rFonts w:ascii="Times New Roman" w:hAnsi="Times New Roman"/>
      <w:b/>
      <w:sz w:val="32"/>
    </w:rPr>
  </w:style>
  <w:style w:type="character" w:customStyle="1" w:styleId="FooterSensitivityChar">
    <w:name w:val="Footer Sensitivity Char"/>
    <w:basedOn w:val="TypedudocumentChar"/>
    <w:link w:val="FooterSensitivity"/>
    <w:rPr>
      <w:rFonts w:ascii="Times New Roman" w:eastAsia="Times New Roman" w:hAnsi="Times New Roman"/>
      <w:b/>
      <w:w w:val="100"/>
      <w:sz w:val="32"/>
      <w:szCs w:val="24"/>
      <w:shd w:val="clear" w:color="auto" w:fill="auto"/>
    </w:rPr>
  </w:style>
  <w:style w:type="paragraph" w:customStyle="1" w:styleId="HeaderCoverPage">
    <w:name w:val="Header Cover Page"/>
    <w:basedOn w:val="Normal"/>
    <w:link w:val="HeaderCoverPageChar"/>
    <w:pPr>
      <w:tabs>
        <w:tab w:val="center" w:pos="4535"/>
        <w:tab w:val="right" w:pos="9071"/>
      </w:tabs>
      <w:spacing w:after="120"/>
      <w:jc w:val="both"/>
    </w:pPr>
    <w:rPr>
      <w:rFonts w:ascii="Times New Roman" w:hAnsi="Times New Roman"/>
      <w:sz w:val="24"/>
    </w:rPr>
  </w:style>
  <w:style w:type="character" w:customStyle="1" w:styleId="HeaderCoverPageChar">
    <w:name w:val="Header Cover Page Char"/>
    <w:basedOn w:val="TypedudocumentChar"/>
    <w:link w:val="HeaderCoverPage"/>
    <w:rPr>
      <w:rFonts w:ascii="Times New Roman" w:eastAsia="Times New Roman" w:hAnsi="Times New Roman"/>
      <w:b w:val="0"/>
      <w:w w:val="100"/>
      <w:sz w:val="24"/>
      <w:szCs w:val="24"/>
      <w:shd w:val="clear" w:color="auto" w:fill="auto"/>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rFonts w:ascii="Times New Roman" w:hAnsi="Times New Roman"/>
      <w:b/>
      <w:sz w:val="32"/>
    </w:rPr>
  </w:style>
  <w:style w:type="character" w:customStyle="1" w:styleId="HeaderSensitivityChar">
    <w:name w:val="Header Sensitivity Char"/>
    <w:basedOn w:val="TypedudocumentChar"/>
    <w:link w:val="HeaderSensitivity"/>
    <w:rPr>
      <w:rFonts w:ascii="Times New Roman" w:eastAsia="Times New Roman" w:hAnsi="Times New Roman"/>
      <w:b/>
      <w:w w:val="100"/>
      <w:sz w:val="32"/>
      <w:szCs w:val="24"/>
      <w:shd w:val="clear" w:color="auto" w:fill="auto"/>
    </w:rPr>
  </w:style>
  <w:style w:type="paragraph" w:styleId="NormalWeb">
    <w:name w:val="Normal (Web)"/>
    <w:basedOn w:val="Normal"/>
    <w:uiPriority w:val="99"/>
    <w:unhideWhenUsed/>
    <w:rPr>
      <w:rFonts w:ascii="Times New Roman" w:eastAsia="Times New Roman" w:hAnsi="Times New Roman"/>
      <w:sz w:val="24"/>
      <w:szCs w:val="24"/>
    </w:rPr>
  </w:style>
  <w:style w:type="paragraph" w:styleId="FootnoteText">
    <w:name w:val="footnote text"/>
    <w:basedOn w:val="Normal"/>
    <w:link w:val="FootnoteTextChar"/>
    <w:unhideWhenUsed/>
    <w:rPr>
      <w:sz w:val="20"/>
      <w:szCs w:val="20"/>
    </w:rPr>
  </w:style>
  <w:style w:type="character" w:customStyle="1" w:styleId="FootnoteTextChar">
    <w:name w:val="Footnote Text Char"/>
    <w:basedOn w:val="DefaultParagraphFont"/>
    <w:link w:val="FootnoteText"/>
    <w:rPr>
      <w:w w:val="100"/>
      <w:sz w:val="20"/>
      <w:szCs w:val="20"/>
      <w:shd w:val="clear" w:color="auto" w:fill="auto"/>
    </w:rPr>
  </w:style>
  <w:style w:type="character" w:styleId="FootnoteReference">
    <w:name w:val="footnote reference"/>
    <w:basedOn w:val="DefaultParagraphFont"/>
    <w:unhideWhenUsed/>
    <w:rPr>
      <w:w w:val="100"/>
      <w:sz w:val="20"/>
      <w:szCs w:val="20"/>
      <w:shd w:val="clear" w:color="auto" w:fill="auto"/>
      <w:vertAlign w:val="superscript"/>
    </w:rPr>
  </w:style>
  <w:style w:type="character" w:styleId="Hyperlink">
    <w:name w:val="Hyperlink"/>
    <w:basedOn w:val="DefaultParagraphFont"/>
    <w:unhideWhenUsed/>
    <w:rPr>
      <w:color w:val="0000FF" w:themeColor="hyperlink"/>
      <w:w w:val="100"/>
      <w:sz w:val="20"/>
      <w:szCs w:val="20"/>
      <w:u w:val="single"/>
      <w:shd w:val="clear" w:color="auto" w:fill="auto"/>
    </w:rPr>
  </w:style>
  <w:style w:type="character" w:customStyle="1" w:styleId="ListParagraphChar">
    <w:name w:val="List Paragraph Char"/>
    <w:aliases w:val="OBC Bullet Char,Normal 1 Char,Task Body Char,Viñetas (Inicio Parrafo) Char,Paragrafo elenco Char,3 Txt tabla Char,Zerrenda-paragrafoa Char,Fiche List Paragraph Char,Dot pt Char,F5 List Paragraph Char,List Paragraph1 Char"/>
    <w:link w:val="ListParagraph"/>
    <w:uiPriority w:val="34"/>
    <w:qFormat/>
  </w:style>
  <w:style w:type="paragraph" w:customStyle="1" w:styleId="Briefingtext">
    <w:name w:val="Briefing text"/>
    <w:basedOn w:val="Normal"/>
    <w:link w:val="BriefingtextChar"/>
    <w:pPr>
      <w:jc w:val="both"/>
    </w:pPr>
    <w:rPr>
      <w:rFonts w:ascii="Arial" w:eastAsia="Arial" w:hAnsi="Arial"/>
      <w:sz w:val="20"/>
      <w:szCs w:val="20"/>
    </w:rPr>
  </w:style>
  <w:style w:type="character" w:customStyle="1" w:styleId="BriefingtextChar">
    <w:name w:val="Briefing text Char"/>
    <w:link w:val="Briefingtext"/>
    <w:rPr>
      <w:rFonts w:ascii="Arial" w:eastAsia="Arial" w:hAnsi="Arial"/>
      <w:w w:val="100"/>
      <w:sz w:val="20"/>
      <w:szCs w:val="20"/>
      <w:shd w:val="clear" w:color="auto" w:fill="auto"/>
    </w:rPr>
  </w:style>
  <w:style w:type="paragraph" w:customStyle="1" w:styleId="Default">
    <w:name w:val="Default"/>
    <w:pPr>
      <w:autoSpaceDE w:val="0"/>
      <w:autoSpaceDN w:val="0"/>
    </w:pPr>
    <w:rPr>
      <w:rFonts w:ascii="Times New Roman" w:eastAsia="Times New Roman" w:hAnsi="Times New Roman"/>
      <w:color w:val="000000"/>
      <w:sz w:val="24"/>
      <w:szCs w:val="24"/>
    </w:rPr>
  </w:style>
  <w:style w:type="paragraph" w:styleId="BalloonText">
    <w:name w:val="Balloon Text"/>
    <w:basedOn w:val="Normal"/>
    <w:link w:val="BalloonTextChar"/>
    <w:semiHidden/>
    <w:unhideWhenUsed/>
    <w:rPr>
      <w:rFonts w:ascii="Tahoma" w:eastAsia="Tahoma" w:hAnsi="Tahoma"/>
      <w:sz w:val="16"/>
      <w:szCs w:val="16"/>
    </w:rPr>
  </w:style>
  <w:style w:type="character" w:customStyle="1" w:styleId="BalloonTextChar">
    <w:name w:val="Balloon Text Char"/>
    <w:basedOn w:val="DefaultParagraphFont"/>
    <w:link w:val="BalloonText"/>
    <w:semiHidden/>
    <w:rPr>
      <w:rFonts w:ascii="Tahoma" w:eastAsia="Tahoma" w:hAnsi="Tahoma"/>
      <w:w w:val="100"/>
      <w:sz w:val="16"/>
      <w:szCs w:val="16"/>
      <w:shd w:val="clear" w:color="auto" w:fill="auto"/>
    </w:rPr>
  </w:style>
  <w:style w:type="paragraph" w:customStyle="1" w:styleId="statut">
    <w:name w:val="statut"/>
    <w:basedOn w:val="Normal"/>
    <w:rPr>
      <w:rFonts w:ascii="Times New Roman" w:eastAsia="Times New Roman" w:hAnsi="Times New Roman"/>
      <w:sz w:val="24"/>
      <w:szCs w:val="24"/>
    </w:rPr>
  </w:style>
  <w:style w:type="character" w:customStyle="1" w:styleId="truncate">
    <w:name w:val="truncate"/>
    <w:basedOn w:val="DefaultParagraphFont"/>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Pr>
      <w:w w:val="100"/>
      <w:sz w:val="16"/>
      <w:szCs w:val="16"/>
      <w:shd w:val="clear" w:color="auto" w:fill="auto"/>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rPr>
      <w:w w:val="100"/>
      <w:sz w:val="20"/>
      <w:szCs w:val="20"/>
      <w:shd w:val="clear" w:color="auto" w:fill="auto"/>
    </w:rPr>
  </w:style>
  <w:style w:type="paragraph" w:styleId="CommentSubject">
    <w:name w:val="annotation subject"/>
    <w:basedOn w:val="CommentText"/>
    <w:next w:val="CommentText"/>
    <w:link w:val="CommentSubjectChar"/>
    <w:semiHidden/>
    <w:unhideWhenUsed/>
    <w:rPr>
      <w:b/>
    </w:rPr>
  </w:style>
  <w:style w:type="character" w:customStyle="1" w:styleId="CommentSubjectChar">
    <w:name w:val="Comment Subject Char"/>
    <w:basedOn w:val="CommentTextChar"/>
    <w:link w:val="CommentSubject"/>
    <w:semiHidden/>
    <w:rPr>
      <w:b/>
      <w:w w:val="100"/>
      <w:sz w:val="20"/>
      <w:szCs w:val="20"/>
      <w:shd w:val="clear" w:color="auto" w:fill="auto"/>
    </w:rPr>
  </w:style>
  <w:style w:type="character" w:styleId="FollowedHyperlink">
    <w:name w:val="FollowedHyperlink"/>
    <w:basedOn w:val="DefaultParagraphFont"/>
    <w:semiHidden/>
    <w:unhideWhenUsed/>
    <w:rPr>
      <w:color w:val="800080" w:themeColor="followedHyperlink"/>
      <w:w w:val="100"/>
      <w:sz w:val="20"/>
      <w:szCs w:val="20"/>
      <w:u w:val="single"/>
      <w:shd w:val="clear" w:color="auto" w:fill="auto"/>
    </w:rPr>
  </w:style>
  <w:style w:type="character" w:customStyle="1" w:styleId="UnresolvedMention">
    <w:name w:val="Unresolved Mention"/>
    <w:basedOn w:val="DefaultParagraphFont"/>
    <w:semiHidden/>
    <w:unhideWhenUsed/>
    <w:rPr>
      <w:color w:val="605E5C"/>
      <w:w w:val="100"/>
      <w:sz w:val="20"/>
      <w:szCs w:val="20"/>
      <w:shd w:val="clear" w:color="000000" w:fill="E1DFDD"/>
    </w:rPr>
  </w:style>
  <w:style w:type="paragraph" w:styleId="Revision">
    <w:name w:val="Revision"/>
    <w:semiHidden/>
  </w:style>
  <w:style w:type="character" w:customStyle="1" w:styleId="Heading1Char">
    <w:name w:val="Heading 1 Char"/>
    <w:basedOn w:val="DefaultParagraphFont"/>
    <w:link w:val="Heading1"/>
    <w:rPr>
      <w:rFonts w:ascii="Times New Roman" w:eastAsia="Times New Roman" w:hAnsi="Times New Roman"/>
      <w:w w:val="100"/>
      <w:sz w:val="24"/>
      <w:szCs w:val="24"/>
      <w:u w:val="single"/>
      <w:shd w:val="clear" w:color="auto" w:fill="auto"/>
    </w:rPr>
  </w:style>
  <w:style w:type="paragraph" w:customStyle="1" w:styleId="TableParagraph">
    <w:name w:val="Table Paragraph"/>
    <w:basedOn w:val="Normal"/>
    <w:uiPriority w:val="1"/>
    <w:qFormat/>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1636">
      <w:bodyDiv w:val="1"/>
      <w:marLeft w:val="0"/>
      <w:marRight w:val="0"/>
      <w:marTop w:val="0"/>
      <w:marBottom w:val="0"/>
      <w:divBdr>
        <w:top w:val="none" w:sz="0" w:space="0" w:color="auto"/>
        <w:left w:val="none" w:sz="0" w:space="0" w:color="auto"/>
        <w:bottom w:val="none" w:sz="0" w:space="0" w:color="auto"/>
        <w:right w:val="none" w:sz="0" w:space="0" w:color="auto"/>
      </w:divBdr>
    </w:div>
    <w:div w:id="516967949">
      <w:bodyDiv w:val="1"/>
      <w:marLeft w:val="0"/>
      <w:marRight w:val="0"/>
      <w:marTop w:val="0"/>
      <w:marBottom w:val="0"/>
      <w:divBdr>
        <w:top w:val="none" w:sz="0" w:space="0" w:color="auto"/>
        <w:left w:val="none" w:sz="0" w:space="0" w:color="auto"/>
        <w:bottom w:val="none" w:sz="0" w:space="0" w:color="auto"/>
        <w:right w:val="none" w:sz="0" w:space="0" w:color="auto"/>
      </w:divBdr>
      <w:divsChild>
        <w:div w:id="1567766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3567244">
              <w:marLeft w:val="0"/>
              <w:marRight w:val="0"/>
              <w:marTop w:val="0"/>
              <w:marBottom w:val="0"/>
              <w:divBdr>
                <w:top w:val="none" w:sz="0" w:space="0" w:color="auto"/>
                <w:left w:val="none" w:sz="0" w:space="0" w:color="auto"/>
                <w:bottom w:val="none" w:sz="0" w:space="0" w:color="auto"/>
                <w:right w:val="none" w:sz="0" w:space="0" w:color="auto"/>
              </w:divBdr>
              <w:divsChild>
                <w:div w:id="839388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772459">
                      <w:marLeft w:val="0"/>
                      <w:marRight w:val="0"/>
                      <w:marTop w:val="0"/>
                      <w:marBottom w:val="0"/>
                      <w:divBdr>
                        <w:top w:val="none" w:sz="0" w:space="0" w:color="auto"/>
                        <w:left w:val="none" w:sz="0" w:space="0" w:color="auto"/>
                        <w:bottom w:val="none" w:sz="0" w:space="0" w:color="auto"/>
                        <w:right w:val="none" w:sz="0" w:space="0" w:color="auto"/>
                      </w:divBdr>
                      <w:divsChild>
                        <w:div w:id="1268122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2512390">
                              <w:marLeft w:val="0"/>
                              <w:marRight w:val="0"/>
                              <w:marTop w:val="0"/>
                              <w:marBottom w:val="0"/>
                              <w:divBdr>
                                <w:top w:val="none" w:sz="0" w:space="0" w:color="auto"/>
                                <w:left w:val="none" w:sz="0" w:space="0" w:color="auto"/>
                                <w:bottom w:val="none" w:sz="0" w:space="0" w:color="auto"/>
                                <w:right w:val="none" w:sz="0" w:space="0" w:color="auto"/>
                              </w:divBdr>
                              <w:divsChild>
                                <w:div w:id="120538025">
                                  <w:marLeft w:val="0"/>
                                  <w:marRight w:val="0"/>
                                  <w:marTop w:val="0"/>
                                  <w:marBottom w:val="0"/>
                                  <w:divBdr>
                                    <w:top w:val="none" w:sz="0" w:space="0" w:color="auto"/>
                                    <w:left w:val="none" w:sz="0" w:space="0" w:color="auto"/>
                                    <w:bottom w:val="none" w:sz="0" w:space="0" w:color="auto"/>
                                    <w:right w:val="none" w:sz="0" w:space="0" w:color="auto"/>
                                  </w:divBdr>
                                  <w:divsChild>
                                    <w:div w:id="12488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8212181">
                                          <w:marLeft w:val="0"/>
                                          <w:marRight w:val="0"/>
                                          <w:marTop w:val="0"/>
                                          <w:marBottom w:val="0"/>
                                          <w:divBdr>
                                            <w:top w:val="none" w:sz="0" w:space="0" w:color="auto"/>
                                            <w:left w:val="none" w:sz="0" w:space="0" w:color="auto"/>
                                            <w:bottom w:val="none" w:sz="0" w:space="0" w:color="auto"/>
                                            <w:right w:val="none" w:sz="0" w:space="0" w:color="auto"/>
                                          </w:divBdr>
                                          <w:divsChild>
                                            <w:div w:id="65613696">
                                              <w:marLeft w:val="0"/>
                                              <w:marRight w:val="0"/>
                                              <w:marTop w:val="0"/>
                                              <w:marBottom w:val="0"/>
                                              <w:divBdr>
                                                <w:top w:val="none" w:sz="0" w:space="0" w:color="auto"/>
                                                <w:left w:val="none" w:sz="0" w:space="0" w:color="auto"/>
                                                <w:bottom w:val="none" w:sz="0" w:space="0" w:color="auto"/>
                                                <w:right w:val="none" w:sz="0" w:space="0" w:color="auto"/>
                                              </w:divBdr>
                                              <w:divsChild>
                                                <w:div w:id="10932806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7415155">
                                                      <w:marLeft w:val="0"/>
                                                      <w:marRight w:val="0"/>
                                                      <w:marTop w:val="0"/>
                                                      <w:marBottom w:val="0"/>
                                                      <w:divBdr>
                                                        <w:top w:val="none" w:sz="0" w:space="0" w:color="auto"/>
                                                        <w:left w:val="none" w:sz="0" w:space="0" w:color="auto"/>
                                                        <w:bottom w:val="none" w:sz="0" w:space="0" w:color="auto"/>
                                                        <w:right w:val="none" w:sz="0" w:space="0" w:color="auto"/>
                                                      </w:divBdr>
                                                      <w:divsChild>
                                                        <w:div w:id="810243861">
                                                          <w:marLeft w:val="0"/>
                                                          <w:marRight w:val="0"/>
                                                          <w:marTop w:val="0"/>
                                                          <w:marBottom w:val="0"/>
                                                          <w:divBdr>
                                                            <w:top w:val="none" w:sz="0" w:space="0" w:color="auto"/>
                                                            <w:left w:val="none" w:sz="0" w:space="0" w:color="auto"/>
                                                            <w:bottom w:val="none" w:sz="0" w:space="0" w:color="auto"/>
                                                            <w:right w:val="none" w:sz="0" w:space="0" w:color="auto"/>
                                                          </w:divBdr>
                                                          <w:divsChild>
                                                            <w:div w:id="144399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8343722">
                                                                  <w:marLeft w:val="0"/>
                                                                  <w:marRight w:val="0"/>
                                                                  <w:marTop w:val="0"/>
                                                                  <w:marBottom w:val="0"/>
                                                                  <w:divBdr>
                                                                    <w:top w:val="none" w:sz="0" w:space="0" w:color="auto"/>
                                                                    <w:left w:val="none" w:sz="0" w:space="0" w:color="auto"/>
                                                                    <w:bottom w:val="none" w:sz="0" w:space="0" w:color="auto"/>
                                                                    <w:right w:val="none" w:sz="0" w:space="0" w:color="auto"/>
                                                                  </w:divBdr>
                                                                  <w:divsChild>
                                                                    <w:div w:id="340139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0461813">
                                                                          <w:marLeft w:val="0"/>
                                                                          <w:marRight w:val="0"/>
                                                                          <w:marTop w:val="0"/>
                                                                          <w:marBottom w:val="0"/>
                                                                          <w:divBdr>
                                                                            <w:top w:val="none" w:sz="0" w:space="0" w:color="auto"/>
                                                                            <w:left w:val="none" w:sz="0" w:space="0" w:color="auto"/>
                                                                            <w:bottom w:val="none" w:sz="0" w:space="0" w:color="auto"/>
                                                                            <w:right w:val="none" w:sz="0" w:space="0" w:color="auto"/>
                                                                          </w:divBdr>
                                                                          <w:divsChild>
                                                                            <w:div w:id="1928684355">
                                                                              <w:marLeft w:val="0"/>
                                                                              <w:marRight w:val="0"/>
                                                                              <w:marTop w:val="0"/>
                                                                              <w:marBottom w:val="0"/>
                                                                              <w:divBdr>
                                                                                <w:top w:val="none" w:sz="0" w:space="0" w:color="auto"/>
                                                                                <w:left w:val="none" w:sz="0" w:space="0" w:color="auto"/>
                                                                                <w:bottom w:val="none" w:sz="0" w:space="0" w:color="auto"/>
                                                                                <w:right w:val="none" w:sz="0" w:space="0" w:color="auto"/>
                                                                              </w:divBdr>
                                                                              <w:divsChild>
                                                                                <w:div w:id="9206755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6709973">
                                                                                      <w:marLeft w:val="0"/>
                                                                                      <w:marRight w:val="0"/>
                                                                                      <w:marTop w:val="0"/>
                                                                                      <w:marBottom w:val="0"/>
                                                                                      <w:divBdr>
                                                                                        <w:top w:val="none" w:sz="0" w:space="0" w:color="auto"/>
                                                                                        <w:left w:val="none" w:sz="0" w:space="0" w:color="auto"/>
                                                                                        <w:bottom w:val="none" w:sz="0" w:space="0" w:color="auto"/>
                                                                                        <w:right w:val="none" w:sz="0" w:space="0" w:color="auto"/>
                                                                                      </w:divBdr>
                                                                                      <w:divsChild>
                                                                                        <w:div w:id="79359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4724852">
      <w:bodyDiv w:val="1"/>
      <w:marLeft w:val="0"/>
      <w:marRight w:val="0"/>
      <w:marTop w:val="0"/>
      <w:marBottom w:val="0"/>
      <w:divBdr>
        <w:top w:val="none" w:sz="0" w:space="0" w:color="auto"/>
        <w:left w:val="none" w:sz="0" w:space="0" w:color="auto"/>
        <w:bottom w:val="none" w:sz="0" w:space="0" w:color="auto"/>
        <w:right w:val="none" w:sz="0" w:space="0" w:color="auto"/>
      </w:divBdr>
    </w:div>
    <w:div w:id="733236319">
      <w:bodyDiv w:val="1"/>
      <w:marLeft w:val="0"/>
      <w:marRight w:val="0"/>
      <w:marTop w:val="0"/>
      <w:marBottom w:val="0"/>
      <w:divBdr>
        <w:top w:val="none" w:sz="0" w:space="0" w:color="auto"/>
        <w:left w:val="none" w:sz="0" w:space="0" w:color="auto"/>
        <w:bottom w:val="none" w:sz="0" w:space="0" w:color="auto"/>
        <w:right w:val="none" w:sz="0" w:space="0" w:color="auto"/>
      </w:divBdr>
    </w:div>
    <w:div w:id="742603878">
      <w:bodyDiv w:val="1"/>
      <w:marLeft w:val="0"/>
      <w:marRight w:val="0"/>
      <w:marTop w:val="0"/>
      <w:marBottom w:val="0"/>
      <w:divBdr>
        <w:top w:val="none" w:sz="0" w:space="0" w:color="auto"/>
        <w:left w:val="none" w:sz="0" w:space="0" w:color="auto"/>
        <w:bottom w:val="none" w:sz="0" w:space="0" w:color="auto"/>
        <w:right w:val="none" w:sz="0" w:space="0" w:color="auto"/>
      </w:divBdr>
      <w:divsChild>
        <w:div w:id="5026673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3055596">
              <w:marLeft w:val="0"/>
              <w:marRight w:val="0"/>
              <w:marTop w:val="0"/>
              <w:marBottom w:val="0"/>
              <w:divBdr>
                <w:top w:val="none" w:sz="0" w:space="0" w:color="auto"/>
                <w:left w:val="none" w:sz="0" w:space="0" w:color="auto"/>
                <w:bottom w:val="none" w:sz="0" w:space="0" w:color="auto"/>
                <w:right w:val="none" w:sz="0" w:space="0" w:color="auto"/>
              </w:divBdr>
              <w:divsChild>
                <w:div w:id="9080338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5528374">
                      <w:marLeft w:val="0"/>
                      <w:marRight w:val="0"/>
                      <w:marTop w:val="0"/>
                      <w:marBottom w:val="0"/>
                      <w:divBdr>
                        <w:top w:val="none" w:sz="0" w:space="0" w:color="auto"/>
                        <w:left w:val="none" w:sz="0" w:space="0" w:color="auto"/>
                        <w:bottom w:val="none" w:sz="0" w:space="0" w:color="auto"/>
                        <w:right w:val="none" w:sz="0" w:space="0" w:color="auto"/>
                      </w:divBdr>
                      <w:divsChild>
                        <w:div w:id="1053458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2885458">
                              <w:marLeft w:val="0"/>
                              <w:marRight w:val="0"/>
                              <w:marTop w:val="0"/>
                              <w:marBottom w:val="0"/>
                              <w:divBdr>
                                <w:top w:val="none" w:sz="0" w:space="0" w:color="auto"/>
                                <w:left w:val="none" w:sz="0" w:space="0" w:color="auto"/>
                                <w:bottom w:val="none" w:sz="0" w:space="0" w:color="auto"/>
                                <w:right w:val="none" w:sz="0" w:space="0" w:color="auto"/>
                              </w:divBdr>
                              <w:divsChild>
                                <w:div w:id="1419714326">
                                  <w:marLeft w:val="0"/>
                                  <w:marRight w:val="0"/>
                                  <w:marTop w:val="0"/>
                                  <w:marBottom w:val="0"/>
                                  <w:divBdr>
                                    <w:top w:val="none" w:sz="0" w:space="0" w:color="auto"/>
                                    <w:left w:val="none" w:sz="0" w:space="0" w:color="auto"/>
                                    <w:bottom w:val="none" w:sz="0" w:space="0" w:color="auto"/>
                                    <w:right w:val="none" w:sz="0" w:space="0" w:color="auto"/>
                                  </w:divBdr>
                                  <w:divsChild>
                                    <w:div w:id="56980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0278739">
                                          <w:marLeft w:val="0"/>
                                          <w:marRight w:val="0"/>
                                          <w:marTop w:val="0"/>
                                          <w:marBottom w:val="0"/>
                                          <w:divBdr>
                                            <w:top w:val="none" w:sz="0" w:space="0" w:color="auto"/>
                                            <w:left w:val="none" w:sz="0" w:space="0" w:color="auto"/>
                                            <w:bottom w:val="none" w:sz="0" w:space="0" w:color="auto"/>
                                            <w:right w:val="none" w:sz="0" w:space="0" w:color="auto"/>
                                          </w:divBdr>
                                          <w:divsChild>
                                            <w:div w:id="1706520875">
                                              <w:marLeft w:val="0"/>
                                              <w:marRight w:val="0"/>
                                              <w:marTop w:val="0"/>
                                              <w:marBottom w:val="0"/>
                                              <w:divBdr>
                                                <w:top w:val="none" w:sz="0" w:space="0" w:color="auto"/>
                                                <w:left w:val="none" w:sz="0" w:space="0" w:color="auto"/>
                                                <w:bottom w:val="none" w:sz="0" w:space="0" w:color="auto"/>
                                                <w:right w:val="none" w:sz="0" w:space="0" w:color="auto"/>
                                              </w:divBdr>
                                              <w:divsChild>
                                                <w:div w:id="13136314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498993">
                                                      <w:marLeft w:val="0"/>
                                                      <w:marRight w:val="0"/>
                                                      <w:marTop w:val="0"/>
                                                      <w:marBottom w:val="0"/>
                                                      <w:divBdr>
                                                        <w:top w:val="none" w:sz="0" w:space="0" w:color="auto"/>
                                                        <w:left w:val="none" w:sz="0" w:space="0" w:color="auto"/>
                                                        <w:bottom w:val="none" w:sz="0" w:space="0" w:color="auto"/>
                                                        <w:right w:val="none" w:sz="0" w:space="0" w:color="auto"/>
                                                      </w:divBdr>
                                                      <w:divsChild>
                                                        <w:div w:id="917061915">
                                                          <w:marLeft w:val="0"/>
                                                          <w:marRight w:val="0"/>
                                                          <w:marTop w:val="0"/>
                                                          <w:marBottom w:val="0"/>
                                                          <w:divBdr>
                                                            <w:top w:val="none" w:sz="0" w:space="0" w:color="auto"/>
                                                            <w:left w:val="none" w:sz="0" w:space="0" w:color="auto"/>
                                                            <w:bottom w:val="none" w:sz="0" w:space="0" w:color="auto"/>
                                                            <w:right w:val="none" w:sz="0" w:space="0" w:color="auto"/>
                                                          </w:divBdr>
                                                          <w:divsChild>
                                                            <w:div w:id="1849712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6511098">
                                                                  <w:marLeft w:val="0"/>
                                                                  <w:marRight w:val="0"/>
                                                                  <w:marTop w:val="0"/>
                                                                  <w:marBottom w:val="0"/>
                                                                  <w:divBdr>
                                                                    <w:top w:val="none" w:sz="0" w:space="0" w:color="auto"/>
                                                                    <w:left w:val="none" w:sz="0" w:space="0" w:color="auto"/>
                                                                    <w:bottom w:val="none" w:sz="0" w:space="0" w:color="auto"/>
                                                                    <w:right w:val="none" w:sz="0" w:space="0" w:color="auto"/>
                                                                  </w:divBdr>
                                                                  <w:divsChild>
                                                                    <w:div w:id="94753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2395444">
      <w:bodyDiv w:val="1"/>
      <w:marLeft w:val="0"/>
      <w:marRight w:val="0"/>
      <w:marTop w:val="0"/>
      <w:marBottom w:val="0"/>
      <w:divBdr>
        <w:top w:val="none" w:sz="0" w:space="0" w:color="auto"/>
        <w:left w:val="none" w:sz="0" w:space="0" w:color="auto"/>
        <w:bottom w:val="none" w:sz="0" w:space="0" w:color="auto"/>
        <w:right w:val="none" w:sz="0" w:space="0" w:color="auto"/>
      </w:divBdr>
    </w:div>
    <w:div w:id="1024215242">
      <w:bodyDiv w:val="1"/>
      <w:marLeft w:val="0"/>
      <w:marRight w:val="0"/>
      <w:marTop w:val="0"/>
      <w:marBottom w:val="0"/>
      <w:divBdr>
        <w:top w:val="none" w:sz="0" w:space="0" w:color="auto"/>
        <w:left w:val="none" w:sz="0" w:space="0" w:color="auto"/>
        <w:bottom w:val="none" w:sz="0" w:space="0" w:color="auto"/>
        <w:right w:val="none" w:sz="0" w:space="0" w:color="auto"/>
      </w:divBdr>
    </w:div>
    <w:div w:id="1286741045">
      <w:bodyDiv w:val="1"/>
      <w:marLeft w:val="0"/>
      <w:marRight w:val="0"/>
      <w:marTop w:val="0"/>
      <w:marBottom w:val="0"/>
      <w:divBdr>
        <w:top w:val="none" w:sz="0" w:space="0" w:color="auto"/>
        <w:left w:val="none" w:sz="0" w:space="0" w:color="auto"/>
        <w:bottom w:val="none" w:sz="0" w:space="0" w:color="auto"/>
        <w:right w:val="none" w:sz="0" w:space="0" w:color="auto"/>
      </w:divBdr>
    </w:div>
    <w:div w:id="1456101522">
      <w:bodyDiv w:val="1"/>
      <w:marLeft w:val="0"/>
      <w:marRight w:val="0"/>
      <w:marTop w:val="0"/>
      <w:marBottom w:val="0"/>
      <w:divBdr>
        <w:top w:val="none" w:sz="0" w:space="0" w:color="auto"/>
        <w:left w:val="none" w:sz="0" w:space="0" w:color="auto"/>
        <w:bottom w:val="none" w:sz="0" w:space="0" w:color="auto"/>
        <w:right w:val="none" w:sz="0" w:space="0" w:color="auto"/>
      </w:divBdr>
    </w:div>
    <w:div w:id="1461528814">
      <w:bodyDiv w:val="1"/>
      <w:marLeft w:val="0"/>
      <w:marRight w:val="0"/>
      <w:marTop w:val="0"/>
      <w:marBottom w:val="0"/>
      <w:divBdr>
        <w:top w:val="none" w:sz="0" w:space="0" w:color="auto"/>
        <w:left w:val="none" w:sz="0" w:space="0" w:color="auto"/>
        <w:bottom w:val="none" w:sz="0" w:space="0" w:color="auto"/>
        <w:right w:val="none" w:sz="0" w:space="0" w:color="auto"/>
      </w:divBdr>
    </w:div>
    <w:div w:id="1500734004">
      <w:bodyDiv w:val="1"/>
      <w:marLeft w:val="0"/>
      <w:marRight w:val="0"/>
      <w:marTop w:val="0"/>
      <w:marBottom w:val="0"/>
      <w:divBdr>
        <w:top w:val="none" w:sz="0" w:space="0" w:color="auto"/>
        <w:left w:val="none" w:sz="0" w:space="0" w:color="auto"/>
        <w:bottom w:val="none" w:sz="0" w:space="0" w:color="auto"/>
        <w:right w:val="none" w:sz="0" w:space="0" w:color="auto"/>
      </w:divBdr>
    </w:div>
    <w:div w:id="1772965609">
      <w:bodyDiv w:val="1"/>
      <w:marLeft w:val="0"/>
      <w:marRight w:val="0"/>
      <w:marTop w:val="0"/>
      <w:marBottom w:val="0"/>
      <w:divBdr>
        <w:top w:val="none" w:sz="0" w:space="0" w:color="auto"/>
        <w:left w:val="none" w:sz="0" w:space="0" w:color="auto"/>
        <w:bottom w:val="none" w:sz="0" w:space="0" w:color="auto"/>
        <w:right w:val="none" w:sz="0" w:space="0" w:color="auto"/>
      </w:divBdr>
    </w:div>
    <w:div w:id="1778795366">
      <w:bodyDiv w:val="1"/>
      <w:marLeft w:val="0"/>
      <w:marRight w:val="0"/>
      <w:marTop w:val="0"/>
      <w:marBottom w:val="0"/>
      <w:divBdr>
        <w:top w:val="none" w:sz="0" w:space="0" w:color="auto"/>
        <w:left w:val="none" w:sz="0" w:space="0" w:color="auto"/>
        <w:bottom w:val="none" w:sz="0" w:space="0" w:color="auto"/>
        <w:right w:val="none" w:sz="0" w:space="0" w:color="auto"/>
      </w:divBdr>
      <w:divsChild>
        <w:div w:id="16446549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9912859">
              <w:marLeft w:val="0"/>
              <w:marRight w:val="0"/>
              <w:marTop w:val="0"/>
              <w:marBottom w:val="0"/>
              <w:divBdr>
                <w:top w:val="none" w:sz="0" w:space="0" w:color="auto"/>
                <w:left w:val="none" w:sz="0" w:space="0" w:color="auto"/>
                <w:bottom w:val="none" w:sz="0" w:space="0" w:color="auto"/>
                <w:right w:val="none" w:sz="0" w:space="0" w:color="auto"/>
              </w:divBdr>
              <w:divsChild>
                <w:div w:id="16998188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3199373">
                      <w:marLeft w:val="0"/>
                      <w:marRight w:val="0"/>
                      <w:marTop w:val="0"/>
                      <w:marBottom w:val="0"/>
                      <w:divBdr>
                        <w:top w:val="none" w:sz="0" w:space="0" w:color="auto"/>
                        <w:left w:val="none" w:sz="0" w:space="0" w:color="auto"/>
                        <w:bottom w:val="none" w:sz="0" w:space="0" w:color="auto"/>
                        <w:right w:val="none" w:sz="0" w:space="0" w:color="auto"/>
                      </w:divBdr>
                      <w:divsChild>
                        <w:div w:id="12136879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5495958">
                              <w:marLeft w:val="0"/>
                              <w:marRight w:val="0"/>
                              <w:marTop w:val="0"/>
                              <w:marBottom w:val="0"/>
                              <w:divBdr>
                                <w:top w:val="none" w:sz="0" w:space="0" w:color="auto"/>
                                <w:left w:val="none" w:sz="0" w:space="0" w:color="auto"/>
                                <w:bottom w:val="none" w:sz="0" w:space="0" w:color="auto"/>
                                <w:right w:val="none" w:sz="0" w:space="0" w:color="auto"/>
                              </w:divBdr>
                              <w:divsChild>
                                <w:div w:id="959917612">
                                  <w:marLeft w:val="0"/>
                                  <w:marRight w:val="0"/>
                                  <w:marTop w:val="0"/>
                                  <w:marBottom w:val="0"/>
                                  <w:divBdr>
                                    <w:top w:val="none" w:sz="0" w:space="0" w:color="auto"/>
                                    <w:left w:val="none" w:sz="0" w:space="0" w:color="auto"/>
                                    <w:bottom w:val="none" w:sz="0" w:space="0" w:color="auto"/>
                                    <w:right w:val="none" w:sz="0" w:space="0" w:color="auto"/>
                                  </w:divBdr>
                                  <w:divsChild>
                                    <w:div w:id="4500489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6658381">
                                          <w:marLeft w:val="0"/>
                                          <w:marRight w:val="0"/>
                                          <w:marTop w:val="0"/>
                                          <w:marBottom w:val="0"/>
                                          <w:divBdr>
                                            <w:top w:val="none" w:sz="0" w:space="0" w:color="auto"/>
                                            <w:left w:val="none" w:sz="0" w:space="0" w:color="auto"/>
                                            <w:bottom w:val="none" w:sz="0" w:space="0" w:color="auto"/>
                                            <w:right w:val="none" w:sz="0" w:space="0" w:color="auto"/>
                                          </w:divBdr>
                                          <w:divsChild>
                                            <w:div w:id="14155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info/brexit/brexit-preparedness/preparedness-notices_lt" TargetMode="External"/><Relationship Id="rId3" Type="http://schemas.openxmlformats.org/officeDocument/2006/relationships/hyperlink" Target="https://ec.europa.eu/commission/publications/draft-agreement-withdrawal-united-kingdom-great-britain-and-northern-ireland-european-union-and-european-atomic-energy-community-0_en" TargetMode="External"/><Relationship Id="rId7" Type="http://schemas.openxmlformats.org/officeDocument/2006/relationships/hyperlink" Target="https://ec.europa.eu/info/brexit/brexit-preparedness/preparedness-notices_lt" TargetMode="External"/><Relationship Id="rId2" Type="http://schemas.openxmlformats.org/officeDocument/2006/relationships/hyperlink" Target="http://data.consilium.europa.eu/doc/document/XT-20006-2018-INIT/lt/pdf" TargetMode="External"/><Relationship Id="rId1" Type="http://schemas.openxmlformats.org/officeDocument/2006/relationships/hyperlink" Target="http://data.consilium.europa.eu/doc/document/XT-20006-2018-INIT/lt/pdf" TargetMode="External"/><Relationship Id="rId6" Type="http://schemas.openxmlformats.org/officeDocument/2006/relationships/hyperlink" Target="https://ec.europa.eu/info/brexit/brexit-preparedness/preparedness-notices_lt" TargetMode="External"/><Relationship Id="rId5" Type="http://schemas.openxmlformats.org/officeDocument/2006/relationships/hyperlink" Target="https://ec.europa.eu/info/brexit/brexit-preparedness/preparedness-notices_lt" TargetMode="External"/><Relationship Id="rId10" Type="http://schemas.openxmlformats.org/officeDocument/2006/relationships/hyperlink" Target="https://ec.europa.eu/info/sites/info/files/file_import/data_protection_en.pdf" TargetMode="External"/><Relationship Id="rId4" Type="http://schemas.openxmlformats.org/officeDocument/2006/relationships/hyperlink" Target="https://ec.europa.eu/commission/sites/beta-political/files/joint_statement.pdf" TargetMode="External"/><Relationship Id="rId9" Type="http://schemas.openxmlformats.org/officeDocument/2006/relationships/hyperlink" Target="https://ec.europa.eu/info/brexit/brexit-preparedness/preparedness-notices_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C_Collab_Reference xmlns="25173920-bf43-43cc-9123-1897e847dfc2" xsi:nil="true"/>
    <_Status xmlns="http://schemas.microsoft.com/sharepoint/v3/fields">Not Started</_Status>
    <EC_Collab_Status xmlns="25173920-bf43-43cc-9123-1897e847dfc2">Not Started</EC_Collab_Status>
    <DG xmlns="25173920-bf43-43cc-9123-1897e847dfc2"/>
    <EC_Collab_DocumentLanguage xmlns="25173920-bf43-43cc-9123-1897e847dfc2">EN</EC_Collab_DocumentLanguage>
    <RelatedItem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D33D44CF0C8FEB45875F235DEEF2E1B9" ma:contentTypeVersion="7" ma:contentTypeDescription="Create a new document in this library." ma:contentTypeScope="" ma:versionID="0cb51d011d44aaa2f2f2559eb8aaf023">
  <xsd:schema xmlns:xsd="http://www.w3.org/2001/XMLSchema" xmlns:xs="http://www.w3.org/2001/XMLSchema" xmlns:p="http://schemas.microsoft.com/office/2006/metadata/properties" xmlns:ns1="http://schemas.microsoft.com/sharepoint/v3" xmlns:ns2="http://schemas.microsoft.com/sharepoint/v3/fields" xmlns:ns3="25173920-bf43-43cc-9123-1897e847dfc2" targetNamespace="http://schemas.microsoft.com/office/2006/metadata/properties" ma:root="true" ma:fieldsID="a931e117a4c2a292401c17c6d61581df" ns1:_="" ns2:_="" ns3:_="">
    <xsd:import namespace="http://schemas.microsoft.com/sharepoint/v3"/>
    <xsd:import namespace="http://schemas.microsoft.com/sharepoint/v3/fields"/>
    <xsd:import namespace="25173920-bf43-43cc-9123-1897e847dfc2"/>
    <xsd:element name="properties">
      <xsd:complexType>
        <xsd:sequence>
          <xsd:element name="documentManagement">
            <xsd:complexType>
              <xsd:all>
                <xsd:element ref="ns3:EC_Collab_Reference" minOccurs="0"/>
                <xsd:element ref="ns2:_Status" minOccurs="0"/>
                <xsd:element ref="ns3:EC_Collab_DocumentLanguage"/>
                <xsd:element ref="ns3:EC_Collab_Status"/>
                <xsd:element ref="ns1:RelatedItems" minOccurs="0"/>
                <xsd:element ref="ns3:DG"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latedItems" ma:index="16" nillable="true" ma:displayName="Related Items" ma:internalName="RelatedItems" ma:readOnly="false">
      <xsd:simpleType>
        <xsd:restriction base="dms:Note"/>
      </xsd:simpleType>
    </xsd:element>
    <xsd:element name="_dlc_Exempt" ma:index="18"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25173920-bf43-43cc-9123-1897e847dfc2"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DG" ma:index="17" nillable="true" ma:displayName="DG" ma:description="Associated DG(s)" ma:list="{a436e1b9-89ab-4a0f-bf89-77e0c01004af}" ma:internalName="DG" ma:showField="Titl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EC Document</p:Name>
  <p:Description/>
  <p:Statement/>
  <p:PolicyItems>
    <p:PolicyItem featureId="Microsoft.Office.RecordsManagement.PolicyFeatures.PolicyAudit" staticId="0x010100258AA79CEB83498886A3A0868112325000D33D44CF0C8FEB45875F235DEEF2E1B9|8138272" UniqueId="82ebddaa-263f-44a4-b383-ae40ea096670">
      <p:Name>Auditing</p:Name>
      <p:Description>Audits user actions on documents and list items to the Audit Log.</p:Description>
      <p:CustomData>
        <Audit>
          <Update/>
          <View/>
          <CheckInOut/>
          <MoveCopy/>
          <DeleteRestore/>
        </Audit>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32B4E-5ABC-4CC4-9047-E1986C371722}">
  <ds:schemaRefs>
    <ds:schemaRef ds:uri="http://schemas.microsoft.com/sharepoint/v3/contenttype/forms"/>
  </ds:schemaRefs>
</ds:datastoreItem>
</file>

<file path=customXml/itemProps2.xml><?xml version="1.0" encoding="utf-8"?>
<ds:datastoreItem xmlns:ds="http://schemas.openxmlformats.org/officeDocument/2006/customXml" ds:itemID="{858F9C86-11F2-4776-80E9-AEDB4511FF2A}">
  <ds:schemaRefs>
    <ds:schemaRef ds:uri="http://schemas.microsoft.com/office/2006/documentManagement/types"/>
    <ds:schemaRef ds:uri="25173920-bf43-43cc-9123-1897e847dfc2"/>
    <ds:schemaRef ds:uri="http://purl.org/dc/elements/1.1/"/>
    <ds:schemaRef ds:uri="http://schemas.microsoft.com/office/2006/metadata/properties"/>
    <ds:schemaRef ds:uri="http://schemas.openxmlformats.org/package/2006/metadata/core-properties"/>
    <ds:schemaRef ds:uri="http://schemas.microsoft.com/sharepoint/v3"/>
    <ds:schemaRef ds:uri="http://purl.org/dc/terms/"/>
    <ds:schemaRef ds:uri="http://schemas.microsoft.com/office/infopath/2007/PartnerControls"/>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59EABB90-9A49-4981-9081-644CE982C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25173920-bf43-43cc-9123-1897e847df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FF4756-F373-4525-B8C5-B7802769AC1A}">
  <ds:schemaRefs>
    <ds:schemaRef ds:uri="office.server.policy"/>
  </ds:schemaRefs>
</ds:datastoreItem>
</file>

<file path=customXml/itemProps5.xml><?xml version="1.0" encoding="utf-8"?>
<ds:datastoreItem xmlns:ds="http://schemas.openxmlformats.org/officeDocument/2006/customXml" ds:itemID="{CAABF868-F5B4-4A4F-B8BF-4546F6552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4338</Words>
  <Characters>29765</Characters>
  <Application>Microsoft Office Word</Application>
  <DocSecurity>0</DocSecurity>
  <Lines>465</Lines>
  <Paragraphs>114</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Manager/>
  <Company/>
  <LinksUpToDate>false</LinksUpToDate>
  <CharactersWithSpaces>33989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DIGIT/C6</cp:lastModifiedBy>
  <cp:revision>23</cp:revision>
  <cp:lastPrinted>2018-11-12T12:53:00Z</cp:lastPrinted>
  <dcterms:created xsi:type="dcterms:W3CDTF">2018-11-13T10:40:00Z</dcterms:created>
  <dcterms:modified xsi:type="dcterms:W3CDTF">2018-11-20T13:32:00Z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ContentTypeId">
    <vt:lpwstr>0x010100258AA79CEB83498886A3A0868112325000D33D44CF0C8FEB45875F235DEEF2E1B9</vt:lpwstr>
  </property>
  <property fmtid="{D5CDD505-2E9C-101B-9397-08002B2CF9AE}" pid="6" name="Last edited using">
    <vt:lpwstr>LW 6.0.1, Build 20180503</vt:lpwstr>
  </property>
  <property fmtid="{D5CDD505-2E9C-101B-9397-08002B2CF9AE}" pid="7" name="Created using">
    <vt:lpwstr>LW 6.0.1, Build 20180503</vt:lpwstr>
  </property>
  <property fmtid="{D5CDD505-2E9C-101B-9397-08002B2CF9AE}" pid="8" name="DocStatus">
    <vt:lpwstr>Green</vt:lpwstr>
  </property>
</Properties>
</file>