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47423E" w14:textId="133D361E" w:rsidR="004E5BB6" w:rsidRDefault="004E5BB6" w:rsidP="00BC2019">
      <w:pPr>
        <w:pStyle w:val="BodyText"/>
        <w:spacing w:after="0"/>
        <w:jc w:val="center"/>
        <w:rPr>
          <w:b/>
        </w:rPr>
      </w:pPr>
      <w:r w:rsidRPr="00AE6B59">
        <w:rPr>
          <w:b/>
        </w:rPr>
        <w:t>DI</w:t>
      </w:r>
      <w:r>
        <w:rPr>
          <w:b/>
        </w:rPr>
        <w:t>REKTYVOS</w:t>
      </w:r>
      <w:r w:rsidRPr="00AE6B59">
        <w:rPr>
          <w:b/>
        </w:rPr>
        <w:t xml:space="preserve"> 20</w:t>
      </w:r>
      <w:r>
        <w:rPr>
          <w:b/>
        </w:rPr>
        <w:t>1</w:t>
      </w:r>
      <w:r w:rsidR="00924C1E">
        <w:rPr>
          <w:b/>
        </w:rPr>
        <w:t>9</w:t>
      </w:r>
      <w:r w:rsidRPr="00AE6B59">
        <w:rPr>
          <w:b/>
        </w:rPr>
        <w:t>/</w:t>
      </w:r>
      <w:r w:rsidR="00924C1E">
        <w:rPr>
          <w:b/>
        </w:rPr>
        <w:t>1161</w:t>
      </w:r>
      <w:r w:rsidRPr="00AE6B59">
        <w:rPr>
          <w:b/>
        </w:rPr>
        <w:t>/E</w:t>
      </w:r>
      <w:r>
        <w:rPr>
          <w:b/>
        </w:rPr>
        <w:t>S</w:t>
      </w:r>
      <w:r w:rsidRPr="00AE6B59">
        <w:rPr>
          <w:b/>
        </w:rPr>
        <w:t xml:space="preserve"> </w:t>
      </w:r>
      <w:r w:rsidR="00BC2019" w:rsidRPr="00BC2019">
        <w:rPr>
          <w:b/>
        </w:rPr>
        <w:t>IR L</w:t>
      </w:r>
      <w:r w:rsidR="00CC32D5">
        <w:rPr>
          <w:b/>
        </w:rPr>
        <w:t>IETUVOS RESPUBLIKOS NACIONALINĖS</w:t>
      </w:r>
      <w:r w:rsidR="00BC2019" w:rsidRPr="00BC2019">
        <w:rPr>
          <w:b/>
        </w:rPr>
        <w:t xml:space="preserve"> TEISĖS AKTŲ ATITIKTIES LENTELĖ</w:t>
      </w:r>
    </w:p>
    <w:p w14:paraId="6CC54925" w14:textId="77777777" w:rsidR="004E5BB6" w:rsidRDefault="004E5BB6" w:rsidP="004E5BB6">
      <w:pPr>
        <w:rPr>
          <w:rFonts w:cs="Times New Roman"/>
        </w:rPr>
      </w:pP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8"/>
        <w:gridCol w:w="6095"/>
        <w:gridCol w:w="2552"/>
      </w:tblGrid>
      <w:tr w:rsidR="00C73B34" w:rsidRPr="00C73B34" w14:paraId="565E5FB3" w14:textId="77777777" w:rsidTr="008B7D3C">
        <w:trPr>
          <w:trHeight w:val="274"/>
        </w:trPr>
        <w:tc>
          <w:tcPr>
            <w:tcW w:w="7088" w:type="dxa"/>
          </w:tcPr>
          <w:p w14:paraId="6793FDC2" w14:textId="0838461D" w:rsidR="00C73B34" w:rsidRPr="00D60CEA" w:rsidRDefault="00C73B34" w:rsidP="000F776E">
            <w:pPr>
              <w:rPr>
                <w:rFonts w:cs="Times New Roman"/>
                <w:b/>
                <w:sz w:val="20"/>
                <w:szCs w:val="20"/>
              </w:rPr>
            </w:pPr>
            <w:r w:rsidRPr="00D60CEA">
              <w:rPr>
                <w:rFonts w:cs="Times New Roman"/>
                <w:b/>
                <w:sz w:val="20"/>
                <w:szCs w:val="20"/>
              </w:rPr>
              <w:t>Europos Parlamento ir Tarybos direktyva 201</w:t>
            </w:r>
            <w:r w:rsidR="00924C1E" w:rsidRPr="00D60CEA">
              <w:rPr>
                <w:rFonts w:cs="Times New Roman"/>
                <w:b/>
                <w:sz w:val="20"/>
                <w:szCs w:val="20"/>
              </w:rPr>
              <w:t>9</w:t>
            </w:r>
            <w:r w:rsidRPr="00D60CEA">
              <w:rPr>
                <w:rFonts w:cs="Times New Roman"/>
                <w:b/>
                <w:sz w:val="20"/>
                <w:szCs w:val="20"/>
              </w:rPr>
              <w:t>/</w:t>
            </w:r>
            <w:r w:rsidR="00924C1E" w:rsidRPr="00D60CEA">
              <w:rPr>
                <w:rFonts w:cs="Times New Roman"/>
                <w:b/>
                <w:sz w:val="20"/>
                <w:szCs w:val="20"/>
              </w:rPr>
              <w:t>1161</w:t>
            </w:r>
            <w:r w:rsidRPr="00D60CEA">
              <w:rPr>
                <w:rFonts w:cs="Times New Roman"/>
                <w:b/>
                <w:sz w:val="20"/>
                <w:szCs w:val="20"/>
              </w:rPr>
              <w:t>/ES</w:t>
            </w:r>
            <w:r w:rsidR="00924C1E" w:rsidRPr="00D60CEA">
              <w:rPr>
                <w:sz w:val="20"/>
                <w:szCs w:val="20"/>
              </w:rPr>
              <w:t xml:space="preserve"> </w:t>
            </w:r>
            <w:r w:rsidR="00924C1E" w:rsidRPr="00D60CEA">
              <w:rPr>
                <w:rFonts w:cs="Times New Roman"/>
                <w:b/>
                <w:sz w:val="20"/>
                <w:szCs w:val="20"/>
              </w:rPr>
              <w:t>kuria iš dalies keičiama Direktyva 2009/33/EB dėl skatinimo naudoti netaršias ir efektyviai energiją vartojančias kelių transporto priemones</w:t>
            </w:r>
          </w:p>
        </w:tc>
        <w:tc>
          <w:tcPr>
            <w:tcW w:w="6095" w:type="dxa"/>
          </w:tcPr>
          <w:p w14:paraId="4F9B80DD" w14:textId="77777777" w:rsidR="00CD0C57" w:rsidRPr="00D60CEA" w:rsidRDefault="00CD0C57" w:rsidP="00040711">
            <w:pPr>
              <w:rPr>
                <w:rFonts w:cs="Times New Roman"/>
                <w:b/>
                <w:color w:val="000000" w:themeColor="text1"/>
                <w:sz w:val="20"/>
                <w:szCs w:val="20"/>
                <w:lang w:eastAsia="lt-LT"/>
              </w:rPr>
            </w:pPr>
          </w:p>
          <w:p w14:paraId="3C882933" w14:textId="212A9392" w:rsidR="003400CF" w:rsidRPr="00D60CEA" w:rsidRDefault="003400CF" w:rsidP="00CD0C57">
            <w:pPr>
              <w:pStyle w:val="doc-ti"/>
              <w:spacing w:before="0" w:after="0"/>
              <w:jc w:val="both"/>
              <w:rPr>
                <w:sz w:val="20"/>
                <w:szCs w:val="20"/>
              </w:rPr>
            </w:pPr>
            <w:r w:rsidRPr="00D60CEA">
              <w:rPr>
                <w:sz w:val="20"/>
                <w:szCs w:val="20"/>
              </w:rPr>
              <w:t>Lietuvos Respublikos viešųjų pirkimų įstatymas Nr. I-1491</w:t>
            </w:r>
          </w:p>
          <w:p w14:paraId="315DB11F" w14:textId="77777777" w:rsidR="003400CF" w:rsidRPr="00D60CEA" w:rsidRDefault="003400CF" w:rsidP="00CD0C57">
            <w:pPr>
              <w:pStyle w:val="doc-ti"/>
              <w:spacing w:before="0" w:after="0"/>
              <w:jc w:val="both"/>
              <w:rPr>
                <w:sz w:val="20"/>
                <w:szCs w:val="20"/>
              </w:rPr>
            </w:pPr>
          </w:p>
          <w:p w14:paraId="69B24049" w14:textId="307F89BA" w:rsidR="003400CF" w:rsidRPr="00D60CEA" w:rsidRDefault="003400CF" w:rsidP="00CD0C57">
            <w:pPr>
              <w:pStyle w:val="doc-ti"/>
              <w:spacing w:before="0" w:after="0"/>
              <w:jc w:val="both"/>
              <w:rPr>
                <w:sz w:val="20"/>
                <w:szCs w:val="20"/>
              </w:rPr>
            </w:pPr>
            <w:r w:rsidRPr="00D60CEA">
              <w:rPr>
                <w:sz w:val="20"/>
                <w:szCs w:val="20"/>
              </w:rPr>
              <w:t>Lietuvos Respublikos pirkimų, atliekamų vandentvarkos, energetikos, transporto ar pašto paslaugų srities perkančiųjų subjektų, įstatymas Nr. XIII-328</w:t>
            </w:r>
          </w:p>
          <w:p w14:paraId="5253AD0E" w14:textId="77777777" w:rsidR="003400CF" w:rsidRPr="00D60CEA" w:rsidRDefault="003400CF" w:rsidP="00CD0C57">
            <w:pPr>
              <w:pStyle w:val="doc-ti"/>
              <w:spacing w:before="0" w:after="0"/>
              <w:jc w:val="both"/>
              <w:rPr>
                <w:sz w:val="20"/>
                <w:szCs w:val="20"/>
              </w:rPr>
            </w:pPr>
          </w:p>
          <w:p w14:paraId="4E3DFC47" w14:textId="6B06981F" w:rsidR="00CD0C57" w:rsidRPr="00D60CEA" w:rsidRDefault="00CD0C57" w:rsidP="00CD0C57">
            <w:pPr>
              <w:pStyle w:val="doc-ti"/>
              <w:spacing w:before="0" w:after="0"/>
              <w:jc w:val="both"/>
              <w:rPr>
                <w:sz w:val="20"/>
                <w:szCs w:val="20"/>
              </w:rPr>
            </w:pPr>
            <w:r w:rsidRPr="00D60CEA">
              <w:rPr>
                <w:sz w:val="20"/>
                <w:szCs w:val="20"/>
              </w:rPr>
              <w:t>Lietuvos Respublikos alternatyvių</w:t>
            </w:r>
            <w:r w:rsidR="003400CF" w:rsidRPr="00D60CEA">
              <w:rPr>
                <w:sz w:val="20"/>
                <w:szCs w:val="20"/>
              </w:rPr>
              <w:t>jų</w:t>
            </w:r>
            <w:r w:rsidRPr="00D60CEA">
              <w:rPr>
                <w:sz w:val="20"/>
                <w:szCs w:val="20"/>
              </w:rPr>
              <w:t xml:space="preserve"> degalų įstatymo projektas</w:t>
            </w:r>
          </w:p>
          <w:p w14:paraId="21272310" w14:textId="177C908C" w:rsidR="001021CE" w:rsidRPr="00D60CEA" w:rsidRDefault="001021CE" w:rsidP="00CD0C57">
            <w:pPr>
              <w:pStyle w:val="doc-ti"/>
              <w:spacing w:before="0" w:after="0"/>
              <w:jc w:val="both"/>
              <w:rPr>
                <w:sz w:val="20"/>
                <w:szCs w:val="20"/>
              </w:rPr>
            </w:pPr>
          </w:p>
          <w:p w14:paraId="20C20142" w14:textId="011ADCC3" w:rsidR="003400CF" w:rsidRPr="00D60CEA" w:rsidRDefault="003400CF" w:rsidP="00CD0C57">
            <w:pPr>
              <w:pStyle w:val="doc-ti"/>
              <w:spacing w:before="0" w:after="0"/>
              <w:jc w:val="both"/>
              <w:rPr>
                <w:sz w:val="20"/>
                <w:szCs w:val="20"/>
              </w:rPr>
            </w:pPr>
            <w:r w:rsidRPr="00D60CEA">
              <w:rPr>
                <w:sz w:val="20"/>
                <w:szCs w:val="20"/>
              </w:rPr>
              <w:t xml:space="preserve">Lietuvos Respublikos susisiekimo ministro įsakymas Nr. 3-100 „Dėl Energijos vartojimo efektyvumo ir aplinkos apsaugos reikalavimų, taikomų įsigyjant kelių transporto priemones, nustatymo ir atvejų, kada juos privaloma taikyti, tvarkos aprašo patvirtinimo“ </w:t>
            </w:r>
          </w:p>
          <w:p w14:paraId="1AE110F2" w14:textId="77777777" w:rsidR="00CD0C57" w:rsidRPr="00D60CEA" w:rsidRDefault="00CD0C57" w:rsidP="00040711">
            <w:pPr>
              <w:rPr>
                <w:rFonts w:cs="Times New Roman"/>
                <w:b/>
                <w:color w:val="000000" w:themeColor="text1"/>
                <w:sz w:val="20"/>
                <w:szCs w:val="20"/>
                <w:lang w:eastAsia="lt-LT"/>
              </w:rPr>
            </w:pPr>
          </w:p>
          <w:p w14:paraId="0FA51F4C" w14:textId="7782D9F1" w:rsidR="008405DA" w:rsidRPr="00D60CEA" w:rsidRDefault="002F3C69" w:rsidP="00924C1E">
            <w:pPr>
              <w:rPr>
                <w:rFonts w:cs="Times New Roman"/>
                <w:b/>
                <w:color w:val="000000" w:themeColor="text1"/>
                <w:sz w:val="20"/>
                <w:szCs w:val="20"/>
                <w:lang w:eastAsia="lt-LT"/>
              </w:rPr>
            </w:pPr>
            <w:r w:rsidRPr="00D60CEA">
              <w:rPr>
                <w:rFonts w:eastAsiaTheme="majorEastAsia" w:cs="Times New Roman"/>
                <w:b/>
                <w:sz w:val="20"/>
                <w:szCs w:val="20"/>
              </w:rPr>
              <w:t xml:space="preserve"> </w:t>
            </w:r>
          </w:p>
        </w:tc>
        <w:tc>
          <w:tcPr>
            <w:tcW w:w="2552" w:type="dxa"/>
          </w:tcPr>
          <w:p w14:paraId="4CAE50CB" w14:textId="77777777" w:rsidR="00C73B34" w:rsidRPr="00EE0CAA" w:rsidRDefault="00C73B34" w:rsidP="000F776E">
            <w:pPr>
              <w:pStyle w:val="BodyText"/>
              <w:spacing w:after="0"/>
              <w:jc w:val="both"/>
              <w:rPr>
                <w:b/>
                <w:sz w:val="20"/>
              </w:rPr>
            </w:pPr>
            <w:r w:rsidRPr="00EE0CAA">
              <w:rPr>
                <w:b/>
                <w:sz w:val="20"/>
              </w:rPr>
              <w:t>Direktyvos perkėlimo ir įgyvendinimo lygis</w:t>
            </w:r>
          </w:p>
        </w:tc>
      </w:tr>
      <w:tr w:rsidR="00840E64" w:rsidRPr="00C73B34" w14:paraId="096CA13F" w14:textId="77777777" w:rsidTr="00567D17">
        <w:trPr>
          <w:trHeight w:val="561"/>
        </w:trPr>
        <w:tc>
          <w:tcPr>
            <w:tcW w:w="7088" w:type="dxa"/>
          </w:tcPr>
          <w:p w14:paraId="2641C410" w14:textId="77777777" w:rsidR="00924C1E" w:rsidRPr="00C92E04" w:rsidRDefault="00924C1E" w:rsidP="00924C1E">
            <w:pPr>
              <w:rPr>
                <w:rFonts w:eastAsia="Times New Roman" w:cs="Times New Roman"/>
                <w:b/>
                <w:sz w:val="20"/>
                <w:szCs w:val="20"/>
                <w:lang w:eastAsia="lt-LT"/>
              </w:rPr>
            </w:pPr>
            <w:r w:rsidRPr="00C92E04">
              <w:rPr>
                <w:rFonts w:eastAsia="Times New Roman" w:cs="Times New Roman"/>
                <w:b/>
                <w:sz w:val="20"/>
                <w:szCs w:val="20"/>
                <w:lang w:eastAsia="lt-LT"/>
              </w:rPr>
              <w:t>1 straipsnis</w:t>
            </w:r>
          </w:p>
          <w:p w14:paraId="440B54DB" w14:textId="77777777" w:rsidR="00924C1E" w:rsidRPr="00C92E04" w:rsidRDefault="00924C1E" w:rsidP="00924C1E">
            <w:pPr>
              <w:rPr>
                <w:rFonts w:eastAsia="Times New Roman" w:cs="Times New Roman"/>
                <w:b/>
                <w:sz w:val="20"/>
                <w:szCs w:val="20"/>
                <w:lang w:eastAsia="lt-LT"/>
              </w:rPr>
            </w:pPr>
            <w:r w:rsidRPr="00C92E04">
              <w:rPr>
                <w:rFonts w:eastAsia="Times New Roman" w:cs="Times New Roman"/>
                <w:b/>
                <w:sz w:val="20"/>
                <w:szCs w:val="20"/>
                <w:lang w:eastAsia="lt-LT"/>
              </w:rPr>
              <w:t>Dalykas ir tikslai</w:t>
            </w:r>
          </w:p>
          <w:p w14:paraId="3B2154E3" w14:textId="01C3347F" w:rsidR="00840E64" w:rsidRPr="000F776E" w:rsidRDefault="00924C1E" w:rsidP="00924C1E">
            <w:pPr>
              <w:rPr>
                <w:rFonts w:cs="Times New Roman"/>
                <w:b/>
              </w:rPr>
            </w:pPr>
            <w:r w:rsidRPr="00C92E04">
              <w:rPr>
                <w:rFonts w:eastAsia="Times New Roman" w:cs="Times New Roman"/>
                <w:sz w:val="20"/>
                <w:szCs w:val="20"/>
                <w:lang w:eastAsia="lt-LT"/>
              </w:rPr>
              <w:t>Šioje direktyvoje nustatomas reikalavimas, kad perkančiosios organizacijos ir perkantieji subjektai, vykdydami tam tikrų kelių transporto priemonių viešuosius pirkimus, atsižvelgtų į transporto priemonės eksploatacinio laikotarpio poveikį energetikai ir aplinkai, įskaitant suvartojamą energiją ir išmetamą CO2 ir kai kurių kitų teršalų kiekį, kad būtų skatinama netaršių ir efektyviai energiją vartojančių transporto priemonių rinka ir didinamas transporto sektoriaus įnašas į Sąjungos aplinkos, klimato ir energetikos politiką.</w:t>
            </w:r>
          </w:p>
        </w:tc>
        <w:tc>
          <w:tcPr>
            <w:tcW w:w="6095" w:type="dxa"/>
          </w:tcPr>
          <w:p w14:paraId="1C000513" w14:textId="4DB1DF8C" w:rsidR="003400CF" w:rsidRPr="006121E9" w:rsidRDefault="003400CF" w:rsidP="003400CF">
            <w:pPr>
              <w:pStyle w:val="doc-ti"/>
              <w:spacing w:before="0" w:after="0"/>
              <w:jc w:val="both"/>
              <w:rPr>
                <w:sz w:val="20"/>
                <w:szCs w:val="20"/>
              </w:rPr>
            </w:pPr>
            <w:r w:rsidRPr="006121E9">
              <w:rPr>
                <w:sz w:val="20"/>
                <w:szCs w:val="20"/>
              </w:rPr>
              <w:t>Lietuvos Respublikos viešųjų pirkimų įstatymas Nr. I-1491</w:t>
            </w:r>
          </w:p>
          <w:p w14:paraId="306851DD" w14:textId="77777777" w:rsidR="00840E64" w:rsidRPr="006121E9" w:rsidRDefault="003400CF" w:rsidP="000F6119">
            <w:pPr>
              <w:rPr>
                <w:rFonts w:eastAsia="Times New Roman" w:cs="Times New Roman"/>
                <w:b/>
                <w:bCs/>
                <w:color w:val="000000"/>
                <w:sz w:val="20"/>
                <w:szCs w:val="20"/>
              </w:rPr>
            </w:pPr>
            <w:r w:rsidRPr="006121E9">
              <w:rPr>
                <w:rFonts w:eastAsia="Times New Roman" w:cs="Times New Roman"/>
                <w:b/>
                <w:bCs/>
                <w:color w:val="000000"/>
                <w:sz w:val="20"/>
                <w:szCs w:val="20"/>
              </w:rPr>
              <w:t>35 straipsnis. Pirkimo dokumentų turinys</w:t>
            </w:r>
          </w:p>
          <w:p w14:paraId="77FC5E64" w14:textId="77777777" w:rsidR="003400CF" w:rsidRPr="006121E9" w:rsidRDefault="003400CF" w:rsidP="000F6119">
            <w:pPr>
              <w:rPr>
                <w:rFonts w:eastAsia="Times New Roman" w:cs="Times New Roman"/>
                <w:color w:val="000000"/>
                <w:sz w:val="20"/>
                <w:szCs w:val="20"/>
              </w:rPr>
            </w:pPr>
            <w:r w:rsidRPr="006121E9">
              <w:rPr>
                <w:rFonts w:eastAsia="Times New Roman" w:cs="Times New Roman"/>
                <w:color w:val="000000"/>
                <w:sz w:val="20"/>
                <w:szCs w:val="20"/>
              </w:rPr>
              <w:t>&lt;...&gt;</w:t>
            </w:r>
          </w:p>
          <w:p w14:paraId="119DF7FD" w14:textId="77777777" w:rsidR="003400CF" w:rsidRPr="006121E9" w:rsidRDefault="003400CF" w:rsidP="000F6119">
            <w:pPr>
              <w:rPr>
                <w:rFonts w:eastAsia="Times New Roman" w:cs="Times New Roman"/>
                <w:color w:val="000000"/>
                <w:sz w:val="20"/>
                <w:szCs w:val="20"/>
              </w:rPr>
            </w:pPr>
            <w:r w:rsidRPr="006121E9">
              <w:rPr>
                <w:rFonts w:eastAsia="Times New Roman" w:cs="Times New Roman"/>
                <w:color w:val="000000"/>
                <w:sz w:val="20"/>
                <w:szCs w:val="20"/>
              </w:rPr>
              <w:t>12) prekių, paslaugų ar darbų energijos vartojimo efektyvumo ir aplinkos apsaugos reikalavimai ir (arba) kriterijai Lietuvos Respublikos Vyriausybės ar jos įgaliotos institucijos nustatytais atvejais ir tvarka;</w:t>
            </w:r>
          </w:p>
          <w:p w14:paraId="3C00CD37" w14:textId="088E5BB0" w:rsidR="003400CF" w:rsidRPr="006121E9" w:rsidRDefault="003400CF" w:rsidP="000F6119">
            <w:pPr>
              <w:rPr>
                <w:rFonts w:eastAsia="Times New Roman" w:cs="Times New Roman"/>
                <w:color w:val="000000"/>
                <w:sz w:val="20"/>
                <w:szCs w:val="20"/>
              </w:rPr>
            </w:pPr>
          </w:p>
          <w:p w14:paraId="7AE15081" w14:textId="77777777" w:rsidR="003400CF" w:rsidRPr="006121E9" w:rsidRDefault="003400CF" w:rsidP="003400CF">
            <w:pPr>
              <w:pStyle w:val="doc-ti"/>
              <w:spacing w:before="0" w:after="0"/>
              <w:jc w:val="both"/>
              <w:rPr>
                <w:sz w:val="20"/>
                <w:szCs w:val="20"/>
              </w:rPr>
            </w:pPr>
            <w:r w:rsidRPr="006121E9">
              <w:rPr>
                <w:sz w:val="20"/>
                <w:szCs w:val="20"/>
              </w:rPr>
              <w:t>Lietuvos Respublikos pirkimų, atliekamų vandentvarkos, energetikos, transporto ar pašto paslaugų srities perkančiųjų subjektų, įstatymas Nr. XIII-328</w:t>
            </w:r>
          </w:p>
          <w:p w14:paraId="58602110" w14:textId="250C98C6" w:rsidR="003400CF" w:rsidRPr="006121E9" w:rsidRDefault="003400CF" w:rsidP="000F6119">
            <w:pPr>
              <w:rPr>
                <w:rFonts w:cs="Times New Roman"/>
                <w:b/>
                <w:bCs/>
                <w:color w:val="000000"/>
                <w:sz w:val="20"/>
                <w:szCs w:val="20"/>
              </w:rPr>
            </w:pPr>
            <w:r w:rsidRPr="006121E9">
              <w:rPr>
                <w:rFonts w:cs="Times New Roman"/>
                <w:b/>
                <w:bCs/>
                <w:color w:val="000000"/>
                <w:sz w:val="20"/>
                <w:szCs w:val="20"/>
              </w:rPr>
              <w:t>48 straipsnis. Pirkimo dokumentų turinys</w:t>
            </w:r>
          </w:p>
          <w:p w14:paraId="6F4DB2E7" w14:textId="17D3A176" w:rsidR="003400CF" w:rsidRPr="006121E9" w:rsidRDefault="003400CF" w:rsidP="000F6119">
            <w:pPr>
              <w:rPr>
                <w:rFonts w:cs="Times New Roman"/>
                <w:b/>
                <w:bCs/>
                <w:color w:val="000000"/>
                <w:sz w:val="20"/>
                <w:szCs w:val="20"/>
              </w:rPr>
            </w:pPr>
            <w:r w:rsidRPr="006121E9">
              <w:rPr>
                <w:rFonts w:cs="Times New Roman"/>
                <w:b/>
                <w:bCs/>
                <w:color w:val="000000"/>
                <w:sz w:val="20"/>
                <w:szCs w:val="20"/>
              </w:rPr>
              <w:t>&lt;...&gt;</w:t>
            </w:r>
          </w:p>
          <w:p w14:paraId="2CE5DAA0" w14:textId="2826D6C6" w:rsidR="003400CF" w:rsidRPr="006121E9" w:rsidRDefault="003400CF" w:rsidP="000F6119">
            <w:pPr>
              <w:rPr>
                <w:rFonts w:cs="Times New Roman"/>
                <w:color w:val="000000"/>
                <w:sz w:val="20"/>
                <w:szCs w:val="20"/>
              </w:rPr>
            </w:pPr>
            <w:r w:rsidRPr="006121E9">
              <w:rPr>
                <w:rFonts w:cs="Times New Roman"/>
                <w:color w:val="000000"/>
                <w:sz w:val="20"/>
                <w:szCs w:val="20"/>
              </w:rPr>
              <w:t>11) prekių, paslaugų ar darbų energijos vartojimo efektyvumo ir aplinkos apsaugos reikalavimai ir (arba) kriterijai Lietuvos Respublikos Vyriausybės ar jos įgaliotos institucijos nustatytais atvejais ir tvarka;</w:t>
            </w:r>
          </w:p>
          <w:p w14:paraId="750A2006" w14:textId="332A0DC8" w:rsidR="003400CF" w:rsidRPr="006121E9" w:rsidRDefault="003400CF" w:rsidP="000F6119">
            <w:pPr>
              <w:rPr>
                <w:rFonts w:cs="Times New Roman"/>
                <w:color w:val="000000"/>
                <w:sz w:val="20"/>
                <w:szCs w:val="20"/>
              </w:rPr>
            </w:pPr>
            <w:r w:rsidRPr="006121E9">
              <w:rPr>
                <w:rFonts w:cs="Times New Roman"/>
                <w:color w:val="000000"/>
                <w:sz w:val="20"/>
                <w:szCs w:val="20"/>
              </w:rPr>
              <w:t>&lt;...&gt;</w:t>
            </w:r>
          </w:p>
          <w:p w14:paraId="6531A4B7" w14:textId="592F40CF" w:rsidR="003400CF" w:rsidRPr="006121E9" w:rsidRDefault="003400CF" w:rsidP="003400CF">
            <w:pPr>
              <w:rPr>
                <w:rFonts w:cs="Times New Roman"/>
                <w:b/>
                <w:sz w:val="20"/>
                <w:szCs w:val="20"/>
              </w:rPr>
            </w:pPr>
          </w:p>
          <w:p w14:paraId="24971E23" w14:textId="77777777" w:rsidR="003400CF" w:rsidRPr="006121E9" w:rsidRDefault="003400CF" w:rsidP="003400CF">
            <w:pPr>
              <w:pStyle w:val="doc-ti"/>
              <w:spacing w:before="0" w:after="0"/>
              <w:jc w:val="both"/>
              <w:rPr>
                <w:sz w:val="20"/>
                <w:szCs w:val="20"/>
              </w:rPr>
            </w:pPr>
            <w:r w:rsidRPr="006121E9">
              <w:rPr>
                <w:sz w:val="20"/>
                <w:szCs w:val="20"/>
              </w:rPr>
              <w:t>Lietuvos Respublikos alternatyviųjų degalų įstatymo projektas</w:t>
            </w:r>
          </w:p>
          <w:p w14:paraId="71280E55" w14:textId="6998BE7F" w:rsidR="003400CF" w:rsidRPr="006121E9" w:rsidRDefault="003400CF" w:rsidP="003400CF">
            <w:pPr>
              <w:rPr>
                <w:rFonts w:cs="Times New Roman"/>
                <w:b/>
                <w:sz w:val="20"/>
                <w:szCs w:val="20"/>
              </w:rPr>
            </w:pPr>
            <w:r w:rsidRPr="006121E9">
              <w:rPr>
                <w:rFonts w:cs="Times New Roman"/>
                <w:b/>
                <w:sz w:val="20"/>
                <w:szCs w:val="20"/>
              </w:rPr>
              <w:t>1</w:t>
            </w:r>
            <w:r w:rsidR="007A2B52">
              <w:rPr>
                <w:rFonts w:cs="Times New Roman"/>
                <w:b/>
                <w:sz w:val="20"/>
                <w:szCs w:val="20"/>
              </w:rPr>
              <w:t>4</w:t>
            </w:r>
            <w:r w:rsidRPr="006121E9">
              <w:rPr>
                <w:rFonts w:cs="Times New Roman"/>
                <w:b/>
                <w:sz w:val="20"/>
                <w:szCs w:val="20"/>
              </w:rPr>
              <w:t xml:space="preserve"> straipsnis. Viešiesiems pirkimams keliami reikalavimai </w:t>
            </w:r>
          </w:p>
          <w:p w14:paraId="4931D763" w14:textId="1A2DEC2F" w:rsidR="003400CF" w:rsidRPr="006121E9" w:rsidRDefault="003400CF" w:rsidP="003400CF">
            <w:pPr>
              <w:tabs>
                <w:tab w:val="left" w:pos="426"/>
                <w:tab w:val="left" w:pos="709"/>
                <w:tab w:val="left" w:pos="1134"/>
                <w:tab w:val="left" w:pos="1418"/>
                <w:tab w:val="left" w:pos="1560"/>
              </w:tabs>
              <w:rPr>
                <w:rFonts w:cs="Times New Roman"/>
                <w:bCs/>
                <w:sz w:val="20"/>
                <w:szCs w:val="20"/>
              </w:rPr>
            </w:pPr>
            <w:r w:rsidRPr="006121E9">
              <w:rPr>
                <w:rFonts w:cs="Times New Roman"/>
                <w:bCs/>
                <w:sz w:val="20"/>
                <w:szCs w:val="20"/>
              </w:rPr>
              <w:t>&lt;...&gt;</w:t>
            </w:r>
          </w:p>
          <w:p w14:paraId="4B203872" w14:textId="77777777" w:rsidR="007A2B52" w:rsidRPr="007A2B52" w:rsidRDefault="007A2B52" w:rsidP="007A2B52">
            <w:pPr>
              <w:rPr>
                <w:rFonts w:cs="Times New Roman"/>
                <w:bCs/>
                <w:sz w:val="20"/>
                <w:szCs w:val="20"/>
              </w:rPr>
            </w:pPr>
            <w:r w:rsidRPr="007A2B52">
              <w:rPr>
                <w:rFonts w:cs="Times New Roman"/>
                <w:bCs/>
                <w:sz w:val="20"/>
                <w:szCs w:val="20"/>
              </w:rPr>
              <w:t xml:space="preserve">Perkančiosios organizacijos, kaip jas apibrėžia Lietuvos Respublikos viešųjų pirkimų įstatymas, ir perkantieji subjektai, kaip juos apibrėžia Lietuvos Respublikos pirkimų, atliekamų vandentvarkos, energetikos, transporto ar pašto paslaugų srities perkančiųjų subjektų, įstatymas, </w:t>
            </w:r>
            <w:r w:rsidRPr="007A2B52">
              <w:rPr>
                <w:rFonts w:cs="Times New Roman"/>
                <w:bCs/>
                <w:sz w:val="20"/>
                <w:szCs w:val="20"/>
              </w:rPr>
              <w:lastRenderedPageBreak/>
              <w:t>atlikdami viešuosius pirkimus privalo laikytis šiame straipsnyje numatytų reikalavimų, kai:</w:t>
            </w:r>
          </w:p>
          <w:p w14:paraId="2E223B44" w14:textId="77777777" w:rsidR="007A2B52" w:rsidRPr="007A2B52" w:rsidRDefault="007A2B52" w:rsidP="007A2B52">
            <w:pPr>
              <w:pStyle w:val="ListParagraph"/>
              <w:ind w:left="0"/>
              <w:rPr>
                <w:rFonts w:cs="Times New Roman"/>
                <w:bCs/>
                <w:sz w:val="20"/>
                <w:szCs w:val="20"/>
              </w:rPr>
            </w:pPr>
            <w:r w:rsidRPr="007A2B52">
              <w:rPr>
                <w:rFonts w:cs="Times New Roman"/>
                <w:bCs/>
                <w:sz w:val="20"/>
                <w:szCs w:val="20"/>
              </w:rPr>
              <w:t xml:space="preserve">1) įsigyja kelių transporto priemones ar sudaro kelių transporto priemonių pirkimo, lizingo, nuomos arba išperkamosios nuomos sutartis dėl kelių transporto priemonių naudojimo; </w:t>
            </w:r>
          </w:p>
          <w:p w14:paraId="72486EF9" w14:textId="77777777" w:rsidR="007A2B52" w:rsidRPr="007A2B52" w:rsidRDefault="007A2B52" w:rsidP="007A2B52">
            <w:pPr>
              <w:pStyle w:val="ListParagraph"/>
              <w:ind w:left="0"/>
              <w:rPr>
                <w:rFonts w:cs="Times New Roman"/>
                <w:bCs/>
                <w:sz w:val="20"/>
                <w:szCs w:val="20"/>
              </w:rPr>
            </w:pPr>
            <w:r w:rsidRPr="007A2B52">
              <w:rPr>
                <w:rFonts w:cs="Times New Roman"/>
                <w:bCs/>
                <w:sz w:val="20"/>
                <w:szCs w:val="20"/>
              </w:rPr>
              <w:t>2) pagal sutartis ar kitais teisėtais pagrindais yra teikiamos keleivinio kelių transporto, keleivių vežimo specialiais reisais, keleivių vežimo užsakomaisiais reisais, atliekų surinkimo, pašto siuntų vežimo keliais, siuntinių vežimo, pašto pristatymo ir siuntinių pristatymo paslaugos.</w:t>
            </w:r>
          </w:p>
          <w:p w14:paraId="68BB05AB" w14:textId="1906C8D4" w:rsidR="003400CF" w:rsidRPr="006121E9" w:rsidRDefault="003400CF" w:rsidP="003400CF">
            <w:pPr>
              <w:tabs>
                <w:tab w:val="left" w:pos="426"/>
                <w:tab w:val="left" w:pos="709"/>
                <w:tab w:val="left" w:pos="1134"/>
                <w:tab w:val="left" w:pos="1418"/>
                <w:tab w:val="left" w:pos="1560"/>
              </w:tabs>
              <w:rPr>
                <w:rFonts w:cs="Times New Roman"/>
                <w:bCs/>
                <w:sz w:val="20"/>
                <w:szCs w:val="20"/>
              </w:rPr>
            </w:pPr>
            <w:r w:rsidRPr="006121E9">
              <w:rPr>
                <w:rFonts w:cs="Times New Roman"/>
                <w:bCs/>
                <w:sz w:val="20"/>
                <w:szCs w:val="20"/>
              </w:rPr>
              <w:t>&lt;...&gt;</w:t>
            </w:r>
          </w:p>
          <w:p w14:paraId="21FED25E" w14:textId="77777777" w:rsidR="003400CF" w:rsidRPr="006121E9" w:rsidRDefault="003400CF" w:rsidP="000F6119">
            <w:pPr>
              <w:rPr>
                <w:rFonts w:eastAsia="Times New Roman" w:cs="Times New Roman"/>
                <w:color w:val="000000"/>
                <w:sz w:val="20"/>
                <w:szCs w:val="20"/>
              </w:rPr>
            </w:pPr>
          </w:p>
          <w:p w14:paraId="3BC6481D" w14:textId="77777777" w:rsidR="003400CF" w:rsidRPr="006121E9" w:rsidRDefault="003400CF" w:rsidP="000F6119">
            <w:pPr>
              <w:rPr>
                <w:rFonts w:eastAsia="Times New Roman" w:cs="Times New Roman"/>
                <w:color w:val="000000"/>
                <w:sz w:val="20"/>
                <w:szCs w:val="20"/>
              </w:rPr>
            </w:pPr>
          </w:p>
          <w:p w14:paraId="08C262E8" w14:textId="05CD9B2A" w:rsidR="003400CF" w:rsidRPr="006121E9" w:rsidRDefault="003400CF" w:rsidP="000F6119">
            <w:pPr>
              <w:rPr>
                <w:rFonts w:eastAsia="Times New Roman" w:cs="Times New Roman"/>
                <w:b/>
                <w:bCs/>
                <w:color w:val="000000"/>
                <w:sz w:val="20"/>
                <w:szCs w:val="20"/>
              </w:rPr>
            </w:pPr>
          </w:p>
        </w:tc>
        <w:tc>
          <w:tcPr>
            <w:tcW w:w="2552" w:type="dxa"/>
          </w:tcPr>
          <w:p w14:paraId="24591AFA" w14:textId="67479884" w:rsidR="00840E64" w:rsidRPr="00EE0CAA" w:rsidRDefault="00E44B38" w:rsidP="000F6119">
            <w:pPr>
              <w:ind w:left="34"/>
              <w:jc w:val="left"/>
              <w:rPr>
                <w:rFonts w:eastAsia="Times New Roman" w:cs="Times New Roman"/>
                <w:color w:val="000000"/>
                <w:sz w:val="20"/>
                <w:szCs w:val="20"/>
              </w:rPr>
            </w:pPr>
            <w:r w:rsidRPr="00EE0CAA">
              <w:rPr>
                <w:rFonts w:eastAsia="Times New Roman" w:cs="Times New Roman"/>
                <w:color w:val="000000"/>
                <w:sz w:val="20"/>
                <w:szCs w:val="20"/>
              </w:rPr>
              <w:lastRenderedPageBreak/>
              <w:t>Visiškas</w:t>
            </w:r>
          </w:p>
        </w:tc>
      </w:tr>
      <w:tr w:rsidR="00C73B34" w:rsidRPr="00C73B34" w14:paraId="3C8C96B8" w14:textId="77777777" w:rsidTr="00706626">
        <w:trPr>
          <w:trHeight w:val="548"/>
        </w:trPr>
        <w:tc>
          <w:tcPr>
            <w:tcW w:w="7088" w:type="dxa"/>
          </w:tcPr>
          <w:p w14:paraId="57D2628D" w14:textId="77777777" w:rsidR="001021CE" w:rsidRPr="000855BE" w:rsidRDefault="001021CE" w:rsidP="001021CE">
            <w:pPr>
              <w:rPr>
                <w:rFonts w:eastAsia="Times New Roman" w:cs="Times New Roman"/>
                <w:b/>
                <w:sz w:val="20"/>
                <w:szCs w:val="20"/>
                <w:lang w:eastAsia="lt-LT"/>
              </w:rPr>
            </w:pPr>
            <w:r w:rsidRPr="000855BE">
              <w:rPr>
                <w:rFonts w:eastAsia="Times New Roman" w:cs="Times New Roman"/>
                <w:b/>
                <w:sz w:val="20"/>
                <w:szCs w:val="20"/>
                <w:lang w:eastAsia="lt-LT"/>
              </w:rPr>
              <w:t>2 straipsnis</w:t>
            </w:r>
          </w:p>
          <w:p w14:paraId="3D1B9CB4" w14:textId="77777777" w:rsidR="001021CE" w:rsidRPr="000855BE" w:rsidRDefault="001021CE" w:rsidP="001021CE">
            <w:pPr>
              <w:rPr>
                <w:rFonts w:eastAsia="Times New Roman" w:cs="Times New Roman"/>
                <w:b/>
                <w:sz w:val="20"/>
                <w:szCs w:val="20"/>
                <w:lang w:eastAsia="lt-LT"/>
              </w:rPr>
            </w:pPr>
            <w:r w:rsidRPr="000855BE">
              <w:rPr>
                <w:rFonts w:eastAsia="Times New Roman" w:cs="Times New Roman"/>
                <w:b/>
                <w:sz w:val="20"/>
                <w:szCs w:val="20"/>
                <w:lang w:eastAsia="lt-LT"/>
              </w:rPr>
              <w:t>Išimtys</w:t>
            </w:r>
          </w:p>
          <w:p w14:paraId="70AF02F9" w14:textId="67578B4B" w:rsidR="00C73B34" w:rsidRPr="000F776E" w:rsidRDefault="001021CE" w:rsidP="001021CE">
            <w:pPr>
              <w:rPr>
                <w:rFonts w:eastAsia="Times New Roman" w:cs="Times New Roman"/>
                <w:color w:val="000000"/>
              </w:rPr>
            </w:pPr>
            <w:r w:rsidRPr="000855BE">
              <w:rPr>
                <w:rFonts w:eastAsia="Times New Roman" w:cs="Times New Roman"/>
                <w:sz w:val="20"/>
                <w:szCs w:val="20"/>
                <w:lang w:eastAsia="lt-LT"/>
              </w:rPr>
              <w:t>Valstybės narės gali netaikyti šioje direktyvoje nustatytų reikalavimų transporto priemonėms, nurodytoms Reglamento (ES) 2018/858* 2 straipsnio 2 dalies d punkte ir 2 straipsnio 3 dalies a ir b punktuose bei to reglamento I priedo A dalies 5.2–5.5 punktuose ir 5.7 punkte.</w:t>
            </w:r>
          </w:p>
        </w:tc>
        <w:tc>
          <w:tcPr>
            <w:tcW w:w="6095" w:type="dxa"/>
          </w:tcPr>
          <w:p w14:paraId="2CE2831F" w14:textId="77777777" w:rsidR="00E44B38" w:rsidRPr="006121E9" w:rsidRDefault="00E44B38" w:rsidP="00E44B38">
            <w:pPr>
              <w:pStyle w:val="doc-ti"/>
              <w:spacing w:before="0" w:after="0"/>
              <w:jc w:val="both"/>
              <w:rPr>
                <w:sz w:val="20"/>
                <w:szCs w:val="20"/>
              </w:rPr>
            </w:pPr>
            <w:r w:rsidRPr="006121E9">
              <w:rPr>
                <w:sz w:val="20"/>
                <w:szCs w:val="20"/>
              </w:rPr>
              <w:t>Lietuvos Respublikos alternatyviųjų degalų įstatymo projektas</w:t>
            </w:r>
          </w:p>
          <w:p w14:paraId="3FA1C9BE" w14:textId="6947B73E" w:rsidR="008405DA" w:rsidRPr="006121E9" w:rsidRDefault="00E44B38" w:rsidP="001021CE">
            <w:pPr>
              <w:tabs>
                <w:tab w:val="left" w:pos="0"/>
                <w:tab w:val="left" w:pos="212"/>
              </w:tabs>
              <w:rPr>
                <w:rFonts w:cs="Times New Roman"/>
                <w:b/>
                <w:sz w:val="20"/>
                <w:szCs w:val="20"/>
              </w:rPr>
            </w:pPr>
            <w:r w:rsidRPr="006121E9">
              <w:rPr>
                <w:rFonts w:cs="Times New Roman"/>
                <w:b/>
                <w:sz w:val="20"/>
                <w:szCs w:val="20"/>
              </w:rPr>
              <w:t>1</w:t>
            </w:r>
            <w:r w:rsidR="007A2B52">
              <w:rPr>
                <w:rFonts w:cs="Times New Roman"/>
                <w:b/>
                <w:sz w:val="20"/>
                <w:szCs w:val="20"/>
              </w:rPr>
              <w:t>4</w:t>
            </w:r>
            <w:r w:rsidRPr="006121E9">
              <w:rPr>
                <w:rFonts w:cs="Times New Roman"/>
                <w:b/>
                <w:sz w:val="20"/>
                <w:szCs w:val="20"/>
              </w:rPr>
              <w:t xml:space="preserve"> straipsnis. Viešiesiems pirkimams keliami reikalavimai</w:t>
            </w:r>
          </w:p>
          <w:p w14:paraId="56A2C696" w14:textId="1B7BCAFB" w:rsidR="00E44B38" w:rsidRPr="006121E9" w:rsidRDefault="00E44B38" w:rsidP="001021CE">
            <w:pPr>
              <w:tabs>
                <w:tab w:val="left" w:pos="0"/>
                <w:tab w:val="left" w:pos="212"/>
              </w:tabs>
              <w:rPr>
                <w:rFonts w:cs="Times New Roman"/>
                <w:sz w:val="20"/>
                <w:szCs w:val="20"/>
              </w:rPr>
            </w:pPr>
            <w:r w:rsidRPr="006121E9">
              <w:rPr>
                <w:rFonts w:cs="Times New Roman"/>
                <w:b/>
                <w:sz w:val="20"/>
                <w:szCs w:val="20"/>
              </w:rPr>
              <w:t>&lt;...&gt;</w:t>
            </w:r>
          </w:p>
          <w:p w14:paraId="58C28C18" w14:textId="77777777" w:rsidR="00E44B38" w:rsidRPr="006121E9" w:rsidRDefault="00E44B38" w:rsidP="00E44B38">
            <w:pPr>
              <w:tabs>
                <w:tab w:val="left" w:pos="0"/>
                <w:tab w:val="left" w:pos="212"/>
              </w:tabs>
              <w:rPr>
                <w:rFonts w:cs="Times New Roman"/>
                <w:sz w:val="20"/>
                <w:szCs w:val="20"/>
              </w:rPr>
            </w:pPr>
            <w:r w:rsidRPr="006121E9">
              <w:rPr>
                <w:rFonts w:cs="Times New Roman"/>
                <w:sz w:val="20"/>
                <w:szCs w:val="20"/>
              </w:rPr>
              <w:t>Šio straipsnio 3 dalyje nustatyti reikalavimai netaikomi:</w:t>
            </w:r>
          </w:p>
          <w:p w14:paraId="3A856B08" w14:textId="77777777" w:rsidR="00E44B38" w:rsidRPr="006121E9" w:rsidRDefault="00E44B38" w:rsidP="00E44B38">
            <w:pPr>
              <w:tabs>
                <w:tab w:val="left" w:pos="0"/>
                <w:tab w:val="left" w:pos="212"/>
              </w:tabs>
              <w:rPr>
                <w:rFonts w:cs="Times New Roman"/>
                <w:sz w:val="20"/>
                <w:szCs w:val="20"/>
              </w:rPr>
            </w:pPr>
            <w:r w:rsidRPr="006121E9">
              <w:rPr>
                <w:rFonts w:cs="Times New Roman"/>
                <w:sz w:val="20"/>
                <w:szCs w:val="20"/>
              </w:rPr>
              <w:t>1) žemės ir miškų ūkio transporto priemonėms, kaip tai apibrėžta 2013 m. vasario 5 d. Europos Parlamento ir Tarybos reglamente (ES) Nr. 167/2013 dėl žemės ir miškų ūkio transporto priemonių patvirtinimo ir rinkos priežiūros (OL 60/1, 2013 L 3 2, p. 1);</w:t>
            </w:r>
          </w:p>
          <w:p w14:paraId="2B67E47B" w14:textId="77777777" w:rsidR="00E44B38" w:rsidRPr="006121E9" w:rsidRDefault="00E44B38" w:rsidP="00E44B38">
            <w:pPr>
              <w:tabs>
                <w:tab w:val="left" w:pos="0"/>
                <w:tab w:val="left" w:pos="212"/>
              </w:tabs>
              <w:rPr>
                <w:rFonts w:cs="Times New Roman"/>
                <w:sz w:val="20"/>
                <w:szCs w:val="20"/>
              </w:rPr>
            </w:pPr>
            <w:r w:rsidRPr="006121E9">
              <w:rPr>
                <w:rFonts w:cs="Times New Roman"/>
                <w:sz w:val="20"/>
                <w:szCs w:val="20"/>
              </w:rPr>
              <w:t>2) dviratėms arba triratėms transporto priemonėms ir keturratėms transporto priemonėms, kaip tai apibrėžta 2013 m. sausio 15 d. Europos Parlamento ir Tarybos reglamente (ES) Nr. 168/2013 dėl dviračių ir triračių transporto priemonių bei keturračių patvirtinimo ir rinkos priežiūros (OL L 60, 2013 3 2, p. 52);</w:t>
            </w:r>
          </w:p>
          <w:p w14:paraId="4BB4FC9A" w14:textId="77777777" w:rsidR="00E44B38" w:rsidRPr="006121E9" w:rsidRDefault="00E44B38" w:rsidP="00E44B38">
            <w:pPr>
              <w:tabs>
                <w:tab w:val="left" w:pos="0"/>
                <w:tab w:val="left" w:pos="212"/>
              </w:tabs>
              <w:rPr>
                <w:rFonts w:cs="Times New Roman"/>
                <w:sz w:val="20"/>
                <w:szCs w:val="20"/>
              </w:rPr>
            </w:pPr>
            <w:r w:rsidRPr="006121E9">
              <w:rPr>
                <w:rFonts w:cs="Times New Roman"/>
                <w:sz w:val="20"/>
                <w:szCs w:val="20"/>
              </w:rPr>
              <w:t>3) savaeigėms transporto priemonėms;</w:t>
            </w:r>
          </w:p>
          <w:p w14:paraId="794B8971" w14:textId="77777777" w:rsidR="00E44B38" w:rsidRPr="006121E9" w:rsidRDefault="00E44B38" w:rsidP="00E44B38">
            <w:pPr>
              <w:tabs>
                <w:tab w:val="left" w:pos="0"/>
                <w:tab w:val="left" w:pos="212"/>
              </w:tabs>
              <w:rPr>
                <w:rFonts w:cs="Times New Roman"/>
                <w:sz w:val="20"/>
                <w:szCs w:val="20"/>
              </w:rPr>
            </w:pPr>
            <w:r w:rsidRPr="006121E9">
              <w:rPr>
                <w:rFonts w:cs="Times New Roman"/>
                <w:sz w:val="20"/>
                <w:szCs w:val="20"/>
              </w:rPr>
              <w:t>4) krašto apsaugos sistemos institucijų reikmėms, kai šios transporto priemonės įsigyjamos naudoti karinėms operacijoms, joms pasirengti ir kitoms gynybos karinėms funkcijoms vykdyti;</w:t>
            </w:r>
          </w:p>
          <w:p w14:paraId="61E4AAA9" w14:textId="77777777" w:rsidR="00E44B38" w:rsidRPr="006121E9" w:rsidRDefault="00E44B38" w:rsidP="00E44B38">
            <w:pPr>
              <w:tabs>
                <w:tab w:val="left" w:pos="0"/>
                <w:tab w:val="left" w:pos="212"/>
              </w:tabs>
              <w:rPr>
                <w:rFonts w:cs="Times New Roman"/>
                <w:sz w:val="20"/>
                <w:szCs w:val="20"/>
              </w:rPr>
            </w:pPr>
            <w:r w:rsidRPr="006121E9">
              <w:rPr>
                <w:rFonts w:cs="Times New Roman"/>
                <w:sz w:val="20"/>
                <w:szCs w:val="20"/>
              </w:rPr>
              <w:t>5) operatyviniams tikslams naudojamoms transporto priemonėms;</w:t>
            </w:r>
          </w:p>
          <w:p w14:paraId="1C7403EB" w14:textId="77777777" w:rsidR="00E44B38" w:rsidRPr="006121E9" w:rsidRDefault="00E44B38" w:rsidP="00E44B38">
            <w:pPr>
              <w:tabs>
                <w:tab w:val="left" w:pos="0"/>
                <w:tab w:val="left" w:pos="212"/>
              </w:tabs>
              <w:rPr>
                <w:rFonts w:cs="Times New Roman"/>
                <w:sz w:val="20"/>
                <w:szCs w:val="20"/>
              </w:rPr>
            </w:pPr>
            <w:r w:rsidRPr="006121E9">
              <w:rPr>
                <w:rFonts w:cs="Times New Roman"/>
                <w:sz w:val="20"/>
                <w:szCs w:val="20"/>
              </w:rPr>
              <w:t xml:space="preserve">6) specialiai suprojektuotoms ir pagamintoms naudoti statybos aikštelėse ar karjeruose, uostų ar oro uostų teritorijose ar patalpose transporto priemonėms; </w:t>
            </w:r>
          </w:p>
          <w:p w14:paraId="29C6FEC7" w14:textId="77777777" w:rsidR="00E44B38" w:rsidRPr="006121E9" w:rsidRDefault="00E44B38" w:rsidP="00E44B38">
            <w:pPr>
              <w:tabs>
                <w:tab w:val="left" w:pos="0"/>
                <w:tab w:val="left" w:pos="212"/>
              </w:tabs>
              <w:rPr>
                <w:rFonts w:cs="Times New Roman"/>
                <w:sz w:val="20"/>
                <w:szCs w:val="20"/>
              </w:rPr>
            </w:pPr>
            <w:r w:rsidRPr="006121E9">
              <w:rPr>
                <w:rFonts w:cs="Times New Roman"/>
                <w:sz w:val="20"/>
                <w:szCs w:val="20"/>
              </w:rPr>
              <w:t>7) suprojektuotoms ir pagamintoms civilinės saugos, priešgaisrinės apsaugos ir viešajai tvarkai užtikrinti naudojamoms transporto priemonėms;</w:t>
            </w:r>
          </w:p>
          <w:p w14:paraId="5228D8CE" w14:textId="77777777" w:rsidR="00E44B38" w:rsidRPr="006121E9" w:rsidRDefault="00E44B38" w:rsidP="00E44B38">
            <w:pPr>
              <w:tabs>
                <w:tab w:val="left" w:pos="0"/>
                <w:tab w:val="left" w:pos="212"/>
              </w:tabs>
              <w:rPr>
                <w:rFonts w:cs="Times New Roman"/>
                <w:sz w:val="20"/>
                <w:szCs w:val="20"/>
              </w:rPr>
            </w:pPr>
            <w:r w:rsidRPr="006121E9">
              <w:rPr>
                <w:rFonts w:cs="Times New Roman"/>
                <w:sz w:val="20"/>
                <w:szCs w:val="20"/>
              </w:rPr>
              <w:t>8) šarvuotoms transporto priemonėms, skirtoms vežamiems asmenims ar kroviniams apsaugoti;</w:t>
            </w:r>
          </w:p>
          <w:p w14:paraId="04123FBD" w14:textId="77777777" w:rsidR="00E44B38" w:rsidRPr="006121E9" w:rsidRDefault="00E44B38" w:rsidP="00E44B38">
            <w:pPr>
              <w:tabs>
                <w:tab w:val="left" w:pos="0"/>
                <w:tab w:val="left" w:pos="212"/>
              </w:tabs>
              <w:rPr>
                <w:rFonts w:cs="Times New Roman"/>
                <w:sz w:val="20"/>
                <w:szCs w:val="20"/>
              </w:rPr>
            </w:pPr>
            <w:r w:rsidRPr="006121E9">
              <w:rPr>
                <w:rFonts w:cs="Times New Roman"/>
                <w:sz w:val="20"/>
                <w:szCs w:val="20"/>
              </w:rPr>
              <w:t>9) greitosios pagalbos automobiliams, skirtiems ligoniams ar sužeistiesiems vežti su specialia tam skirta įranga;</w:t>
            </w:r>
          </w:p>
          <w:p w14:paraId="4B23F486" w14:textId="77777777" w:rsidR="00E44B38" w:rsidRPr="006121E9" w:rsidRDefault="00E44B38" w:rsidP="00E44B38">
            <w:pPr>
              <w:tabs>
                <w:tab w:val="left" w:pos="0"/>
                <w:tab w:val="left" w:pos="212"/>
              </w:tabs>
              <w:rPr>
                <w:rFonts w:cs="Times New Roman"/>
                <w:sz w:val="20"/>
                <w:szCs w:val="20"/>
              </w:rPr>
            </w:pPr>
            <w:r w:rsidRPr="006121E9">
              <w:rPr>
                <w:rFonts w:cs="Times New Roman"/>
                <w:sz w:val="20"/>
                <w:szCs w:val="20"/>
              </w:rPr>
              <w:lastRenderedPageBreak/>
              <w:t>10) transporto priemonėms, skirtoms mirusiems vežti, su tam skirta specialia įranga;</w:t>
            </w:r>
          </w:p>
          <w:p w14:paraId="3D68A1BB" w14:textId="77777777" w:rsidR="00E44B38" w:rsidRPr="006121E9" w:rsidRDefault="00E44B38" w:rsidP="00E44B38">
            <w:pPr>
              <w:tabs>
                <w:tab w:val="left" w:pos="0"/>
                <w:tab w:val="left" w:pos="212"/>
              </w:tabs>
              <w:rPr>
                <w:rFonts w:cs="Times New Roman"/>
                <w:sz w:val="20"/>
                <w:szCs w:val="20"/>
              </w:rPr>
            </w:pPr>
            <w:r w:rsidRPr="006121E9">
              <w:rPr>
                <w:rFonts w:cs="Times New Roman"/>
                <w:sz w:val="20"/>
                <w:szCs w:val="20"/>
              </w:rPr>
              <w:t>11) neįgaliųjų vežimėliams pritaikytoms transporto priemonėms, kurios sukonstruotos arba specialiai pertvarkytos taip, kad važiuojant keliu joje tilptų vienas ar daugiau neįgaliųjų vežimėliuose sėdinčių asmenų;</w:t>
            </w:r>
          </w:p>
          <w:p w14:paraId="72114FBB" w14:textId="77777777" w:rsidR="00E44B38" w:rsidRPr="006121E9" w:rsidRDefault="00E44B38" w:rsidP="00E44B38">
            <w:pPr>
              <w:tabs>
                <w:tab w:val="left" w:pos="0"/>
                <w:tab w:val="left" w:pos="212"/>
              </w:tabs>
              <w:rPr>
                <w:rFonts w:cs="Times New Roman"/>
                <w:sz w:val="20"/>
                <w:szCs w:val="20"/>
              </w:rPr>
            </w:pPr>
            <w:r w:rsidRPr="006121E9">
              <w:rPr>
                <w:rFonts w:cs="Times New Roman"/>
                <w:sz w:val="20"/>
                <w:szCs w:val="20"/>
              </w:rPr>
              <w:t>12) vikšrinėms transporto priemonėms;</w:t>
            </w:r>
          </w:p>
          <w:p w14:paraId="25F3A8CA" w14:textId="77777777" w:rsidR="00E44B38" w:rsidRPr="006121E9" w:rsidRDefault="00E44B38" w:rsidP="00E44B38">
            <w:pPr>
              <w:tabs>
                <w:tab w:val="left" w:pos="0"/>
                <w:tab w:val="left" w:pos="212"/>
              </w:tabs>
              <w:rPr>
                <w:rFonts w:cs="Times New Roman"/>
                <w:sz w:val="20"/>
                <w:szCs w:val="20"/>
              </w:rPr>
            </w:pPr>
            <w:r w:rsidRPr="006121E9">
              <w:rPr>
                <w:rFonts w:cs="Times New Roman"/>
                <w:sz w:val="20"/>
                <w:szCs w:val="20"/>
              </w:rPr>
              <w:t>13) specialiosios paskirties M3 kategorijos transporto priemonėms, išskyrus transporto priemones, kuriose be vairuotojo telpa daugiau kaip 22 keleiviai ir kuriose įrengtos stovintiems keleiviams skirtos vietos ir kuriose be vairuotojo telpa ne daugiau kaip 22 keleiviai, tačiau kuri skirta vežti stovinčius keleivius ir kurioje yra sėdynių.</w:t>
            </w:r>
          </w:p>
          <w:p w14:paraId="5D0D367C" w14:textId="1AD0A736" w:rsidR="00E44B38" w:rsidRPr="006121E9" w:rsidRDefault="00E44B38" w:rsidP="00E44B38">
            <w:pPr>
              <w:tabs>
                <w:tab w:val="left" w:pos="0"/>
                <w:tab w:val="left" w:pos="212"/>
              </w:tabs>
              <w:rPr>
                <w:rFonts w:cs="Times New Roman"/>
                <w:sz w:val="20"/>
                <w:szCs w:val="20"/>
              </w:rPr>
            </w:pPr>
            <w:r w:rsidRPr="006121E9">
              <w:rPr>
                <w:rFonts w:cs="Times New Roman"/>
                <w:sz w:val="20"/>
                <w:szCs w:val="20"/>
              </w:rPr>
              <w:t>&lt;...&gt;</w:t>
            </w:r>
          </w:p>
        </w:tc>
        <w:tc>
          <w:tcPr>
            <w:tcW w:w="2552" w:type="dxa"/>
          </w:tcPr>
          <w:p w14:paraId="5EF01CC5" w14:textId="77777777" w:rsidR="00C73B34" w:rsidRPr="00EE0CAA" w:rsidRDefault="00E50F54" w:rsidP="00E50F54">
            <w:pPr>
              <w:ind w:left="34"/>
              <w:jc w:val="left"/>
              <w:rPr>
                <w:rFonts w:eastAsia="Times New Roman" w:cs="Times New Roman"/>
                <w:color w:val="000000"/>
                <w:sz w:val="20"/>
                <w:szCs w:val="20"/>
              </w:rPr>
            </w:pPr>
            <w:r w:rsidRPr="00EE0CAA">
              <w:rPr>
                <w:rFonts w:eastAsia="Times New Roman" w:cs="Times New Roman"/>
                <w:color w:val="000000"/>
                <w:sz w:val="20"/>
                <w:szCs w:val="20"/>
              </w:rPr>
              <w:lastRenderedPageBreak/>
              <w:t>Visiškas</w:t>
            </w:r>
          </w:p>
        </w:tc>
      </w:tr>
      <w:tr w:rsidR="00E50F54" w:rsidRPr="00C73B34" w14:paraId="7443F19F" w14:textId="77777777" w:rsidTr="007E3B44">
        <w:tc>
          <w:tcPr>
            <w:tcW w:w="7088" w:type="dxa"/>
          </w:tcPr>
          <w:p w14:paraId="401DD915" w14:textId="77777777" w:rsidR="001021CE" w:rsidRPr="001438E8" w:rsidRDefault="001021CE" w:rsidP="001021CE">
            <w:pPr>
              <w:rPr>
                <w:rFonts w:eastAsia="Times New Roman" w:cs="Times New Roman"/>
                <w:b/>
                <w:sz w:val="20"/>
                <w:szCs w:val="20"/>
                <w:lang w:eastAsia="lt-LT"/>
              </w:rPr>
            </w:pPr>
            <w:r w:rsidRPr="001438E8">
              <w:rPr>
                <w:rFonts w:eastAsia="Times New Roman" w:cs="Times New Roman"/>
                <w:b/>
                <w:sz w:val="20"/>
                <w:szCs w:val="20"/>
                <w:lang w:eastAsia="lt-LT"/>
              </w:rPr>
              <w:t>3 straipsnis</w:t>
            </w:r>
          </w:p>
          <w:p w14:paraId="541DD61E" w14:textId="77777777" w:rsidR="001021CE" w:rsidRPr="001438E8" w:rsidRDefault="001021CE" w:rsidP="001021CE">
            <w:pPr>
              <w:rPr>
                <w:rFonts w:eastAsia="Times New Roman" w:cs="Times New Roman"/>
                <w:b/>
                <w:sz w:val="20"/>
                <w:szCs w:val="20"/>
                <w:lang w:eastAsia="lt-LT"/>
              </w:rPr>
            </w:pPr>
            <w:r w:rsidRPr="001438E8">
              <w:rPr>
                <w:rFonts w:eastAsia="Times New Roman" w:cs="Times New Roman"/>
                <w:b/>
                <w:sz w:val="20"/>
                <w:szCs w:val="20"/>
                <w:lang w:eastAsia="lt-LT"/>
              </w:rPr>
              <w:t>Taikymo sritis</w:t>
            </w:r>
          </w:p>
          <w:p w14:paraId="17AC0E6C" w14:textId="77777777" w:rsidR="001021CE" w:rsidRPr="0080624F" w:rsidRDefault="001021CE" w:rsidP="001021CE">
            <w:pPr>
              <w:pStyle w:val="ListParagraph"/>
              <w:numPr>
                <w:ilvl w:val="0"/>
                <w:numId w:val="9"/>
              </w:numPr>
              <w:ind w:left="22" w:firstLine="338"/>
              <w:jc w:val="left"/>
              <w:rPr>
                <w:rFonts w:eastAsia="Times New Roman" w:cs="Times New Roman"/>
                <w:sz w:val="20"/>
                <w:szCs w:val="20"/>
                <w:lang w:eastAsia="lt-LT"/>
              </w:rPr>
            </w:pPr>
            <w:r w:rsidRPr="0080624F">
              <w:rPr>
                <w:rFonts w:eastAsia="Times New Roman" w:cs="Times New Roman"/>
                <w:sz w:val="20"/>
                <w:szCs w:val="20"/>
                <w:lang w:eastAsia="lt-LT"/>
              </w:rPr>
              <w:t>Ši direktyva taikoma</w:t>
            </w:r>
            <w:r>
              <w:rPr>
                <w:rFonts w:eastAsia="Times New Roman" w:cs="Times New Roman"/>
                <w:sz w:val="20"/>
                <w:szCs w:val="20"/>
                <w:lang w:eastAsia="lt-LT"/>
              </w:rPr>
              <w:t xml:space="preserve"> </w:t>
            </w:r>
            <w:r w:rsidRPr="0080624F">
              <w:rPr>
                <w:rFonts w:eastAsia="Times New Roman" w:cs="Times New Roman"/>
                <w:sz w:val="20"/>
                <w:szCs w:val="20"/>
                <w:lang w:eastAsia="lt-LT"/>
              </w:rPr>
              <w:t>viešiesiems pirkimams pagal:</w:t>
            </w:r>
          </w:p>
          <w:p w14:paraId="3EB210B0" w14:textId="77777777" w:rsidR="001021CE" w:rsidRPr="0080624F" w:rsidRDefault="001021CE" w:rsidP="001021CE">
            <w:pPr>
              <w:pStyle w:val="ListParagraph"/>
              <w:rPr>
                <w:rFonts w:eastAsia="Times New Roman" w:cs="Times New Roman"/>
                <w:sz w:val="20"/>
                <w:szCs w:val="20"/>
                <w:lang w:eastAsia="lt-LT"/>
              </w:rPr>
            </w:pPr>
          </w:p>
          <w:p w14:paraId="50370667" w14:textId="77777777" w:rsidR="001021CE" w:rsidRDefault="001021CE" w:rsidP="001021CE">
            <w:pPr>
              <w:rPr>
                <w:rFonts w:eastAsia="Times New Roman" w:cs="Times New Roman"/>
                <w:sz w:val="20"/>
                <w:szCs w:val="20"/>
                <w:lang w:eastAsia="lt-LT"/>
              </w:rPr>
            </w:pPr>
            <w:r w:rsidRPr="001438E8">
              <w:rPr>
                <w:rFonts w:eastAsia="Times New Roman" w:cs="Times New Roman"/>
                <w:sz w:val="20"/>
                <w:szCs w:val="20"/>
                <w:lang w:eastAsia="lt-LT"/>
              </w:rPr>
              <w:t>a)kelių transporto priemonių pirkimo, lizingo, nuomos arba išperkamosios nuomos sutartis, kai tas sutartis sudaro perkančiosios organizacijos ar perkantieji subjektai, tokia apimtimi, kokia jie įpareigoti taikyti pirkimo procedūras, nustatytas Europos Parlamento ir Tarybos direktyvose 2014/24/ES* ir 2014/25/ES**;</w:t>
            </w:r>
          </w:p>
          <w:p w14:paraId="69FD8EC8" w14:textId="77777777" w:rsidR="001021CE" w:rsidRPr="001438E8" w:rsidRDefault="001021CE" w:rsidP="001021CE">
            <w:pPr>
              <w:rPr>
                <w:rFonts w:eastAsia="Times New Roman" w:cs="Times New Roman"/>
                <w:sz w:val="20"/>
                <w:szCs w:val="20"/>
                <w:lang w:eastAsia="lt-LT"/>
              </w:rPr>
            </w:pPr>
          </w:p>
          <w:p w14:paraId="3F5B880A" w14:textId="77777777" w:rsidR="001021CE" w:rsidRPr="001438E8" w:rsidRDefault="001021CE" w:rsidP="001021CE">
            <w:pPr>
              <w:rPr>
                <w:rFonts w:eastAsia="Times New Roman" w:cs="Times New Roman"/>
                <w:sz w:val="20"/>
                <w:szCs w:val="20"/>
                <w:lang w:eastAsia="lt-LT"/>
              </w:rPr>
            </w:pPr>
            <w:r w:rsidRPr="001438E8">
              <w:rPr>
                <w:rFonts w:eastAsia="Times New Roman" w:cs="Times New Roman"/>
                <w:sz w:val="20"/>
                <w:szCs w:val="20"/>
                <w:lang w:eastAsia="lt-LT"/>
              </w:rPr>
              <w:t>b)viešųjų paslaugų sutartis, kaip apibrėžta Europos Parlamento ir Tarybos reglamente (EB) Nr. 1370/2007***, kurių dalykas yra keleivių vežimo kelių transportu paslaugų teikimas, viršijančias valstybių narių nustatomą ribą, neviršijančią to reglamento 5 straipsnio 4 dalyje nustatytos taikytinos ribinės vertės;</w:t>
            </w:r>
          </w:p>
          <w:p w14:paraId="357ECB5D" w14:textId="77777777" w:rsidR="001021CE" w:rsidRPr="001438E8" w:rsidRDefault="001021CE" w:rsidP="001021CE">
            <w:pPr>
              <w:rPr>
                <w:rFonts w:eastAsia="Times New Roman" w:cs="Times New Roman"/>
                <w:sz w:val="20"/>
                <w:szCs w:val="20"/>
                <w:lang w:eastAsia="lt-LT"/>
              </w:rPr>
            </w:pPr>
            <w:r w:rsidRPr="001438E8">
              <w:rPr>
                <w:rFonts w:eastAsia="Times New Roman" w:cs="Times New Roman"/>
                <w:sz w:val="20"/>
                <w:szCs w:val="20"/>
                <w:lang w:eastAsia="lt-LT"/>
              </w:rPr>
              <w:t> </w:t>
            </w:r>
          </w:p>
          <w:p w14:paraId="5C4C7F8E" w14:textId="77777777" w:rsidR="001021CE" w:rsidRPr="001438E8" w:rsidRDefault="001021CE" w:rsidP="001021CE">
            <w:pPr>
              <w:rPr>
                <w:rFonts w:eastAsia="Times New Roman" w:cs="Times New Roman"/>
                <w:sz w:val="20"/>
                <w:szCs w:val="20"/>
                <w:lang w:eastAsia="lt-LT"/>
              </w:rPr>
            </w:pPr>
            <w:r w:rsidRPr="001438E8">
              <w:rPr>
                <w:rFonts w:eastAsia="Times New Roman" w:cs="Times New Roman"/>
                <w:sz w:val="20"/>
                <w:szCs w:val="20"/>
                <w:lang w:eastAsia="lt-LT"/>
              </w:rPr>
              <w:t>c) paslaugų sutartis, nustatytas šios direktyvos priedo 1 lentelėje, tokia apimtimi, kokia perkančiosios organizacijos ar perkantieji subjektai įpareigoti taikyti pirkimo procedūras, nustatytas direktyvose 2014/24/ES ir 2014/25/ES.</w:t>
            </w:r>
          </w:p>
          <w:p w14:paraId="7DC66371" w14:textId="77777777" w:rsidR="001021CE" w:rsidRPr="001438E8" w:rsidRDefault="001021CE" w:rsidP="001021CE">
            <w:pPr>
              <w:rPr>
                <w:rFonts w:eastAsia="Times New Roman" w:cs="Times New Roman"/>
                <w:sz w:val="20"/>
                <w:szCs w:val="20"/>
                <w:lang w:eastAsia="lt-LT"/>
              </w:rPr>
            </w:pPr>
            <w:r w:rsidRPr="001438E8">
              <w:rPr>
                <w:rFonts w:eastAsia="Times New Roman" w:cs="Times New Roman"/>
                <w:sz w:val="20"/>
                <w:szCs w:val="20"/>
                <w:lang w:eastAsia="lt-LT"/>
              </w:rPr>
              <w:t>2. Ši direktyva netaikoma:</w:t>
            </w:r>
          </w:p>
          <w:p w14:paraId="3EE1E5BB" w14:textId="77777777" w:rsidR="001021CE" w:rsidRPr="001438E8" w:rsidRDefault="001021CE" w:rsidP="001021CE">
            <w:pPr>
              <w:rPr>
                <w:rFonts w:eastAsia="Times New Roman" w:cs="Times New Roman"/>
                <w:sz w:val="20"/>
                <w:szCs w:val="20"/>
                <w:lang w:eastAsia="lt-LT"/>
              </w:rPr>
            </w:pPr>
            <w:r w:rsidRPr="001438E8">
              <w:rPr>
                <w:rFonts w:eastAsia="Times New Roman" w:cs="Times New Roman"/>
                <w:sz w:val="20"/>
                <w:szCs w:val="20"/>
                <w:lang w:eastAsia="lt-LT"/>
              </w:rPr>
              <w:t>a)transporto priemonėms, nurodytoms Reglamento (ES) 2018/858 2 straipsnio 2 dalies a, b ir c punktuose ir 2 straipsnio 3 dalies c punkte;</w:t>
            </w:r>
          </w:p>
          <w:p w14:paraId="0601BC4E" w14:textId="7B36FE30" w:rsidR="00E50F54" w:rsidRPr="00F66C8A" w:rsidRDefault="001021CE" w:rsidP="001021CE">
            <w:pPr>
              <w:rPr>
                <w:rFonts w:cs="Times New Roman"/>
                <w:i/>
                <w:iCs/>
              </w:rPr>
            </w:pPr>
            <w:r w:rsidRPr="001438E8">
              <w:rPr>
                <w:rFonts w:eastAsia="Times New Roman" w:cs="Times New Roman"/>
                <w:sz w:val="20"/>
                <w:szCs w:val="20"/>
                <w:lang w:eastAsia="lt-LT"/>
              </w:rPr>
              <w:t>b)</w:t>
            </w:r>
            <w:r w:rsidRPr="001438E8">
              <w:rPr>
                <w:rFonts w:eastAsia="Times New Roman" w:cs="Times New Roman"/>
                <w:sz w:val="20"/>
                <w:szCs w:val="20"/>
                <w:lang w:eastAsia="lt-LT"/>
              </w:rPr>
              <w:tab/>
              <w:t>M3 kategorijos transporto priemonėms, išskyrus I ir A klasių transporto priemones, kaip apibrėžta Europos Parlamento ir Tarybos reglamento (EB) Nr. 661/2009**** 3 straipsnio 2 ir 3 dalyse.</w:t>
            </w:r>
          </w:p>
        </w:tc>
        <w:tc>
          <w:tcPr>
            <w:tcW w:w="6095" w:type="dxa"/>
          </w:tcPr>
          <w:p w14:paraId="7AF9D011" w14:textId="77777777" w:rsidR="00E44B38" w:rsidRPr="006121E9" w:rsidRDefault="00E44B38" w:rsidP="00E44B38">
            <w:pPr>
              <w:pStyle w:val="doc-ti"/>
              <w:spacing w:before="0" w:after="0"/>
              <w:jc w:val="both"/>
              <w:rPr>
                <w:sz w:val="20"/>
                <w:szCs w:val="20"/>
              </w:rPr>
            </w:pPr>
            <w:r w:rsidRPr="006121E9">
              <w:rPr>
                <w:sz w:val="20"/>
                <w:szCs w:val="20"/>
              </w:rPr>
              <w:t>Lietuvos Respublikos alternatyviųjų degalų įstatymo projektas</w:t>
            </w:r>
          </w:p>
          <w:p w14:paraId="49FC558A" w14:textId="6162F362" w:rsidR="00E44B38" w:rsidRPr="006121E9" w:rsidRDefault="00E44B38" w:rsidP="00E44B38">
            <w:pPr>
              <w:tabs>
                <w:tab w:val="left" w:pos="0"/>
                <w:tab w:val="left" w:pos="212"/>
              </w:tabs>
              <w:rPr>
                <w:rFonts w:cs="Times New Roman"/>
                <w:b/>
                <w:sz w:val="20"/>
                <w:szCs w:val="20"/>
              </w:rPr>
            </w:pPr>
            <w:r w:rsidRPr="006121E9">
              <w:rPr>
                <w:rFonts w:cs="Times New Roman"/>
                <w:b/>
                <w:sz w:val="20"/>
                <w:szCs w:val="20"/>
              </w:rPr>
              <w:t>1</w:t>
            </w:r>
            <w:r w:rsidR="007A2B52">
              <w:rPr>
                <w:rFonts w:cs="Times New Roman"/>
                <w:b/>
                <w:sz w:val="20"/>
                <w:szCs w:val="20"/>
              </w:rPr>
              <w:t>4</w:t>
            </w:r>
            <w:r w:rsidRPr="006121E9">
              <w:rPr>
                <w:rFonts w:cs="Times New Roman"/>
                <w:b/>
                <w:sz w:val="20"/>
                <w:szCs w:val="20"/>
              </w:rPr>
              <w:t xml:space="preserve"> straipsnis. Viešiesiems pirkimams keliami reikalavimai</w:t>
            </w:r>
          </w:p>
          <w:p w14:paraId="046F3259" w14:textId="77777777" w:rsidR="00E44B38" w:rsidRPr="006121E9" w:rsidRDefault="00E44B38" w:rsidP="00E44B38">
            <w:pPr>
              <w:tabs>
                <w:tab w:val="left" w:pos="226"/>
              </w:tabs>
              <w:rPr>
                <w:rFonts w:cs="Times New Roman"/>
                <w:bCs/>
                <w:sz w:val="20"/>
                <w:szCs w:val="20"/>
              </w:rPr>
            </w:pPr>
            <w:r w:rsidRPr="006121E9">
              <w:rPr>
                <w:rFonts w:cs="Times New Roman"/>
                <w:bCs/>
                <w:sz w:val="20"/>
                <w:szCs w:val="20"/>
              </w:rPr>
              <w:t>1.</w:t>
            </w:r>
            <w:r w:rsidRPr="006121E9">
              <w:rPr>
                <w:rFonts w:cs="Times New Roman"/>
                <w:bCs/>
                <w:sz w:val="20"/>
                <w:szCs w:val="20"/>
              </w:rPr>
              <w:tab/>
              <w:t>Perkančiosios organizacijos, kaip jas apibrėžia Lietuvos Respublikos viešųjų pirkimų įstatymas, ir perkantieji subjektai, kaip juos apibrėžia Lietuvos Respublikos pirkimų, atliekamų vandentvarkos, energetikos, transporto ar pašto paslaugų srities perkančiųjų subjektų, įstatymas, atlikdami viešuosius pirkimus privalo laikytis šiame straipsnyje numatytų reikalavimų, kai:</w:t>
            </w:r>
          </w:p>
          <w:p w14:paraId="38EB2E7D" w14:textId="77777777" w:rsidR="00E44B38" w:rsidRPr="006121E9" w:rsidRDefault="00E44B38" w:rsidP="00E44B38">
            <w:pPr>
              <w:rPr>
                <w:rFonts w:cs="Times New Roman"/>
                <w:bCs/>
                <w:sz w:val="20"/>
                <w:szCs w:val="20"/>
              </w:rPr>
            </w:pPr>
            <w:r w:rsidRPr="006121E9">
              <w:rPr>
                <w:rFonts w:cs="Times New Roman"/>
                <w:bCs/>
                <w:sz w:val="20"/>
                <w:szCs w:val="20"/>
              </w:rPr>
              <w:t xml:space="preserve">1) įsigyja kelių transporto priemones ar sudaro kelių transporto priemonių pirkimo, lizingo, nuomos arba išperkamosios nuomos sutartis dėl kelių transporto priemonių naudojimo; </w:t>
            </w:r>
          </w:p>
          <w:p w14:paraId="287F309B" w14:textId="77777777" w:rsidR="004C65F3" w:rsidRPr="006121E9" w:rsidRDefault="00E44B38" w:rsidP="00E44B38">
            <w:pPr>
              <w:rPr>
                <w:rFonts w:cs="Times New Roman"/>
                <w:bCs/>
                <w:sz w:val="20"/>
                <w:szCs w:val="20"/>
              </w:rPr>
            </w:pPr>
            <w:r w:rsidRPr="006121E9">
              <w:rPr>
                <w:rFonts w:cs="Times New Roman"/>
                <w:bCs/>
                <w:sz w:val="20"/>
                <w:szCs w:val="20"/>
              </w:rPr>
              <w:t>2) pagal sutartis ar kitais teisėtais pagrindais yra teikiamos keleivinio kelių transporto, keleivių vežimo specialiais reisais, keleivių vežimo užsakomaisiais reisais, atliekų rinkimo, pašto siuntų vežimo keliais, siuntinių vežimo, pašto pristatymo ir siuntinių pristatymo paslaugos.</w:t>
            </w:r>
          </w:p>
          <w:p w14:paraId="16BFE66F" w14:textId="79F0521A" w:rsidR="00E44B38" w:rsidRPr="006121E9" w:rsidRDefault="00E44B38" w:rsidP="00E44B38">
            <w:pPr>
              <w:rPr>
                <w:rFonts w:cs="Times New Roman"/>
                <w:b/>
                <w:sz w:val="20"/>
                <w:szCs w:val="20"/>
              </w:rPr>
            </w:pPr>
            <w:r w:rsidRPr="006121E9">
              <w:rPr>
                <w:rFonts w:cs="Times New Roman"/>
                <w:bCs/>
                <w:sz w:val="20"/>
                <w:szCs w:val="20"/>
              </w:rPr>
              <w:t>&lt;...&gt;</w:t>
            </w:r>
          </w:p>
        </w:tc>
        <w:tc>
          <w:tcPr>
            <w:tcW w:w="2552" w:type="dxa"/>
          </w:tcPr>
          <w:p w14:paraId="5AF7ECCA" w14:textId="77777777" w:rsidR="00C0579D" w:rsidRPr="00EE0CAA" w:rsidRDefault="002F3C69" w:rsidP="002F3C69">
            <w:pPr>
              <w:ind w:left="34"/>
              <w:jc w:val="left"/>
              <w:rPr>
                <w:rFonts w:eastAsia="Times New Roman" w:cs="Times New Roman"/>
                <w:color w:val="000000" w:themeColor="text1"/>
                <w:sz w:val="20"/>
                <w:szCs w:val="20"/>
              </w:rPr>
            </w:pPr>
            <w:r w:rsidRPr="00EE0CAA">
              <w:rPr>
                <w:rFonts w:eastAsia="Times New Roman" w:cs="Times New Roman"/>
                <w:color w:val="000000" w:themeColor="text1"/>
                <w:sz w:val="20"/>
                <w:szCs w:val="20"/>
              </w:rPr>
              <w:t>Visiškas</w:t>
            </w:r>
          </w:p>
        </w:tc>
      </w:tr>
      <w:tr w:rsidR="001021CE" w:rsidRPr="00C73B34" w14:paraId="1980F3CB" w14:textId="77777777" w:rsidTr="00336722">
        <w:trPr>
          <w:trHeight w:val="2464"/>
        </w:trPr>
        <w:tc>
          <w:tcPr>
            <w:tcW w:w="7088" w:type="dxa"/>
          </w:tcPr>
          <w:p w14:paraId="6ABD5983" w14:textId="77777777" w:rsidR="001021CE" w:rsidRPr="00AA5C14" w:rsidRDefault="001021CE" w:rsidP="001021CE">
            <w:pPr>
              <w:rPr>
                <w:rFonts w:cs="Times New Roman"/>
                <w:b/>
                <w:sz w:val="20"/>
                <w:szCs w:val="20"/>
              </w:rPr>
            </w:pPr>
            <w:r w:rsidRPr="00AA5C14">
              <w:rPr>
                <w:rFonts w:cs="Times New Roman"/>
                <w:b/>
                <w:sz w:val="20"/>
                <w:szCs w:val="20"/>
              </w:rPr>
              <w:lastRenderedPageBreak/>
              <w:t>4 straipsnis</w:t>
            </w:r>
          </w:p>
          <w:p w14:paraId="7D1FF178" w14:textId="77777777" w:rsidR="001021CE" w:rsidRPr="00AA5C14" w:rsidRDefault="001021CE" w:rsidP="001021CE">
            <w:pPr>
              <w:rPr>
                <w:rFonts w:cs="Times New Roman"/>
                <w:b/>
                <w:sz w:val="20"/>
                <w:szCs w:val="20"/>
              </w:rPr>
            </w:pPr>
            <w:r w:rsidRPr="00AA5C14">
              <w:rPr>
                <w:rFonts w:cs="Times New Roman"/>
                <w:b/>
                <w:sz w:val="20"/>
                <w:szCs w:val="20"/>
              </w:rPr>
              <w:t>Apibrėžtys</w:t>
            </w:r>
          </w:p>
          <w:p w14:paraId="4D7F8499" w14:textId="77777777" w:rsidR="001021CE" w:rsidRPr="00AA5C14" w:rsidRDefault="001021CE" w:rsidP="001021CE">
            <w:pPr>
              <w:rPr>
                <w:rFonts w:cs="Times New Roman"/>
                <w:sz w:val="20"/>
                <w:szCs w:val="20"/>
              </w:rPr>
            </w:pPr>
            <w:r w:rsidRPr="00AA5C14">
              <w:rPr>
                <w:rFonts w:cs="Times New Roman"/>
                <w:sz w:val="20"/>
                <w:szCs w:val="20"/>
              </w:rPr>
              <w:t>Šioje direktyvoje:</w:t>
            </w:r>
          </w:p>
          <w:p w14:paraId="300ED31A" w14:textId="77777777" w:rsidR="001021CE" w:rsidRPr="00AA5C14" w:rsidRDefault="001021CE" w:rsidP="001021CE">
            <w:pPr>
              <w:rPr>
                <w:rFonts w:cs="Times New Roman"/>
                <w:sz w:val="20"/>
                <w:szCs w:val="20"/>
              </w:rPr>
            </w:pPr>
            <w:r w:rsidRPr="00AA5C14">
              <w:rPr>
                <w:rFonts w:cs="Times New Roman"/>
                <w:sz w:val="20"/>
                <w:szCs w:val="20"/>
              </w:rPr>
              <w:t>1)perkančiosios organizacijos – perkančiosios organizacijos, apibrėžtos Direktyvos 2014/24/ES 2 straipsnio 1 dalies 1 punkte ir Direktyvos 2014/25/ES 3 straipsnyje;</w:t>
            </w:r>
          </w:p>
          <w:p w14:paraId="43C5470A" w14:textId="77777777" w:rsidR="001021CE" w:rsidRPr="00AA5C14" w:rsidRDefault="001021CE" w:rsidP="001021CE">
            <w:pPr>
              <w:rPr>
                <w:rFonts w:cs="Times New Roman"/>
                <w:sz w:val="20"/>
                <w:szCs w:val="20"/>
              </w:rPr>
            </w:pPr>
            <w:r w:rsidRPr="00AA5C14">
              <w:rPr>
                <w:rFonts w:cs="Times New Roman"/>
                <w:sz w:val="20"/>
                <w:szCs w:val="20"/>
              </w:rPr>
              <w:t>2)perkantieji subjektai – perkantieji subjektai, kaip nurodyta Direktyvos 2014/25/ES 4 straipsnyje;</w:t>
            </w:r>
          </w:p>
          <w:p w14:paraId="02432620" w14:textId="77777777" w:rsidR="001021CE" w:rsidRPr="00AA5C14" w:rsidRDefault="001021CE" w:rsidP="001021CE">
            <w:pPr>
              <w:rPr>
                <w:rFonts w:cs="Times New Roman"/>
                <w:sz w:val="20"/>
                <w:szCs w:val="20"/>
              </w:rPr>
            </w:pPr>
            <w:r w:rsidRPr="00AA5C14">
              <w:rPr>
                <w:rFonts w:cs="Times New Roman"/>
                <w:sz w:val="20"/>
                <w:szCs w:val="20"/>
              </w:rPr>
              <w:t>3)kelių transporto priemonė – M arba N kategorijos transporto priemonė, apibrėžta Reglamento (ES) 2018/858 4 straipsnio 1 dalies a ir b punktuose;</w:t>
            </w:r>
          </w:p>
          <w:p w14:paraId="651A44C8" w14:textId="77777777" w:rsidR="001021CE" w:rsidRPr="00AA5C14" w:rsidRDefault="001021CE" w:rsidP="001021CE">
            <w:pPr>
              <w:rPr>
                <w:rFonts w:cs="Times New Roman"/>
                <w:sz w:val="20"/>
                <w:szCs w:val="20"/>
              </w:rPr>
            </w:pPr>
            <w:r w:rsidRPr="00AA5C14">
              <w:rPr>
                <w:rFonts w:cs="Times New Roman"/>
                <w:sz w:val="20"/>
                <w:szCs w:val="20"/>
              </w:rPr>
              <w:t>4)netarši transporto priemonė:</w:t>
            </w:r>
          </w:p>
          <w:p w14:paraId="3BCD9E7A" w14:textId="77777777" w:rsidR="001021CE" w:rsidRPr="00AA5C14" w:rsidRDefault="001021CE" w:rsidP="001021CE">
            <w:pPr>
              <w:rPr>
                <w:rFonts w:cs="Times New Roman"/>
                <w:sz w:val="20"/>
                <w:szCs w:val="20"/>
              </w:rPr>
            </w:pPr>
            <w:r w:rsidRPr="00AA5C14">
              <w:rPr>
                <w:rFonts w:cs="Times New Roman"/>
                <w:sz w:val="20"/>
                <w:szCs w:val="20"/>
              </w:rPr>
              <w:t>a)M1, M2 arba N1 kategorijos transporto priemonė, kurios per išmetimo vamzdį išmetamo CO2 kiekis g/km ir realiomis važiavimo sąlygomis išmetamų teršalų kiekis nesiekia priedo 2 lentelėje nurodytos procentinės taikomų išmetamų teršalų normų dalies, arba</w:t>
            </w:r>
          </w:p>
          <w:p w14:paraId="5A45756D" w14:textId="77777777" w:rsidR="001021CE" w:rsidRPr="00AA5C14" w:rsidRDefault="001021CE" w:rsidP="001021CE">
            <w:pPr>
              <w:rPr>
                <w:rFonts w:cs="Times New Roman"/>
                <w:sz w:val="20"/>
                <w:szCs w:val="20"/>
              </w:rPr>
            </w:pPr>
            <w:r w:rsidRPr="00AA5C14">
              <w:rPr>
                <w:rFonts w:cs="Times New Roman"/>
                <w:sz w:val="20"/>
                <w:szCs w:val="20"/>
              </w:rPr>
              <w:t> </w:t>
            </w:r>
          </w:p>
          <w:p w14:paraId="35B6BEE6" w14:textId="77777777" w:rsidR="001021CE" w:rsidRPr="00AA5C14" w:rsidRDefault="001021CE" w:rsidP="001021CE">
            <w:pPr>
              <w:rPr>
                <w:rFonts w:cs="Times New Roman"/>
                <w:sz w:val="20"/>
                <w:szCs w:val="20"/>
              </w:rPr>
            </w:pPr>
            <w:r w:rsidRPr="00AA5C14">
              <w:rPr>
                <w:rFonts w:cs="Times New Roman"/>
                <w:sz w:val="20"/>
                <w:szCs w:val="20"/>
              </w:rPr>
              <w:t>b)M3, N2 arba N3 kategorijos transporto priemonė, naudojanti alternatyviuosius degalus, kaip apibrėžta Europos Parlamento ir Tarybos direktyvos 2014/94/ES* 2 straipsnio 1 ir 2 punktuose, išskyrus degalus, pagamintus iš didelę netiesioginio žemės naudojimo keitimo riziką keliančių pradinių žaliavų, kurių atveju stebima reikšminga jų auginimo teritorijos plėtra užimant žemės, kurioje yra didelių anglies sankaupų, plotus pagal Europos Parlamento ir Tarybos direktyvos (ES) 2018/2001** 26 straipsnį. Jei transporto priemonėse naudojami skystieji biodegalai, sintetiniai ir parafininiai degalai, tie degalai nemaišomi su tradiciniu iškastiniu kuru;</w:t>
            </w:r>
          </w:p>
          <w:p w14:paraId="0ACCD7C7" w14:textId="3EC65166" w:rsidR="001021CE" w:rsidRPr="000F776E" w:rsidRDefault="001021CE" w:rsidP="001021CE">
            <w:pPr>
              <w:rPr>
                <w:rFonts w:eastAsia="Times New Roman" w:cs="Times New Roman"/>
                <w:color w:val="000000"/>
              </w:rPr>
            </w:pPr>
            <w:r w:rsidRPr="00AA5C14">
              <w:rPr>
                <w:rFonts w:cs="Times New Roman"/>
                <w:sz w:val="20"/>
                <w:szCs w:val="20"/>
              </w:rPr>
              <w:t>5)nulinės taršos sunkioji transporto priemonė – netarši transporto priemonė, apibrėžta šios direktyvos 4 straipsnio 4 dalies b punkte, be vidaus degimo variklio arba su vidaus degimo varikliu, išmetančiu mažiau negu 1 g CO2/kWh, kaip išmatuota pagal Europos Parlamento ir Tarybos reglamentą (EB) Nr. 595/2009*** ir jo įgyvendinimo priemones, arba išmetančiu mažiau negu 1 g CO2/km, kaip išmatuota pagal Europos Parlamento ir Tarybos reglamentą (EB) Nr. 715/2007**** ir jo įgyvendinimo priemones.</w:t>
            </w:r>
          </w:p>
        </w:tc>
        <w:tc>
          <w:tcPr>
            <w:tcW w:w="6095" w:type="dxa"/>
          </w:tcPr>
          <w:p w14:paraId="3F3F12B2" w14:textId="77777777" w:rsidR="00E44B38" w:rsidRPr="006121E9" w:rsidRDefault="00E44B38" w:rsidP="00E44B38">
            <w:pPr>
              <w:pStyle w:val="doc-ti"/>
              <w:spacing w:before="0" w:after="0"/>
              <w:jc w:val="both"/>
              <w:rPr>
                <w:sz w:val="20"/>
                <w:szCs w:val="20"/>
              </w:rPr>
            </w:pPr>
            <w:r w:rsidRPr="006121E9">
              <w:rPr>
                <w:sz w:val="20"/>
                <w:szCs w:val="20"/>
              </w:rPr>
              <w:t>Lietuvos Respublikos alternatyviųjų degalų įstatymo projektas</w:t>
            </w:r>
          </w:p>
          <w:p w14:paraId="7AE80B64" w14:textId="1BE23392" w:rsidR="00E44B38" w:rsidRPr="006121E9" w:rsidRDefault="00E44B38" w:rsidP="00E44B38">
            <w:pPr>
              <w:tabs>
                <w:tab w:val="left" w:pos="1134"/>
              </w:tabs>
              <w:rPr>
                <w:rFonts w:cs="Times New Roman"/>
                <w:b/>
                <w:sz w:val="20"/>
                <w:szCs w:val="20"/>
              </w:rPr>
            </w:pPr>
            <w:bookmarkStart w:id="0" w:name="_Hlk17962064"/>
            <w:r w:rsidRPr="006121E9">
              <w:rPr>
                <w:rFonts w:cs="Times New Roman"/>
                <w:b/>
                <w:sz w:val="20"/>
                <w:szCs w:val="20"/>
              </w:rPr>
              <w:t>2 straipsnis. Pagrindinės šio įstatymo sąvokos</w:t>
            </w:r>
            <w:bookmarkEnd w:id="0"/>
          </w:p>
          <w:p w14:paraId="4FE12328" w14:textId="497F9124" w:rsidR="00E44B38" w:rsidRPr="006121E9" w:rsidRDefault="00E44B38" w:rsidP="00E44B38">
            <w:pPr>
              <w:tabs>
                <w:tab w:val="left" w:pos="1134"/>
              </w:tabs>
              <w:rPr>
                <w:rFonts w:cs="Times New Roman"/>
                <w:b/>
                <w:sz w:val="20"/>
                <w:szCs w:val="20"/>
              </w:rPr>
            </w:pPr>
            <w:r w:rsidRPr="006121E9">
              <w:rPr>
                <w:rFonts w:cs="Times New Roman"/>
                <w:b/>
                <w:sz w:val="20"/>
                <w:szCs w:val="20"/>
              </w:rPr>
              <w:t>&lt;...&gt;</w:t>
            </w:r>
          </w:p>
          <w:p w14:paraId="02C9EA29" w14:textId="77777777" w:rsidR="007A2B52" w:rsidRPr="007A2B52" w:rsidRDefault="007A2B52" w:rsidP="007A2B52">
            <w:pPr>
              <w:tabs>
                <w:tab w:val="left" w:pos="851"/>
                <w:tab w:val="left" w:pos="1134"/>
              </w:tabs>
              <w:rPr>
                <w:rFonts w:cs="Times New Roman"/>
                <w:b/>
                <w:bCs/>
                <w:sz w:val="20"/>
                <w:szCs w:val="20"/>
              </w:rPr>
            </w:pPr>
            <w:r w:rsidRPr="007A2B52">
              <w:rPr>
                <w:rFonts w:cs="Times New Roman"/>
                <w:b/>
                <w:bCs/>
                <w:sz w:val="20"/>
                <w:szCs w:val="20"/>
              </w:rPr>
              <w:t xml:space="preserve">Netarši transporto priemonė – </w:t>
            </w:r>
            <w:r w:rsidRPr="007A2B52">
              <w:rPr>
                <w:rFonts w:cs="Times New Roman"/>
                <w:sz w:val="20"/>
                <w:szCs w:val="20"/>
              </w:rPr>
              <w:t>M1, M2 arba N1 kategorijos transporto priemonė, kurios išmetamo CO₂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 o nuo 2026 m. sausio 1 d. – M1, M2 arba N1 kategorijos transporto priemonė, kurios išmetamo CO₂ kiekis yra lygus 0 g/km, arba M3, N2, arba N3 kategorijos transporto priemonė, naudojanti alternatyviuosius degalus, išskyrus skystųjų biodegalų ir mineralinių degalų mišinius.</w:t>
            </w:r>
            <w:r w:rsidRPr="007A2B52">
              <w:rPr>
                <w:rFonts w:cs="Times New Roman"/>
                <w:b/>
                <w:bCs/>
                <w:sz w:val="20"/>
                <w:szCs w:val="20"/>
              </w:rPr>
              <w:t xml:space="preserve"> </w:t>
            </w:r>
          </w:p>
          <w:p w14:paraId="69C7BEA7" w14:textId="2F03D2D6" w:rsidR="008D00FC" w:rsidRPr="008D00FC" w:rsidRDefault="008D00FC" w:rsidP="008D00FC">
            <w:pPr>
              <w:spacing w:after="160" w:line="259" w:lineRule="auto"/>
              <w:rPr>
                <w:rFonts w:eastAsia="Calibri" w:cs="Times New Roman"/>
                <w:b/>
                <w:bCs/>
                <w:sz w:val="20"/>
                <w:szCs w:val="20"/>
              </w:rPr>
            </w:pPr>
            <w:r w:rsidRPr="008D00FC">
              <w:rPr>
                <w:rFonts w:eastAsia="Calibri" w:cs="Times New Roman"/>
                <w:b/>
                <w:bCs/>
                <w:sz w:val="20"/>
                <w:szCs w:val="20"/>
              </w:rPr>
              <w:t xml:space="preserve">Visai netarši transporto priemonė – </w:t>
            </w:r>
            <w:r w:rsidRPr="008D00FC">
              <w:rPr>
                <w:rFonts w:eastAsia="Calibri" w:cs="Times New Roman"/>
                <w:sz w:val="20"/>
                <w:szCs w:val="20"/>
              </w:rPr>
              <w:t>netarši transporto priemonė be vidaus degimo variklio arba su vidaus degimo varikliu</w:t>
            </w:r>
            <w:commentRangeStart w:id="1"/>
            <w:r w:rsidRPr="008D00FC">
              <w:rPr>
                <w:rFonts w:eastAsia="Calibri" w:cs="Times New Roman"/>
                <w:sz w:val="20"/>
                <w:szCs w:val="20"/>
              </w:rPr>
              <w:t>, išmetančiu anglies dioksido (CO₂) mažiau kaip 1 g/km arba mažiau kaip 1 g/kWh.</w:t>
            </w:r>
            <w:commentRangeEnd w:id="1"/>
            <w:r w:rsidRPr="008D00FC">
              <w:rPr>
                <w:rFonts w:eastAsia="Calibri" w:cs="Times New Roman"/>
                <w:sz w:val="20"/>
                <w:szCs w:val="20"/>
              </w:rPr>
              <w:commentReference w:id="1"/>
            </w:r>
          </w:p>
          <w:p w14:paraId="032B54B2" w14:textId="1DC12434" w:rsidR="00E44B38" w:rsidRPr="006121E9" w:rsidRDefault="00E44B38" w:rsidP="00E44B38">
            <w:pPr>
              <w:pStyle w:val="ListParagraph"/>
              <w:tabs>
                <w:tab w:val="left" w:pos="496"/>
                <w:tab w:val="left" w:pos="851"/>
                <w:tab w:val="left" w:pos="993"/>
                <w:tab w:val="left" w:pos="1134"/>
              </w:tabs>
              <w:ind w:left="70"/>
              <w:contextualSpacing w:val="0"/>
              <w:rPr>
                <w:rFonts w:cs="Times New Roman"/>
                <w:sz w:val="20"/>
                <w:szCs w:val="20"/>
              </w:rPr>
            </w:pPr>
            <w:r w:rsidRPr="006121E9">
              <w:rPr>
                <w:rFonts w:cs="Times New Roman"/>
                <w:b/>
                <w:bCs/>
                <w:sz w:val="20"/>
                <w:szCs w:val="20"/>
              </w:rPr>
              <w:t>&lt;</w:t>
            </w:r>
            <w:r w:rsidRPr="006121E9">
              <w:rPr>
                <w:rFonts w:cs="Times New Roman"/>
                <w:sz w:val="20"/>
                <w:szCs w:val="20"/>
              </w:rPr>
              <w:t>...&gt;</w:t>
            </w:r>
          </w:p>
          <w:p w14:paraId="3DEFF0DD" w14:textId="77777777" w:rsidR="00E44B38" w:rsidRPr="006121E9" w:rsidRDefault="00E44B38" w:rsidP="00E44B38">
            <w:pPr>
              <w:tabs>
                <w:tab w:val="left" w:pos="1134"/>
              </w:tabs>
              <w:rPr>
                <w:rFonts w:cs="Times New Roman"/>
                <w:b/>
                <w:sz w:val="20"/>
                <w:szCs w:val="20"/>
              </w:rPr>
            </w:pPr>
          </w:p>
          <w:p w14:paraId="18D8F507" w14:textId="7C5A401A" w:rsidR="00E44B38" w:rsidRPr="006121E9" w:rsidRDefault="00E44B38" w:rsidP="00E44B38">
            <w:pPr>
              <w:rPr>
                <w:rFonts w:cs="Times New Roman"/>
                <w:noProof/>
                <w:sz w:val="20"/>
                <w:szCs w:val="20"/>
                <w:lang w:eastAsia="lt-LT"/>
              </w:rPr>
            </w:pPr>
          </w:p>
        </w:tc>
        <w:tc>
          <w:tcPr>
            <w:tcW w:w="2552" w:type="dxa"/>
          </w:tcPr>
          <w:p w14:paraId="563CCE0E" w14:textId="21497C72" w:rsidR="001021CE" w:rsidRPr="00EE0CAA" w:rsidRDefault="00E44B38" w:rsidP="001021CE">
            <w:pPr>
              <w:ind w:left="34"/>
              <w:jc w:val="left"/>
              <w:rPr>
                <w:rFonts w:eastAsia="Times New Roman" w:cs="Times New Roman"/>
                <w:color w:val="000000"/>
                <w:sz w:val="20"/>
                <w:szCs w:val="20"/>
              </w:rPr>
            </w:pPr>
            <w:r w:rsidRPr="00EE0CAA">
              <w:rPr>
                <w:rFonts w:eastAsia="Times New Roman" w:cs="Times New Roman"/>
                <w:color w:val="000000"/>
                <w:sz w:val="20"/>
                <w:szCs w:val="20"/>
              </w:rPr>
              <w:t>Dalinis</w:t>
            </w:r>
          </w:p>
          <w:p w14:paraId="75B9D7FC" w14:textId="77777777" w:rsidR="001021CE" w:rsidRPr="00EE0CAA" w:rsidRDefault="001021CE" w:rsidP="001021CE">
            <w:pPr>
              <w:ind w:left="34"/>
              <w:jc w:val="left"/>
              <w:rPr>
                <w:rFonts w:eastAsia="Times New Roman" w:cs="Times New Roman"/>
                <w:color w:val="000000"/>
                <w:sz w:val="20"/>
                <w:szCs w:val="20"/>
              </w:rPr>
            </w:pPr>
          </w:p>
          <w:p w14:paraId="759FC3C6" w14:textId="77777777" w:rsidR="001021CE" w:rsidRPr="00EE0CAA" w:rsidRDefault="001021CE" w:rsidP="001021CE">
            <w:pPr>
              <w:ind w:left="34"/>
              <w:jc w:val="left"/>
              <w:rPr>
                <w:rFonts w:eastAsia="Times New Roman" w:cs="Times New Roman"/>
                <w:color w:val="000000"/>
                <w:sz w:val="20"/>
                <w:szCs w:val="20"/>
              </w:rPr>
            </w:pPr>
          </w:p>
          <w:p w14:paraId="0D266C0F" w14:textId="77777777" w:rsidR="001021CE" w:rsidRPr="00EE0CAA" w:rsidRDefault="001021CE" w:rsidP="001021CE">
            <w:pPr>
              <w:ind w:left="34"/>
              <w:jc w:val="left"/>
              <w:rPr>
                <w:rFonts w:eastAsia="Times New Roman" w:cs="Times New Roman"/>
                <w:color w:val="000000"/>
                <w:sz w:val="20"/>
                <w:szCs w:val="20"/>
              </w:rPr>
            </w:pPr>
          </w:p>
          <w:p w14:paraId="160C28EF" w14:textId="77777777" w:rsidR="001021CE" w:rsidRPr="00EE0CAA" w:rsidRDefault="001021CE" w:rsidP="001021CE">
            <w:pPr>
              <w:ind w:left="34"/>
              <w:jc w:val="left"/>
              <w:rPr>
                <w:rFonts w:eastAsia="Times New Roman" w:cs="Times New Roman"/>
                <w:color w:val="000000"/>
                <w:sz w:val="20"/>
                <w:szCs w:val="20"/>
              </w:rPr>
            </w:pPr>
          </w:p>
          <w:p w14:paraId="6B8B161D" w14:textId="77777777" w:rsidR="001021CE" w:rsidRPr="00EE0CAA" w:rsidRDefault="001021CE" w:rsidP="001021CE">
            <w:pPr>
              <w:ind w:left="34"/>
              <w:jc w:val="left"/>
              <w:rPr>
                <w:rFonts w:eastAsia="Times New Roman" w:cs="Times New Roman"/>
                <w:color w:val="000000"/>
                <w:sz w:val="20"/>
                <w:szCs w:val="20"/>
              </w:rPr>
            </w:pPr>
          </w:p>
          <w:p w14:paraId="51DC46B4" w14:textId="77777777" w:rsidR="001021CE" w:rsidRPr="00EE0CAA" w:rsidRDefault="001021CE" w:rsidP="001021CE">
            <w:pPr>
              <w:ind w:left="34"/>
              <w:jc w:val="left"/>
              <w:rPr>
                <w:rFonts w:eastAsia="Times New Roman" w:cs="Times New Roman"/>
                <w:color w:val="000000"/>
                <w:sz w:val="20"/>
                <w:szCs w:val="20"/>
              </w:rPr>
            </w:pPr>
          </w:p>
          <w:p w14:paraId="0A913E16" w14:textId="77777777" w:rsidR="001021CE" w:rsidRPr="00EE0CAA" w:rsidRDefault="001021CE" w:rsidP="001021CE">
            <w:pPr>
              <w:ind w:left="34"/>
              <w:jc w:val="left"/>
              <w:rPr>
                <w:rFonts w:eastAsia="Times New Roman" w:cs="Times New Roman"/>
                <w:color w:val="000000"/>
                <w:sz w:val="20"/>
                <w:szCs w:val="20"/>
              </w:rPr>
            </w:pPr>
          </w:p>
          <w:p w14:paraId="01078B8B" w14:textId="77777777" w:rsidR="001021CE" w:rsidRPr="00EE0CAA" w:rsidRDefault="001021CE" w:rsidP="001021CE">
            <w:pPr>
              <w:ind w:left="34"/>
              <w:jc w:val="left"/>
              <w:rPr>
                <w:rFonts w:eastAsia="Times New Roman" w:cs="Times New Roman"/>
                <w:color w:val="000000"/>
                <w:sz w:val="20"/>
                <w:szCs w:val="20"/>
              </w:rPr>
            </w:pPr>
          </w:p>
        </w:tc>
      </w:tr>
      <w:tr w:rsidR="001021CE" w:rsidRPr="00C73B34" w14:paraId="0E7A65B5" w14:textId="77777777" w:rsidTr="001021CE">
        <w:trPr>
          <w:trHeight w:val="1130"/>
        </w:trPr>
        <w:tc>
          <w:tcPr>
            <w:tcW w:w="7088" w:type="dxa"/>
            <w:shd w:val="clear" w:color="auto" w:fill="auto"/>
          </w:tcPr>
          <w:p w14:paraId="2E27CD41" w14:textId="77777777" w:rsidR="001021CE" w:rsidRPr="001021CE" w:rsidRDefault="001021CE" w:rsidP="001021CE">
            <w:pPr>
              <w:rPr>
                <w:rFonts w:cs="Times New Roman"/>
                <w:b/>
                <w:sz w:val="20"/>
                <w:szCs w:val="20"/>
              </w:rPr>
            </w:pPr>
            <w:r w:rsidRPr="001021CE">
              <w:rPr>
                <w:rFonts w:cs="Times New Roman"/>
                <w:b/>
                <w:sz w:val="20"/>
                <w:szCs w:val="20"/>
              </w:rPr>
              <w:t>5 straipsnis</w:t>
            </w:r>
          </w:p>
          <w:p w14:paraId="47F9F601" w14:textId="77777777" w:rsidR="001021CE" w:rsidRPr="001021CE" w:rsidRDefault="001021CE" w:rsidP="001021CE">
            <w:pPr>
              <w:rPr>
                <w:rFonts w:cs="Times New Roman"/>
                <w:b/>
                <w:sz w:val="20"/>
                <w:szCs w:val="20"/>
              </w:rPr>
            </w:pPr>
            <w:r w:rsidRPr="001021CE">
              <w:rPr>
                <w:rFonts w:cs="Times New Roman"/>
                <w:b/>
                <w:sz w:val="20"/>
                <w:szCs w:val="20"/>
              </w:rPr>
              <w:t>Būtinieji viešojo pirkimo tikslai</w:t>
            </w:r>
          </w:p>
          <w:p w14:paraId="5B5F5177" w14:textId="77777777" w:rsidR="001021CE" w:rsidRPr="001021CE" w:rsidRDefault="001021CE" w:rsidP="001021CE">
            <w:pPr>
              <w:rPr>
                <w:rFonts w:cs="Times New Roman"/>
                <w:sz w:val="20"/>
                <w:szCs w:val="20"/>
              </w:rPr>
            </w:pPr>
            <w:r w:rsidRPr="001021CE">
              <w:rPr>
                <w:rFonts w:cs="Times New Roman"/>
                <w:sz w:val="20"/>
                <w:szCs w:val="20"/>
              </w:rPr>
              <w:t xml:space="preserve">1.Valstybės narės užtikrina, kad 3 straipsnyje nurodytas transporto priemonių ir paslaugų viešasis pirkimas atitiktų priedo 3 lentelėje nurodytus netaršių lengvųjų transporto priemonių ir priedo 4 lentelėje nurodytų netaršių sunkiųjų transporto priemonių būtinuosius viešojo pirkimo tikslus. Tie tikslai yra išreikšti mažiausiomis procentinėmis dalimis, kurias sudaro netaršios transporto priemonės, palyginti su bendru kelių transporto priemonių, įsigytų pagal visas 3 straipsnyje nurodytas sutartis, sudarytas nuo ... [diena, einanti po dienos, kurią sueina 24 mėnesiai po šios iš dalies keičiančios direktyvos įsigaliojimo dienos] iki 2025 m. gruodžio 31 d. pirmuoju </w:t>
            </w:r>
            <w:r w:rsidRPr="001021CE">
              <w:rPr>
                <w:rFonts w:cs="Times New Roman"/>
                <w:sz w:val="20"/>
                <w:szCs w:val="20"/>
              </w:rPr>
              <w:lastRenderedPageBreak/>
              <w:t>ataskaitiniu laikotarpiu ir nuo 2026 m. sausio 1 d. iki 2030 m. gruodžio 31 d. antruoju ataskaitiniu laikotarpiu, skaičiumi.</w:t>
            </w:r>
          </w:p>
          <w:p w14:paraId="72C5188C" w14:textId="77777777" w:rsidR="001021CE" w:rsidRPr="001021CE" w:rsidRDefault="001021CE" w:rsidP="001021CE">
            <w:pPr>
              <w:rPr>
                <w:rFonts w:cs="Times New Roman"/>
                <w:sz w:val="20"/>
                <w:szCs w:val="20"/>
              </w:rPr>
            </w:pPr>
            <w:r w:rsidRPr="001021CE">
              <w:rPr>
                <w:rFonts w:cs="Times New Roman"/>
                <w:sz w:val="20"/>
                <w:szCs w:val="20"/>
              </w:rPr>
              <w:t>2.Apskaičiuojant būtinuosius viešojo pirkimo tikslus, viešojo pirkimo data, į kurią reikia atsižvelgti, – tai viešojo pirkimo procedūros užbaigimo sudarant sutartį data.</w:t>
            </w:r>
          </w:p>
          <w:p w14:paraId="0E4B964B" w14:textId="77777777" w:rsidR="001021CE" w:rsidRPr="001021CE" w:rsidRDefault="001021CE" w:rsidP="001021CE">
            <w:pPr>
              <w:rPr>
                <w:rFonts w:cs="Times New Roman"/>
                <w:sz w:val="20"/>
                <w:szCs w:val="20"/>
              </w:rPr>
            </w:pPr>
            <w:r w:rsidRPr="001021CE">
              <w:rPr>
                <w:rFonts w:cs="Times New Roman"/>
                <w:sz w:val="20"/>
                <w:szCs w:val="20"/>
              </w:rPr>
              <w:t>3.Transporto priemonės, atitinkančios netaršios transporto priemonės apibrėžtį pagal 4 straipsnio 4 dalį arba nulinės taršos sunkiosios transporto priemonės apibrėžtį pagal 4 straipsnio 5 dalį po modifikavimo, gali atitinkamai būti laikomos netaršiomis transporto priemonėmis arba nulinės taršos sunkiosiomis transporto priemonėmis, siekiant užtikrinti atitiktį būtiniesiems viešojo pirkimo tikslams.</w:t>
            </w:r>
          </w:p>
          <w:p w14:paraId="04D17039" w14:textId="77777777" w:rsidR="001021CE" w:rsidRPr="001021CE" w:rsidRDefault="001021CE" w:rsidP="001021CE">
            <w:pPr>
              <w:rPr>
                <w:rFonts w:cs="Times New Roman"/>
                <w:sz w:val="20"/>
                <w:szCs w:val="20"/>
              </w:rPr>
            </w:pPr>
            <w:r w:rsidRPr="001021CE">
              <w:rPr>
                <w:rFonts w:cs="Times New Roman"/>
                <w:sz w:val="20"/>
                <w:szCs w:val="20"/>
              </w:rPr>
              <w:t>4.3 straipsnio 1 dalies a punkte nurodytų sutarčių atveju, siekiant įvertinti, kaip laikomasi nustatytų būtinųjų viešojo pirkimo tikslų, atsižvelgiama į pagal kiekvieną sutartį nupirktų, lizingo būdu įsigytų, išsinuomotų arba išperkamosios nuomos būdu įsigytų kelių transporto priemonių skaičių.</w:t>
            </w:r>
          </w:p>
          <w:p w14:paraId="71CAFE4A" w14:textId="77777777" w:rsidR="001021CE" w:rsidRPr="001021CE" w:rsidRDefault="001021CE" w:rsidP="001021CE">
            <w:pPr>
              <w:rPr>
                <w:rFonts w:cs="Times New Roman"/>
                <w:sz w:val="20"/>
                <w:szCs w:val="20"/>
              </w:rPr>
            </w:pPr>
            <w:r w:rsidRPr="001021CE">
              <w:rPr>
                <w:rFonts w:cs="Times New Roman"/>
                <w:sz w:val="20"/>
                <w:szCs w:val="20"/>
              </w:rPr>
              <w:t>5.3 straipsnio 1 dalies b ir c punktuose nurodytų sutarčių atveju, siekiant įvertinti, kaip laikomasi nustatytų būtinųjų viešojo pirkimo tikslų, atsižvelgiama į kelių transporto priemonių, kurios bus naudojamos paslaugoms pagal kiekvieną sutartį teikti, skaičių.</w:t>
            </w:r>
          </w:p>
          <w:p w14:paraId="138A56F2" w14:textId="77777777" w:rsidR="001021CE" w:rsidRPr="001021CE" w:rsidRDefault="001021CE" w:rsidP="001021CE">
            <w:pPr>
              <w:rPr>
                <w:rFonts w:cs="Times New Roman"/>
                <w:sz w:val="20"/>
                <w:szCs w:val="20"/>
              </w:rPr>
            </w:pPr>
            <w:r w:rsidRPr="001021CE">
              <w:rPr>
                <w:rFonts w:cs="Times New Roman"/>
                <w:sz w:val="20"/>
                <w:szCs w:val="20"/>
              </w:rPr>
              <w:t>6.Jei nauji ataskaitinio laikotarpio po 2030 m. sausio 1 d. tikslai nepriimami, toliau taikomi antruoju ataskaitiniu laikotarpiu nustatyti tikslai ir jie apskaičiuojami pagal 1–5 dalis vėlesniais penkerių metų laikotarpiais.</w:t>
            </w:r>
          </w:p>
          <w:p w14:paraId="0315713E" w14:textId="3D363158" w:rsidR="001021CE" w:rsidRPr="001021CE" w:rsidRDefault="001021CE" w:rsidP="001021CE">
            <w:pPr>
              <w:rPr>
                <w:rFonts w:eastAsia="Times New Roman" w:cs="Times New Roman"/>
              </w:rPr>
            </w:pPr>
            <w:r w:rsidRPr="001021CE">
              <w:rPr>
                <w:rFonts w:cs="Times New Roman"/>
                <w:sz w:val="20"/>
                <w:szCs w:val="20"/>
              </w:rPr>
              <w:t>7.Valstybės narės gali taikyti arba leisti savo perkančiosioms organizacijoms ar perkantiesiems subjektams taikyti didesnius nei šios direktyvos priede nurodytuosius nacionalinius tikslus arba griežtesnius reikalavimus.“;</w:t>
            </w:r>
          </w:p>
        </w:tc>
        <w:tc>
          <w:tcPr>
            <w:tcW w:w="6095" w:type="dxa"/>
          </w:tcPr>
          <w:p w14:paraId="2C97D7B6" w14:textId="77777777" w:rsidR="00E44B38" w:rsidRPr="006121E9" w:rsidRDefault="00E44B38" w:rsidP="00E44B38">
            <w:pPr>
              <w:pStyle w:val="doc-ti"/>
              <w:spacing w:before="0" w:after="0"/>
              <w:jc w:val="both"/>
              <w:rPr>
                <w:sz w:val="20"/>
                <w:szCs w:val="20"/>
              </w:rPr>
            </w:pPr>
            <w:r w:rsidRPr="006121E9">
              <w:rPr>
                <w:sz w:val="20"/>
                <w:szCs w:val="20"/>
              </w:rPr>
              <w:lastRenderedPageBreak/>
              <w:t>Lietuvos Respublikos alternatyviųjų degalų įstatymo projektas</w:t>
            </w:r>
          </w:p>
          <w:p w14:paraId="583B1E1C" w14:textId="472D3817" w:rsidR="00E44B38" w:rsidRPr="006121E9" w:rsidRDefault="00E44B38" w:rsidP="00E44B38">
            <w:pPr>
              <w:tabs>
                <w:tab w:val="left" w:pos="0"/>
                <w:tab w:val="left" w:pos="212"/>
              </w:tabs>
              <w:rPr>
                <w:rFonts w:cs="Times New Roman"/>
                <w:b/>
                <w:sz w:val="20"/>
                <w:szCs w:val="20"/>
              </w:rPr>
            </w:pPr>
            <w:r w:rsidRPr="006121E9">
              <w:rPr>
                <w:rFonts w:cs="Times New Roman"/>
                <w:b/>
                <w:sz w:val="20"/>
                <w:szCs w:val="20"/>
              </w:rPr>
              <w:t>1</w:t>
            </w:r>
            <w:r w:rsidR="00D13125">
              <w:rPr>
                <w:rFonts w:cs="Times New Roman"/>
                <w:b/>
                <w:sz w:val="20"/>
                <w:szCs w:val="20"/>
              </w:rPr>
              <w:t>4</w:t>
            </w:r>
            <w:r w:rsidRPr="006121E9">
              <w:rPr>
                <w:rFonts w:cs="Times New Roman"/>
                <w:b/>
                <w:sz w:val="20"/>
                <w:szCs w:val="20"/>
              </w:rPr>
              <w:t xml:space="preserve"> straipsnis. Viešiesiems pirkimams keliami reikalavimai</w:t>
            </w:r>
          </w:p>
          <w:p w14:paraId="684BBB87" w14:textId="5218C96B" w:rsidR="001021CE" w:rsidRDefault="00E44B38" w:rsidP="001021CE">
            <w:pPr>
              <w:rPr>
                <w:rFonts w:eastAsia="Times New Roman" w:cs="Times New Roman"/>
                <w:color w:val="000000"/>
                <w:sz w:val="20"/>
                <w:szCs w:val="20"/>
              </w:rPr>
            </w:pPr>
            <w:r w:rsidRPr="006121E9">
              <w:rPr>
                <w:rFonts w:eastAsia="Times New Roman" w:cs="Times New Roman"/>
                <w:color w:val="000000"/>
                <w:sz w:val="20"/>
                <w:szCs w:val="20"/>
              </w:rPr>
              <w:t>&lt;...&gt;</w:t>
            </w:r>
          </w:p>
          <w:p w14:paraId="5EC2FAC8" w14:textId="587F69DB" w:rsidR="006D0427" w:rsidRPr="006D0427" w:rsidRDefault="006D0427" w:rsidP="006D0427">
            <w:pPr>
              <w:rPr>
                <w:rFonts w:eastAsia="Times New Roman" w:cs="Times New Roman"/>
                <w:color w:val="000000"/>
                <w:sz w:val="20"/>
                <w:szCs w:val="20"/>
              </w:rPr>
            </w:pPr>
            <w:r w:rsidRPr="006D0427">
              <w:rPr>
                <w:rFonts w:eastAsia="Times New Roman" w:cs="Times New Roman"/>
                <w:color w:val="000000"/>
                <w:sz w:val="20"/>
                <w:szCs w:val="20"/>
              </w:rPr>
              <w:t xml:space="preserve">Šio straipsnio 1 dalyje numatytais atvejais </w:t>
            </w:r>
            <w:r w:rsidR="009A24BE" w:rsidRPr="009A24BE">
              <w:rPr>
                <w:rFonts w:cs="Times New Roman"/>
                <w:bCs/>
                <w:sz w:val="20"/>
                <w:szCs w:val="20"/>
              </w:rPr>
              <w:t>pirmuoju ataskaitiniu laikotarpiu</w:t>
            </w:r>
            <w:r w:rsidR="009A24BE">
              <w:rPr>
                <w:rFonts w:cs="Times New Roman"/>
                <w:bCs/>
              </w:rPr>
              <w:t xml:space="preserve"> </w:t>
            </w:r>
            <w:r w:rsidRPr="006D0427">
              <w:rPr>
                <w:rFonts w:eastAsia="Times New Roman" w:cs="Times New Roman"/>
                <w:color w:val="000000"/>
                <w:sz w:val="20"/>
                <w:szCs w:val="20"/>
              </w:rPr>
              <w:t>iki 2025 m. gruodžio 31 d. atliekamiems viešiesiems pirkimams keliami reikalavimai išreiškiami procentinėmis dalimis, palyginti su bendru viešuosiuose pirkimuose įsigyjamu kelių transporto priemonių parku:</w:t>
            </w:r>
          </w:p>
          <w:p w14:paraId="791BACF6" w14:textId="75F6A86F" w:rsidR="006D0427" w:rsidRPr="006D0427" w:rsidRDefault="006D0427" w:rsidP="006D0427">
            <w:pPr>
              <w:rPr>
                <w:rFonts w:eastAsia="Times New Roman" w:cs="Times New Roman"/>
                <w:color w:val="000000"/>
                <w:sz w:val="20"/>
                <w:szCs w:val="20"/>
              </w:rPr>
            </w:pPr>
            <w:r w:rsidRPr="006D0427">
              <w:rPr>
                <w:rFonts w:eastAsia="Times New Roman" w:cs="Times New Roman"/>
                <w:color w:val="000000"/>
                <w:sz w:val="20"/>
                <w:szCs w:val="20"/>
              </w:rPr>
              <w:t xml:space="preserve">1)netaršių M1, M2 arba N1 kategorijos transporto priemonių kiekis, palyginti su bendru viešuosiuose pirkimuose įsigyjamu tos pačios </w:t>
            </w:r>
            <w:r w:rsidRPr="006D0427">
              <w:rPr>
                <w:rFonts w:eastAsia="Times New Roman" w:cs="Times New Roman"/>
                <w:color w:val="000000"/>
                <w:sz w:val="20"/>
                <w:szCs w:val="20"/>
              </w:rPr>
              <w:lastRenderedPageBreak/>
              <w:t xml:space="preserve">kategorijos kelių transporto priemonių kiekiu, turi sudaryti ne mažiau kaip 60 procentų; </w:t>
            </w:r>
          </w:p>
          <w:p w14:paraId="35C73F32" w14:textId="12A8B385" w:rsidR="006D0427" w:rsidRPr="006D0427" w:rsidRDefault="006D0427" w:rsidP="006D0427">
            <w:pPr>
              <w:rPr>
                <w:rFonts w:eastAsia="Times New Roman" w:cs="Times New Roman"/>
                <w:color w:val="000000"/>
                <w:sz w:val="20"/>
                <w:szCs w:val="20"/>
              </w:rPr>
            </w:pPr>
            <w:r w:rsidRPr="006D0427">
              <w:rPr>
                <w:rFonts w:eastAsia="Times New Roman" w:cs="Times New Roman"/>
                <w:color w:val="000000"/>
                <w:sz w:val="20"/>
                <w:szCs w:val="20"/>
              </w:rPr>
              <w:t>2)netaršių N2 ir N3 kategorijos transporto priemonių kiekis, palyginti su bendru viešuosiuose pirkimuose įsigyjamu tos pačios kategorijos kelių transporto priemonių kiekiu, turi sudaryti ne mažiau kaip 8 procentus;</w:t>
            </w:r>
          </w:p>
          <w:p w14:paraId="37D0354F" w14:textId="6CFBBF45" w:rsidR="006D0427" w:rsidRPr="006D0427" w:rsidRDefault="006D0427" w:rsidP="006D0427">
            <w:pPr>
              <w:rPr>
                <w:rFonts w:eastAsia="Times New Roman" w:cs="Times New Roman"/>
                <w:color w:val="000000"/>
                <w:sz w:val="20"/>
                <w:szCs w:val="20"/>
              </w:rPr>
            </w:pPr>
            <w:r w:rsidRPr="006D0427">
              <w:rPr>
                <w:rFonts w:eastAsia="Times New Roman" w:cs="Times New Roman"/>
                <w:color w:val="000000"/>
                <w:sz w:val="20"/>
                <w:szCs w:val="20"/>
              </w:rPr>
              <w:t xml:space="preserve">3)netaršių M3 kategorijos transporto priemonių kiekis, palyginti su bendru viešuosiuose pirkimuose įsigyjamu tos pačios kategorijos kelių transporto priemonių kiekiu, turi sudaryti ne mažiau kaip 80 procentų. </w:t>
            </w:r>
          </w:p>
          <w:p w14:paraId="4999F0DD" w14:textId="4BF7EF1E" w:rsidR="006D0427" w:rsidRPr="006D0427" w:rsidRDefault="006D0427" w:rsidP="006D0427">
            <w:pPr>
              <w:rPr>
                <w:rFonts w:eastAsia="Times New Roman" w:cs="Times New Roman"/>
                <w:color w:val="000000"/>
                <w:sz w:val="20"/>
                <w:szCs w:val="20"/>
              </w:rPr>
            </w:pPr>
            <w:r w:rsidRPr="006D0427">
              <w:rPr>
                <w:rFonts w:eastAsia="Times New Roman" w:cs="Times New Roman"/>
                <w:color w:val="000000"/>
                <w:sz w:val="20"/>
                <w:szCs w:val="20"/>
              </w:rPr>
              <w:t>4.Šio straipsnio 1 dalyje numatytais atvejais</w:t>
            </w:r>
            <w:r w:rsidR="002E1A5D">
              <w:rPr>
                <w:rFonts w:eastAsia="Times New Roman" w:cs="Times New Roman"/>
                <w:color w:val="000000"/>
                <w:sz w:val="20"/>
                <w:szCs w:val="20"/>
              </w:rPr>
              <w:t xml:space="preserve"> </w:t>
            </w:r>
            <w:r w:rsidR="002E1A5D" w:rsidRPr="002E1A5D">
              <w:rPr>
                <w:rFonts w:eastAsia="Times New Roman" w:cs="Times New Roman"/>
                <w:color w:val="000000"/>
                <w:sz w:val="20"/>
                <w:szCs w:val="20"/>
              </w:rPr>
              <w:t>antruoju ataskaitiniu</w:t>
            </w:r>
            <w:r w:rsidRPr="006D0427">
              <w:rPr>
                <w:rFonts w:eastAsia="Times New Roman" w:cs="Times New Roman"/>
                <w:color w:val="000000"/>
                <w:sz w:val="20"/>
                <w:szCs w:val="20"/>
              </w:rPr>
              <w:t xml:space="preserve"> iki 2030 m. gruodžio 31 d. atliekamiems viešiesiems pirkimams keliami reikalavimai išreiškiami procentinėmis dalimis, palyginti su bendru viešuosiuose pirkimuose įsigyjamu kelių transporto priemonių parku:</w:t>
            </w:r>
          </w:p>
          <w:p w14:paraId="31BA2DF8" w14:textId="54030A9C" w:rsidR="006D0427" w:rsidRPr="006D0427" w:rsidRDefault="006D0427" w:rsidP="006D0427">
            <w:pPr>
              <w:rPr>
                <w:rFonts w:eastAsia="Times New Roman" w:cs="Times New Roman"/>
                <w:color w:val="000000"/>
                <w:sz w:val="20"/>
                <w:szCs w:val="20"/>
              </w:rPr>
            </w:pPr>
            <w:r w:rsidRPr="006D0427">
              <w:rPr>
                <w:rFonts w:eastAsia="Times New Roman" w:cs="Times New Roman"/>
                <w:color w:val="000000"/>
                <w:sz w:val="20"/>
                <w:szCs w:val="20"/>
              </w:rPr>
              <w:t>1)netaršių M1, M2 arba N1 kategorijos transporto priemonių kiekis, palyginti su bendru viešuosiuose pirkimuose įsigyjamu tos pačios kategorijos kelių transporto priemonių kiekiu, turi sudaryti 100 procentų;</w:t>
            </w:r>
          </w:p>
          <w:p w14:paraId="4E825B35" w14:textId="13BADC24" w:rsidR="006D0427" w:rsidRPr="006D0427" w:rsidRDefault="006D0427" w:rsidP="006D0427">
            <w:pPr>
              <w:rPr>
                <w:rFonts w:eastAsia="Times New Roman" w:cs="Times New Roman"/>
                <w:color w:val="000000"/>
                <w:sz w:val="20"/>
                <w:szCs w:val="20"/>
              </w:rPr>
            </w:pPr>
            <w:r w:rsidRPr="006D0427">
              <w:rPr>
                <w:rFonts w:eastAsia="Times New Roman" w:cs="Times New Roman"/>
                <w:color w:val="000000"/>
                <w:sz w:val="20"/>
                <w:szCs w:val="20"/>
              </w:rPr>
              <w:t xml:space="preserve">2)netaršių N2 ir N3 kategorijos transporto priemonių kiekis, palyginti su bendru viešuosiuose pirkimuose įsigyjamu tos pačios kategorijos kelių transporto priemonių kiekiu, turi sudaryti ne mažiau kaip 16 procentų; </w:t>
            </w:r>
          </w:p>
          <w:p w14:paraId="79F1F178" w14:textId="029BFFEA" w:rsidR="006D0427" w:rsidRPr="006D0427" w:rsidRDefault="006D0427" w:rsidP="006D0427">
            <w:pPr>
              <w:rPr>
                <w:rFonts w:eastAsia="Times New Roman" w:cs="Times New Roman"/>
                <w:color w:val="000000"/>
                <w:sz w:val="20"/>
                <w:szCs w:val="20"/>
              </w:rPr>
            </w:pPr>
            <w:r w:rsidRPr="006D0427">
              <w:rPr>
                <w:rFonts w:eastAsia="Times New Roman" w:cs="Times New Roman"/>
                <w:color w:val="000000"/>
                <w:sz w:val="20"/>
                <w:szCs w:val="20"/>
              </w:rPr>
              <w:t xml:space="preserve">3)netaršių M3 kategorijos transporto priemonių kiekis, palyginti su bendru viešuosiuose pirkimuose įsigyjamu tos pačios kategorijos kelių transporto priemonių kiekiu, turi sudaryti 100 procentų.  </w:t>
            </w:r>
          </w:p>
          <w:p w14:paraId="1BF3DDAC" w14:textId="4352526E" w:rsidR="006D0427" w:rsidRDefault="006D0427" w:rsidP="006D0427">
            <w:pPr>
              <w:rPr>
                <w:rFonts w:eastAsia="Times New Roman" w:cs="Times New Roman"/>
                <w:color w:val="000000"/>
                <w:sz w:val="20"/>
                <w:szCs w:val="20"/>
              </w:rPr>
            </w:pPr>
            <w:r w:rsidRPr="006D0427">
              <w:rPr>
                <w:rFonts w:eastAsia="Times New Roman" w:cs="Times New Roman"/>
                <w:color w:val="000000"/>
                <w:sz w:val="20"/>
                <w:szCs w:val="20"/>
              </w:rPr>
              <w:t>5.Kai atliekami netaršių M3 kategorijos transporto priemonių viešieji pirkimai, perkančioji organizacija turi užtikrinti, kad ne mažiau kaip 50 procentų atliktų viešųjų pirkimų būtų atlikti įsigyjant visai netaršias M3 kategorijos transporto priemones.</w:t>
            </w:r>
          </w:p>
          <w:p w14:paraId="7ACADBFB" w14:textId="77777777" w:rsidR="003B2563" w:rsidRPr="003B2563" w:rsidRDefault="003B2563" w:rsidP="003B2563">
            <w:pPr>
              <w:rPr>
                <w:rFonts w:eastAsia="Times New Roman" w:cs="Times New Roman"/>
                <w:bCs/>
                <w:color w:val="000000"/>
                <w:sz w:val="20"/>
                <w:szCs w:val="20"/>
              </w:rPr>
            </w:pPr>
            <w:r>
              <w:rPr>
                <w:rFonts w:eastAsia="Times New Roman" w:cs="Times New Roman"/>
                <w:color w:val="000000"/>
                <w:sz w:val="20"/>
                <w:szCs w:val="20"/>
              </w:rPr>
              <w:t xml:space="preserve">6. </w:t>
            </w:r>
            <w:r w:rsidRPr="003B2563">
              <w:rPr>
                <w:rFonts w:eastAsia="Times New Roman" w:cs="Times New Roman"/>
                <w:bCs/>
                <w:color w:val="000000"/>
                <w:sz w:val="20"/>
                <w:szCs w:val="20"/>
              </w:rPr>
              <w:t>Jei nauji viešojo pirkimo tikslai laikotarpiui po 2030 m. sausio 1 d. nepriimami, toliau taikomi antruoju ataskaitiniu laikotarpiu nustatyti tikslai.</w:t>
            </w:r>
          </w:p>
          <w:p w14:paraId="68A602DE" w14:textId="3FBE435C" w:rsidR="00E44B38" w:rsidRPr="006121E9" w:rsidRDefault="00E44B38" w:rsidP="001021CE">
            <w:pPr>
              <w:rPr>
                <w:rFonts w:eastAsia="Times New Roman" w:cs="Times New Roman"/>
                <w:color w:val="000000"/>
                <w:sz w:val="20"/>
                <w:szCs w:val="20"/>
              </w:rPr>
            </w:pPr>
            <w:r w:rsidRPr="006121E9">
              <w:rPr>
                <w:rFonts w:eastAsia="Times New Roman" w:cs="Times New Roman"/>
                <w:color w:val="000000"/>
                <w:sz w:val="20"/>
                <w:szCs w:val="20"/>
              </w:rPr>
              <w:t>&lt;...&gt;</w:t>
            </w:r>
          </w:p>
        </w:tc>
        <w:tc>
          <w:tcPr>
            <w:tcW w:w="2552" w:type="dxa"/>
          </w:tcPr>
          <w:p w14:paraId="43C8EEB5" w14:textId="7504B62B" w:rsidR="001021CE" w:rsidRPr="00EE0CAA" w:rsidRDefault="00E44B38" w:rsidP="001021CE">
            <w:pPr>
              <w:ind w:left="34"/>
              <w:jc w:val="left"/>
              <w:rPr>
                <w:rFonts w:eastAsia="Times New Roman" w:cs="Times New Roman"/>
                <w:color w:val="000000"/>
                <w:sz w:val="20"/>
                <w:szCs w:val="20"/>
              </w:rPr>
            </w:pPr>
            <w:r w:rsidRPr="00EE0CAA">
              <w:rPr>
                <w:rFonts w:eastAsia="Times New Roman" w:cs="Times New Roman"/>
                <w:color w:val="000000"/>
                <w:sz w:val="20"/>
                <w:szCs w:val="20"/>
              </w:rPr>
              <w:lastRenderedPageBreak/>
              <w:t>Visiškas</w:t>
            </w:r>
          </w:p>
        </w:tc>
      </w:tr>
      <w:tr w:rsidR="001021CE" w:rsidRPr="00C73B34" w14:paraId="49408515" w14:textId="77777777" w:rsidTr="00BC7BC6">
        <w:trPr>
          <w:trHeight w:val="837"/>
        </w:trPr>
        <w:tc>
          <w:tcPr>
            <w:tcW w:w="7088" w:type="dxa"/>
          </w:tcPr>
          <w:p w14:paraId="4FA9FE06" w14:textId="77777777" w:rsidR="001021CE" w:rsidRPr="007E552C" w:rsidRDefault="001021CE" w:rsidP="001021CE">
            <w:pPr>
              <w:jc w:val="left"/>
              <w:rPr>
                <w:rFonts w:cs="Times New Roman"/>
                <w:b/>
                <w:sz w:val="20"/>
                <w:szCs w:val="20"/>
              </w:rPr>
            </w:pPr>
            <w:r w:rsidRPr="007E552C">
              <w:rPr>
                <w:rFonts w:cs="Times New Roman"/>
                <w:b/>
                <w:sz w:val="20"/>
                <w:szCs w:val="20"/>
              </w:rPr>
              <w:t>8 straipsnis</w:t>
            </w:r>
            <w:r w:rsidRPr="007E552C">
              <w:rPr>
                <w:rFonts w:cs="Times New Roman"/>
                <w:sz w:val="20"/>
                <w:szCs w:val="20"/>
              </w:rPr>
              <w:br/>
            </w:r>
            <w:r w:rsidRPr="007E552C">
              <w:rPr>
                <w:rFonts w:cs="Times New Roman"/>
                <w:b/>
                <w:sz w:val="20"/>
                <w:szCs w:val="20"/>
              </w:rPr>
              <w:t>Keitimasis žiniomis ir geriausia praktika</w:t>
            </w:r>
          </w:p>
          <w:p w14:paraId="089C7CF7" w14:textId="478302DF" w:rsidR="001021CE" w:rsidRPr="000F776E" w:rsidRDefault="001021CE" w:rsidP="001021CE">
            <w:pPr>
              <w:jc w:val="left"/>
              <w:rPr>
                <w:rFonts w:cs="Times New Roman"/>
              </w:rPr>
            </w:pPr>
            <w:r w:rsidRPr="007E552C">
              <w:rPr>
                <w:rFonts w:cs="Times New Roman"/>
                <w:sz w:val="20"/>
                <w:szCs w:val="20"/>
              </w:rPr>
              <w:t>Komisija sudaro palankesnes sąlygas ir sistemina valstybių narių keitimąsi žiniomis ir geriausia praktika, kaip skatinti perkančiąsias organizacijas ir perkančiuosius subjektus pirkti netaršias ir efektyviai energiją vartojančias kelių transporto priemones.“;</w:t>
            </w:r>
          </w:p>
        </w:tc>
        <w:tc>
          <w:tcPr>
            <w:tcW w:w="6095" w:type="dxa"/>
          </w:tcPr>
          <w:p w14:paraId="7672C9A6" w14:textId="4FDA900C" w:rsidR="001021CE" w:rsidRPr="006121E9" w:rsidRDefault="00E44B38" w:rsidP="001021CE">
            <w:pPr>
              <w:rPr>
                <w:rFonts w:eastAsia="Times New Roman" w:cs="Times New Roman"/>
                <w:color w:val="000000"/>
                <w:sz w:val="20"/>
                <w:szCs w:val="20"/>
              </w:rPr>
            </w:pPr>
            <w:r w:rsidRPr="006121E9">
              <w:rPr>
                <w:rFonts w:cs="Times New Roman"/>
                <w:sz w:val="20"/>
                <w:szCs w:val="20"/>
              </w:rPr>
              <w:t>Perkelti nereikia. Straipsnis skirtas komisijai.</w:t>
            </w:r>
          </w:p>
        </w:tc>
        <w:tc>
          <w:tcPr>
            <w:tcW w:w="2552" w:type="dxa"/>
          </w:tcPr>
          <w:p w14:paraId="2CAECECE" w14:textId="77777777" w:rsidR="001021CE" w:rsidRPr="00EE0CAA" w:rsidRDefault="001021CE" w:rsidP="001021CE">
            <w:pPr>
              <w:ind w:left="34"/>
              <w:jc w:val="left"/>
              <w:rPr>
                <w:rFonts w:eastAsia="Times New Roman" w:cs="Times New Roman"/>
                <w:color w:val="000000"/>
                <w:sz w:val="20"/>
                <w:szCs w:val="20"/>
              </w:rPr>
            </w:pPr>
            <w:r w:rsidRPr="00EE0CAA">
              <w:rPr>
                <w:rFonts w:eastAsia="Times New Roman" w:cs="Times New Roman"/>
                <w:color w:val="000000"/>
                <w:sz w:val="20"/>
                <w:szCs w:val="20"/>
              </w:rPr>
              <w:t>–</w:t>
            </w:r>
          </w:p>
        </w:tc>
      </w:tr>
      <w:tr w:rsidR="001021CE" w:rsidRPr="00C73B34" w14:paraId="7B24B5B4" w14:textId="77777777" w:rsidTr="00BC7BC6">
        <w:trPr>
          <w:trHeight w:val="1110"/>
        </w:trPr>
        <w:tc>
          <w:tcPr>
            <w:tcW w:w="7088" w:type="dxa"/>
          </w:tcPr>
          <w:p w14:paraId="553A0760" w14:textId="77777777" w:rsidR="001021CE" w:rsidRPr="00036B32" w:rsidRDefault="001021CE" w:rsidP="001021CE">
            <w:pPr>
              <w:jc w:val="left"/>
              <w:rPr>
                <w:rFonts w:cs="Times New Roman"/>
                <w:sz w:val="20"/>
                <w:szCs w:val="20"/>
              </w:rPr>
            </w:pPr>
            <w:r w:rsidRPr="00036B32">
              <w:rPr>
                <w:rFonts w:cs="Times New Roman"/>
                <w:b/>
                <w:sz w:val="20"/>
                <w:szCs w:val="20"/>
              </w:rPr>
              <w:t>9 straipsnis</w:t>
            </w:r>
            <w:r w:rsidRPr="00036B32">
              <w:rPr>
                <w:rFonts w:cs="Times New Roman"/>
                <w:b/>
                <w:sz w:val="20"/>
                <w:szCs w:val="20"/>
              </w:rPr>
              <w:br/>
              <w:t>Komiteto procedūra</w:t>
            </w:r>
          </w:p>
          <w:p w14:paraId="2E39D235" w14:textId="77777777" w:rsidR="001021CE" w:rsidRPr="00036B32" w:rsidRDefault="001021CE" w:rsidP="001021CE">
            <w:pPr>
              <w:jc w:val="left"/>
              <w:rPr>
                <w:rFonts w:cs="Times New Roman"/>
                <w:sz w:val="20"/>
                <w:szCs w:val="20"/>
              </w:rPr>
            </w:pPr>
            <w:r w:rsidRPr="00036B32">
              <w:rPr>
                <w:rFonts w:cs="Times New Roman"/>
                <w:sz w:val="20"/>
                <w:szCs w:val="20"/>
              </w:rPr>
              <w:t>1.Komisijai padeda komitetas</w:t>
            </w:r>
            <w:r w:rsidRPr="00036B32">
              <w:rPr>
                <w:rFonts w:cs="Times New Roman"/>
                <w:b/>
                <w:i/>
                <w:sz w:val="20"/>
                <w:szCs w:val="20"/>
              </w:rPr>
              <w:t>, įsteigtas pagal Direktyvos 2014/94/ES 9 straipsnį</w:t>
            </w:r>
            <w:r w:rsidRPr="00036B32">
              <w:rPr>
                <w:rFonts w:cs="Times New Roman"/>
                <w:sz w:val="20"/>
                <w:szCs w:val="20"/>
              </w:rPr>
              <w:t>.</w:t>
            </w:r>
          </w:p>
          <w:p w14:paraId="7B41F70B" w14:textId="77777777" w:rsidR="001021CE" w:rsidRPr="00036B32" w:rsidRDefault="001021CE" w:rsidP="001021CE">
            <w:pPr>
              <w:jc w:val="left"/>
              <w:rPr>
                <w:rFonts w:cs="Times New Roman"/>
                <w:sz w:val="20"/>
                <w:szCs w:val="20"/>
              </w:rPr>
            </w:pPr>
            <w:r w:rsidRPr="00036B32">
              <w:rPr>
                <w:rFonts w:cs="Times New Roman"/>
                <w:sz w:val="20"/>
                <w:szCs w:val="20"/>
              </w:rPr>
              <w:t xml:space="preserve">Tas komitetas – tai komitetas, kaip nustatyta </w:t>
            </w:r>
            <w:r w:rsidRPr="00036B32">
              <w:rPr>
                <w:rFonts w:cs="Times New Roman"/>
                <w:b/>
                <w:i/>
                <w:sz w:val="20"/>
                <w:szCs w:val="20"/>
              </w:rPr>
              <w:t xml:space="preserve">Europos Parlamento ir Tarybos </w:t>
            </w:r>
            <w:r w:rsidRPr="00036B32">
              <w:rPr>
                <w:rFonts w:cs="Times New Roman"/>
                <w:bCs/>
                <w:iCs/>
                <w:sz w:val="20"/>
                <w:szCs w:val="20"/>
              </w:rPr>
              <w:t>reglamente (ES) Nr. 182/2011</w:t>
            </w:r>
            <w:r w:rsidRPr="00036B32">
              <w:rPr>
                <w:rFonts w:cs="Times New Roman"/>
                <w:b/>
                <w:i/>
                <w:sz w:val="20"/>
                <w:szCs w:val="20"/>
                <w:vertAlign w:val="superscript"/>
              </w:rPr>
              <w:t>*</w:t>
            </w:r>
            <w:r w:rsidRPr="00036B32">
              <w:rPr>
                <w:rFonts w:cs="Times New Roman"/>
                <w:b/>
                <w:i/>
                <w:sz w:val="20"/>
                <w:szCs w:val="20"/>
              </w:rPr>
              <w:t>.</w:t>
            </w:r>
          </w:p>
          <w:p w14:paraId="2CAF5F40" w14:textId="77777777" w:rsidR="001021CE" w:rsidRPr="00036B32" w:rsidRDefault="001021CE" w:rsidP="001021CE">
            <w:pPr>
              <w:jc w:val="left"/>
              <w:rPr>
                <w:rFonts w:cs="Times New Roman"/>
                <w:sz w:val="20"/>
                <w:szCs w:val="20"/>
              </w:rPr>
            </w:pPr>
            <w:r w:rsidRPr="00036B32">
              <w:rPr>
                <w:rFonts w:cs="Times New Roman"/>
                <w:sz w:val="20"/>
                <w:szCs w:val="20"/>
              </w:rPr>
              <w:lastRenderedPageBreak/>
              <w:t>2.Kai daroma nuoroda į šią dalį, taikomas Reglamento (ES) Nr. 182/2011 5 straipsnis.</w:t>
            </w:r>
          </w:p>
          <w:p w14:paraId="5EE5F6A3" w14:textId="77777777" w:rsidR="001021CE" w:rsidRPr="00036B32" w:rsidRDefault="001021CE" w:rsidP="001021CE">
            <w:pPr>
              <w:jc w:val="left"/>
              <w:rPr>
                <w:rFonts w:cs="Times New Roman"/>
                <w:sz w:val="20"/>
                <w:szCs w:val="20"/>
              </w:rPr>
            </w:pPr>
            <w:r w:rsidRPr="00036B32">
              <w:rPr>
                <w:rFonts w:cs="Times New Roman"/>
                <w:sz w:val="20"/>
                <w:szCs w:val="20"/>
              </w:rPr>
              <w:br w:type="page"/>
            </w:r>
          </w:p>
          <w:p w14:paraId="4B3E6513" w14:textId="3733A3A2" w:rsidR="001021CE" w:rsidRPr="000F776E" w:rsidRDefault="001021CE" w:rsidP="001021CE">
            <w:pPr>
              <w:jc w:val="left"/>
              <w:rPr>
                <w:rFonts w:cs="Times New Roman"/>
              </w:rPr>
            </w:pPr>
            <w:r w:rsidRPr="00036B32">
              <w:rPr>
                <w:rFonts w:cs="Times New Roman"/>
                <w:sz w:val="20"/>
                <w:szCs w:val="20"/>
              </w:rPr>
              <w:t>3.Kai komiteto nuomonei gauti būtina rašytinė procedūra, tokia procedūra laikoma baigta be rezultato, jei per nuomonei pateikti nustatytą laikotarpį taip nusprendžia komiteto pirmininkas arba to prašo paprastoji komiteto narių dauguma.</w:t>
            </w:r>
          </w:p>
        </w:tc>
        <w:tc>
          <w:tcPr>
            <w:tcW w:w="6095" w:type="dxa"/>
          </w:tcPr>
          <w:p w14:paraId="33B859B4" w14:textId="4E7240C9" w:rsidR="001021CE" w:rsidRPr="006121E9" w:rsidRDefault="00E44B38" w:rsidP="001021CE">
            <w:pPr>
              <w:rPr>
                <w:rFonts w:eastAsia="Times New Roman" w:cs="Times New Roman"/>
                <w:color w:val="000000"/>
                <w:sz w:val="20"/>
                <w:szCs w:val="20"/>
              </w:rPr>
            </w:pPr>
            <w:r w:rsidRPr="006121E9">
              <w:rPr>
                <w:rFonts w:cs="Times New Roman"/>
                <w:sz w:val="20"/>
                <w:szCs w:val="20"/>
              </w:rPr>
              <w:lastRenderedPageBreak/>
              <w:t>Perkelti nereikia. Straipsnis skirtas komisijai.</w:t>
            </w:r>
          </w:p>
        </w:tc>
        <w:tc>
          <w:tcPr>
            <w:tcW w:w="2552" w:type="dxa"/>
          </w:tcPr>
          <w:p w14:paraId="42561306" w14:textId="77777777" w:rsidR="001021CE" w:rsidRPr="00EE0CAA" w:rsidRDefault="001021CE" w:rsidP="001021CE">
            <w:pPr>
              <w:ind w:left="34"/>
              <w:jc w:val="left"/>
              <w:rPr>
                <w:rFonts w:eastAsia="Times New Roman" w:cs="Times New Roman"/>
                <w:color w:val="000000"/>
                <w:sz w:val="20"/>
                <w:szCs w:val="20"/>
              </w:rPr>
            </w:pPr>
            <w:r w:rsidRPr="00EE0CAA">
              <w:rPr>
                <w:rFonts w:eastAsia="Times New Roman" w:cs="Times New Roman"/>
                <w:color w:val="000000"/>
                <w:sz w:val="20"/>
                <w:szCs w:val="20"/>
              </w:rPr>
              <w:t>–</w:t>
            </w:r>
          </w:p>
        </w:tc>
      </w:tr>
      <w:tr w:rsidR="001021CE" w:rsidRPr="00C73B34" w14:paraId="334564E3" w14:textId="77777777" w:rsidTr="00BC7BC6">
        <w:trPr>
          <w:trHeight w:val="565"/>
        </w:trPr>
        <w:tc>
          <w:tcPr>
            <w:tcW w:w="7088" w:type="dxa"/>
          </w:tcPr>
          <w:p w14:paraId="6C08BDF5" w14:textId="20226903" w:rsidR="001021CE" w:rsidRPr="00536CE0" w:rsidRDefault="001021CE" w:rsidP="001021CE">
            <w:pPr>
              <w:jc w:val="left"/>
              <w:rPr>
                <w:rFonts w:cs="Times New Roman"/>
                <w:b/>
                <w:sz w:val="20"/>
                <w:szCs w:val="20"/>
              </w:rPr>
            </w:pPr>
            <w:r w:rsidRPr="00536CE0">
              <w:rPr>
                <w:rFonts w:cs="Times New Roman"/>
                <w:b/>
                <w:sz w:val="20"/>
                <w:szCs w:val="20"/>
              </w:rPr>
              <w:t>10</w:t>
            </w:r>
            <w:r>
              <w:rPr>
                <w:rFonts w:cs="Times New Roman"/>
                <w:b/>
                <w:sz w:val="20"/>
                <w:szCs w:val="20"/>
              </w:rPr>
              <w:t xml:space="preserve"> straipsnis</w:t>
            </w:r>
            <w:r w:rsidRPr="00536CE0">
              <w:rPr>
                <w:rFonts w:cs="Times New Roman"/>
                <w:b/>
                <w:sz w:val="20"/>
                <w:szCs w:val="20"/>
              </w:rPr>
              <w:t xml:space="preserve"> </w:t>
            </w:r>
            <w:r w:rsidRPr="00536CE0">
              <w:rPr>
                <w:rFonts w:cs="Times New Roman"/>
                <w:b/>
                <w:sz w:val="20"/>
                <w:szCs w:val="20"/>
              </w:rPr>
              <w:br/>
              <w:t>Ataskaitų teikimas ir peržiūra</w:t>
            </w:r>
          </w:p>
          <w:p w14:paraId="266C5FAF" w14:textId="77777777" w:rsidR="001021CE" w:rsidRPr="00536CE0" w:rsidRDefault="001021CE" w:rsidP="001021CE">
            <w:pPr>
              <w:rPr>
                <w:rFonts w:cs="Times New Roman"/>
                <w:sz w:val="20"/>
                <w:szCs w:val="20"/>
              </w:rPr>
            </w:pPr>
            <w:r w:rsidRPr="00536CE0">
              <w:rPr>
                <w:rFonts w:cs="Times New Roman"/>
                <w:sz w:val="20"/>
                <w:szCs w:val="20"/>
              </w:rPr>
              <w:t>1.Ne vėliau kaip ... [36 mėnesiai po šios iš dalies keičiančios direktyvos įsigaliojimo dienos] valstybės narės praneša Komisijai apie priemones, kurių imtasi siekiant įgyvendinti šią direktyvą, ir, be kita ko, apie valstybių narių ketinimus dėl būsimos įgyvendinimo veiklos, įskaitant tvarkaraštį ir galimą pastangų padalijimą tarp skirtingų valdymo lygmenų, taip pat bet kokią kitą informaciją, kurią valstybė narė laiko svarbia.</w:t>
            </w:r>
          </w:p>
          <w:p w14:paraId="269F83D5" w14:textId="77777777" w:rsidR="001021CE" w:rsidRPr="00536CE0" w:rsidRDefault="001021CE" w:rsidP="001021CE">
            <w:pPr>
              <w:rPr>
                <w:rFonts w:cs="Times New Roman"/>
                <w:sz w:val="20"/>
                <w:szCs w:val="20"/>
              </w:rPr>
            </w:pPr>
            <w:r w:rsidRPr="00536CE0">
              <w:rPr>
                <w:rFonts w:cs="Times New Roman"/>
                <w:sz w:val="20"/>
                <w:szCs w:val="20"/>
              </w:rPr>
              <w:t>2</w:t>
            </w:r>
            <w:r w:rsidRPr="001021CE">
              <w:rPr>
                <w:rFonts w:cs="Times New Roman"/>
                <w:sz w:val="20"/>
                <w:szCs w:val="20"/>
              </w:rPr>
              <w:t>.Ne vėliau kaip 2026 m. balandžio 18 d., o vėliau kas trejus metus, valstybės narės teikia Komisijai šios direktyvos įgyvendinimo ataskaitas. Tos ataskaitos pridedamos prie ataskaitų, numatytų Direktyvos 2014/24/ES 83 straipsnio 3 dalies antroje pastraipoje ir Direktyvos 2014/25/ES 99 straipsnio 3 dalies antroje pastraipoje, ir jose pateikiama informacija apie priemones, kurių imtasi šiai direktyvai įgyvendinti, būsimą įgyvendinimo veiklą, taip pat visa kita informacija, kurią valstybė narė laiko svarbia. Ataskaitoje taip pat pateikiamas transporto priemonių, kurioms taikomos šios direktyvos 3 straipsnio 1 dalyje nurodytos sutartys, skaičius ir kategorijos, remiantis Komisijos pagal šio straipsnio 3 dalį pateiktais duomenimis. Informacija pateikiama pagal Europos Parlamento ir Tarybos reglamente (EB) Nr. 2195/2002</w:t>
            </w:r>
            <w:r w:rsidRPr="001021CE">
              <w:rPr>
                <w:rFonts w:cs="Times New Roman"/>
                <w:sz w:val="20"/>
                <w:szCs w:val="20"/>
                <w:vertAlign w:val="superscript"/>
              </w:rPr>
              <w:t>*</w:t>
            </w:r>
            <w:r w:rsidRPr="001021CE">
              <w:rPr>
                <w:rFonts w:cs="Times New Roman"/>
                <w:sz w:val="20"/>
                <w:szCs w:val="20"/>
              </w:rPr>
              <w:t xml:space="preserve"> nurodytas kategorijas.</w:t>
            </w:r>
          </w:p>
          <w:p w14:paraId="50915240" w14:textId="77777777" w:rsidR="001021CE" w:rsidRPr="00536CE0" w:rsidRDefault="001021CE" w:rsidP="001021CE">
            <w:pPr>
              <w:rPr>
                <w:rFonts w:cs="Times New Roman"/>
                <w:sz w:val="20"/>
                <w:szCs w:val="20"/>
              </w:rPr>
            </w:pPr>
            <w:r w:rsidRPr="00536CE0">
              <w:rPr>
                <w:rFonts w:cs="Times New Roman"/>
                <w:sz w:val="20"/>
                <w:szCs w:val="20"/>
              </w:rPr>
              <w:t>3.Siekdama padėti valstybėms narėms vykdyti ataskaitų teikimo įpareigojimus pagal šio straipsnio 1 ir 2 dalis, Komisija lygina ir paskelbia transporto priemonių, kurioms taikomos šios direktyvos 3 straipsnio 1 dalies a ir c punktuose nurodytos sutartys, skaičių ir kategorijas, paimdama atitinkamus duomenis iš skelbimų apie sutarčių sudarymą, paskelbtų „</w:t>
            </w:r>
            <w:proofErr w:type="spellStart"/>
            <w:r w:rsidRPr="00536CE0">
              <w:rPr>
                <w:rFonts w:cs="Times New Roman"/>
                <w:sz w:val="20"/>
                <w:szCs w:val="20"/>
              </w:rPr>
              <w:t>Tenders</w:t>
            </w:r>
            <w:proofErr w:type="spellEnd"/>
            <w:r w:rsidRPr="00536CE0">
              <w:rPr>
                <w:rFonts w:cs="Times New Roman"/>
                <w:sz w:val="20"/>
                <w:szCs w:val="20"/>
              </w:rPr>
              <w:t xml:space="preserve"> </w:t>
            </w:r>
            <w:proofErr w:type="spellStart"/>
            <w:r w:rsidRPr="00536CE0">
              <w:rPr>
                <w:rFonts w:cs="Times New Roman"/>
                <w:sz w:val="20"/>
                <w:szCs w:val="20"/>
              </w:rPr>
              <w:t>Electronic</w:t>
            </w:r>
            <w:proofErr w:type="spellEnd"/>
            <w:r w:rsidRPr="00536CE0">
              <w:rPr>
                <w:rFonts w:cs="Times New Roman"/>
                <w:sz w:val="20"/>
                <w:szCs w:val="20"/>
              </w:rPr>
              <w:t xml:space="preserve"> </w:t>
            </w:r>
            <w:proofErr w:type="spellStart"/>
            <w:r w:rsidRPr="00536CE0">
              <w:rPr>
                <w:rFonts w:cs="Times New Roman"/>
                <w:sz w:val="20"/>
                <w:szCs w:val="20"/>
              </w:rPr>
              <w:t>Daily</w:t>
            </w:r>
            <w:proofErr w:type="spellEnd"/>
            <w:r w:rsidRPr="00536CE0">
              <w:rPr>
                <w:rFonts w:cs="Times New Roman"/>
                <w:sz w:val="20"/>
                <w:szCs w:val="20"/>
              </w:rPr>
              <w:t>“ (TED) duomenų bazėje pagal direktyvas 2014/24/ES ir 2014/25/ES.</w:t>
            </w:r>
          </w:p>
          <w:p w14:paraId="720D5337" w14:textId="77777777" w:rsidR="001021CE" w:rsidRPr="00536CE0" w:rsidRDefault="001021CE" w:rsidP="001021CE">
            <w:pPr>
              <w:rPr>
                <w:rFonts w:cs="Times New Roman"/>
                <w:sz w:val="20"/>
                <w:szCs w:val="20"/>
              </w:rPr>
            </w:pPr>
            <w:r w:rsidRPr="00536CE0">
              <w:rPr>
                <w:rFonts w:cs="Times New Roman"/>
                <w:sz w:val="20"/>
                <w:szCs w:val="20"/>
              </w:rPr>
              <w:t>4.Ne vėliau kaip 2027 m. balandžio 18 d., o vėliau kas trejus metus Komisija, remdamasi valstybių narių ataskaitomis, pateikia ataskaitą Europos Parlamentui ir Tarybai apie šios direktyvos įgyvendinimą, nurodydama priemones, kurių atskiros valstybės narės ėmėsi šioje srityje.</w:t>
            </w:r>
          </w:p>
          <w:p w14:paraId="043E4963" w14:textId="77777777" w:rsidR="001021CE" w:rsidRPr="00536CE0" w:rsidRDefault="001021CE" w:rsidP="001021CE">
            <w:pPr>
              <w:rPr>
                <w:rFonts w:cs="Times New Roman"/>
                <w:sz w:val="20"/>
                <w:szCs w:val="20"/>
              </w:rPr>
            </w:pPr>
            <w:r w:rsidRPr="00536CE0">
              <w:rPr>
                <w:rFonts w:cs="Times New Roman"/>
                <w:sz w:val="20"/>
                <w:szCs w:val="20"/>
              </w:rPr>
              <w:t>5.Ne vėliau kaip 2027 m. gruodžio 31 d. Komisija peržiūri šios direktyvos įgyvendinimą ir, jei reikia, pateikia teisėkūros pasiūlymą ją iš dalies pakeisti laikotarpiui po 2030 m., be kita ko, nustatant naujus tikslus ir įtraukiant kitų kategorijų transporto priemones, pavyzdžiui, dvirates ir trirates transporto priemones.</w:t>
            </w:r>
          </w:p>
          <w:p w14:paraId="4A5BA324" w14:textId="64921DB9" w:rsidR="001021CE" w:rsidRPr="000F776E" w:rsidRDefault="001021CE" w:rsidP="001021CE">
            <w:pPr>
              <w:rPr>
                <w:rFonts w:cs="Times New Roman"/>
              </w:rPr>
            </w:pPr>
            <w:r w:rsidRPr="00536CE0">
              <w:rPr>
                <w:rFonts w:cs="Times New Roman"/>
                <w:sz w:val="20"/>
                <w:szCs w:val="20"/>
              </w:rPr>
              <w:t>6.Komisija pagal 9 straipsnio 2 dalį priima įgyvendinimo aktus, kuriais nustatoma šio straipsnio 2 dalyje nurodytų ataskaitų forma ir jų perdavimo tvarka.</w:t>
            </w:r>
          </w:p>
        </w:tc>
        <w:tc>
          <w:tcPr>
            <w:tcW w:w="6095" w:type="dxa"/>
          </w:tcPr>
          <w:p w14:paraId="2D8E3F0C" w14:textId="77777777" w:rsidR="00E44B38" w:rsidRPr="006121E9" w:rsidRDefault="00E44B38" w:rsidP="00E44B38">
            <w:pPr>
              <w:pStyle w:val="doc-ti"/>
              <w:spacing w:before="0" w:after="0"/>
              <w:jc w:val="both"/>
              <w:rPr>
                <w:sz w:val="20"/>
                <w:szCs w:val="20"/>
              </w:rPr>
            </w:pPr>
            <w:r w:rsidRPr="006121E9">
              <w:rPr>
                <w:sz w:val="20"/>
                <w:szCs w:val="20"/>
              </w:rPr>
              <w:t>Lietuvos Respublikos alternatyviųjų degalų įstatymo projektas</w:t>
            </w:r>
          </w:p>
          <w:p w14:paraId="66F532EC" w14:textId="6CD3D262" w:rsidR="00E44B38" w:rsidRPr="003D5251" w:rsidRDefault="00E44B38" w:rsidP="003D5251">
            <w:pPr>
              <w:pStyle w:val="ListParagraph"/>
              <w:numPr>
                <w:ilvl w:val="0"/>
                <w:numId w:val="15"/>
              </w:numPr>
              <w:tabs>
                <w:tab w:val="left" w:pos="993"/>
              </w:tabs>
              <w:jc w:val="left"/>
              <w:rPr>
                <w:rFonts w:cs="Times New Roman"/>
                <w:b/>
                <w:sz w:val="20"/>
                <w:szCs w:val="20"/>
              </w:rPr>
            </w:pPr>
            <w:r w:rsidRPr="003D5251">
              <w:rPr>
                <w:rFonts w:cs="Times New Roman"/>
                <w:b/>
                <w:sz w:val="20"/>
                <w:szCs w:val="20"/>
              </w:rPr>
              <w:t>straipsnis.  Ataskaitų teikimas</w:t>
            </w:r>
          </w:p>
          <w:p w14:paraId="178481D1" w14:textId="77777777" w:rsidR="00E44B38" w:rsidRPr="006121E9" w:rsidRDefault="00E44B38" w:rsidP="00E44B38">
            <w:pPr>
              <w:tabs>
                <w:tab w:val="left" w:pos="993"/>
              </w:tabs>
              <w:rPr>
                <w:rFonts w:cs="Times New Roman"/>
                <w:b/>
                <w:sz w:val="20"/>
                <w:szCs w:val="20"/>
              </w:rPr>
            </w:pPr>
            <w:r w:rsidRPr="006121E9">
              <w:rPr>
                <w:rFonts w:cs="Times New Roman"/>
                <w:b/>
                <w:sz w:val="20"/>
                <w:szCs w:val="20"/>
              </w:rPr>
              <w:t>&lt;...&gt;</w:t>
            </w:r>
          </w:p>
          <w:p w14:paraId="6D025881" w14:textId="07BBD5BF" w:rsidR="00E44B38" w:rsidRPr="006121E9" w:rsidRDefault="003D5251" w:rsidP="00E44B38">
            <w:pPr>
              <w:tabs>
                <w:tab w:val="left" w:pos="993"/>
              </w:tabs>
              <w:rPr>
                <w:rFonts w:cs="Times New Roman"/>
                <w:b/>
                <w:sz w:val="20"/>
                <w:szCs w:val="20"/>
              </w:rPr>
            </w:pPr>
            <w:r w:rsidRPr="003D5251">
              <w:rPr>
                <w:rFonts w:cs="Times New Roman"/>
                <w:bCs/>
                <w:sz w:val="20"/>
                <w:szCs w:val="20"/>
              </w:rPr>
              <w:t xml:space="preserve">Ataskaitas apie viešųjų pirkimų reikalavimų įgyvendinimą kas trejus metus, pradedant 2026 m. balandžio 18 d., Europos Komisijai teikia Viešųjų pirkimų tarnyba. </w:t>
            </w:r>
            <w:r w:rsidR="00E44B38" w:rsidRPr="006121E9">
              <w:rPr>
                <w:rFonts w:cs="Times New Roman"/>
                <w:sz w:val="20"/>
                <w:szCs w:val="20"/>
              </w:rPr>
              <w:t>&lt;...&gt;</w:t>
            </w:r>
          </w:p>
          <w:p w14:paraId="388E7385" w14:textId="13829468" w:rsidR="001021CE" w:rsidRPr="006121E9" w:rsidRDefault="001021CE" w:rsidP="001021CE">
            <w:pPr>
              <w:rPr>
                <w:rFonts w:eastAsia="Times New Roman" w:cs="Times New Roman"/>
                <w:color w:val="000000"/>
                <w:sz w:val="20"/>
                <w:szCs w:val="20"/>
              </w:rPr>
            </w:pPr>
          </w:p>
        </w:tc>
        <w:tc>
          <w:tcPr>
            <w:tcW w:w="2552" w:type="dxa"/>
          </w:tcPr>
          <w:p w14:paraId="4BF28E2E" w14:textId="560A1CDB" w:rsidR="001021CE" w:rsidRPr="00EE0CAA" w:rsidRDefault="00E44B38" w:rsidP="001021CE">
            <w:pPr>
              <w:ind w:left="34"/>
              <w:jc w:val="left"/>
              <w:rPr>
                <w:rFonts w:eastAsia="Times New Roman" w:cs="Times New Roman"/>
                <w:color w:val="000000"/>
                <w:sz w:val="20"/>
                <w:szCs w:val="20"/>
              </w:rPr>
            </w:pPr>
            <w:r w:rsidRPr="00EE0CAA">
              <w:rPr>
                <w:rFonts w:eastAsia="Times New Roman" w:cs="Times New Roman"/>
                <w:color w:val="000000"/>
                <w:sz w:val="20"/>
                <w:szCs w:val="20"/>
              </w:rPr>
              <w:t>Dalinis</w:t>
            </w:r>
          </w:p>
        </w:tc>
      </w:tr>
      <w:tr w:rsidR="00E44B38" w:rsidRPr="00C73B34" w14:paraId="2A8DC125" w14:textId="77777777" w:rsidTr="00BC7BC6">
        <w:trPr>
          <w:trHeight w:val="555"/>
        </w:trPr>
        <w:tc>
          <w:tcPr>
            <w:tcW w:w="7088" w:type="dxa"/>
          </w:tcPr>
          <w:p w14:paraId="723599EA" w14:textId="77777777" w:rsidR="00E44B38" w:rsidRPr="007233F6" w:rsidRDefault="00E44B38" w:rsidP="00E44B38">
            <w:pPr>
              <w:rPr>
                <w:rFonts w:cs="Times New Roman"/>
                <w:b/>
                <w:sz w:val="20"/>
                <w:szCs w:val="20"/>
              </w:rPr>
            </w:pPr>
            <w:r w:rsidRPr="007233F6">
              <w:rPr>
                <w:rFonts w:cs="Times New Roman"/>
                <w:b/>
                <w:sz w:val="20"/>
                <w:szCs w:val="20"/>
              </w:rPr>
              <w:lastRenderedPageBreak/>
              <w:t>Priedas</w:t>
            </w:r>
          </w:p>
          <w:p w14:paraId="0D5E8CF6" w14:textId="77777777" w:rsidR="00E44B38" w:rsidRPr="007233F6" w:rsidRDefault="00E44B38" w:rsidP="00E44B38">
            <w:pPr>
              <w:rPr>
                <w:rFonts w:cs="Times New Roman"/>
                <w:b/>
                <w:i/>
                <w:sz w:val="20"/>
                <w:szCs w:val="20"/>
              </w:rPr>
            </w:pPr>
            <w:r w:rsidRPr="007233F6">
              <w:rPr>
                <w:rFonts w:cs="Times New Roman"/>
                <w:b/>
                <w:sz w:val="20"/>
                <w:szCs w:val="20"/>
              </w:rPr>
              <w:t xml:space="preserve">Informacija dėl būtinųjų netaršių transporto priemonių viešojo pirkimo tikslų įgyvendinimo valstybėse narėse remiant </w:t>
            </w:r>
            <w:proofErr w:type="spellStart"/>
            <w:r w:rsidRPr="007233F6">
              <w:rPr>
                <w:rFonts w:cs="Times New Roman"/>
                <w:b/>
                <w:sz w:val="20"/>
                <w:szCs w:val="20"/>
              </w:rPr>
              <w:t>mažataršį</w:t>
            </w:r>
            <w:proofErr w:type="spellEnd"/>
            <w:r w:rsidRPr="007233F6">
              <w:rPr>
                <w:rFonts w:cs="Times New Roman"/>
                <w:b/>
                <w:sz w:val="20"/>
                <w:szCs w:val="20"/>
              </w:rPr>
              <w:t xml:space="preserve"> judumą</w:t>
            </w:r>
          </w:p>
          <w:p w14:paraId="1B7945DD" w14:textId="77777777" w:rsidR="00E44B38" w:rsidRPr="007233F6" w:rsidRDefault="00E44B38" w:rsidP="00E44B38">
            <w:pPr>
              <w:rPr>
                <w:rFonts w:cs="Times New Roman"/>
                <w:b/>
                <w:i/>
                <w:sz w:val="20"/>
                <w:szCs w:val="20"/>
              </w:rPr>
            </w:pPr>
            <w:r w:rsidRPr="007233F6">
              <w:rPr>
                <w:rFonts w:cs="Times New Roman"/>
                <w:sz w:val="20"/>
                <w:szCs w:val="20"/>
              </w:rPr>
              <w:t>1 lentelė. 3 straipsnyje nurodytų paslaugų Bendro viešųjų pirkimų žodyno kodai</w:t>
            </w:r>
          </w:p>
          <w:p w14:paraId="5E1C9794" w14:textId="77777777" w:rsidR="00E44B38" w:rsidRPr="007233F6" w:rsidRDefault="00E44B38" w:rsidP="00E44B38">
            <w:pPr>
              <w:rPr>
                <w:rFonts w:cs="Times New Roman"/>
                <w:b/>
                <w:i/>
                <w:sz w:val="20"/>
                <w:szCs w:val="20"/>
              </w:rPr>
            </w:pPr>
            <w:r w:rsidRPr="007233F6">
              <w:rPr>
                <w:rFonts w:cs="Times New Roman"/>
                <w:sz w:val="20"/>
                <w:szCs w:val="20"/>
              </w:rPr>
              <w:t>2 lentelė. Lengvųjų transporto priemonių išmetamų teršalų kiekio ribinės vertės</w:t>
            </w:r>
          </w:p>
          <w:p w14:paraId="543F55AF" w14:textId="77777777" w:rsidR="00E44B38" w:rsidRPr="007233F6" w:rsidRDefault="00E44B38" w:rsidP="00E44B38">
            <w:pPr>
              <w:rPr>
                <w:rFonts w:cs="Times New Roman"/>
                <w:b/>
                <w:i/>
                <w:sz w:val="20"/>
                <w:szCs w:val="20"/>
              </w:rPr>
            </w:pPr>
            <w:r w:rsidRPr="007233F6">
              <w:rPr>
                <w:rFonts w:cs="Times New Roman"/>
                <w:sz w:val="20"/>
                <w:szCs w:val="20"/>
              </w:rPr>
              <w:t>3 lentelė. Būtinieji viešojo pirkimo tikslai dėl lengvųjų transporto priemonių dalies pagal 2 lentelę, palyginti su bendru lengvųjų transporto priemonių, kurioms taikomos 3 straipsnyje nurodytos sutartys, skaičiumi valstybės narės lygmeniu</w:t>
            </w:r>
          </w:p>
          <w:p w14:paraId="04D934C0" w14:textId="1A363A2E" w:rsidR="00E44B38" w:rsidRPr="000F776E" w:rsidRDefault="00E44B38" w:rsidP="00E44B38">
            <w:pPr>
              <w:jc w:val="left"/>
              <w:rPr>
                <w:rFonts w:cs="Times New Roman"/>
              </w:rPr>
            </w:pPr>
            <w:r w:rsidRPr="007233F6">
              <w:rPr>
                <w:rFonts w:cs="Times New Roman"/>
                <w:sz w:val="20"/>
                <w:szCs w:val="20"/>
              </w:rPr>
              <w:t>4 lentelė. Būtinieji viešojo pirkimo tikslai dėl netaršių sunkiųjų transporto priemonių dalies, palyginti su bendru sunkiųjų transporto priemonių, kurioms taikomos 3 straipsnyje nurodytos sutartys, skaičiumi valstybės narės lygmeniu.</w:t>
            </w:r>
          </w:p>
        </w:tc>
        <w:tc>
          <w:tcPr>
            <w:tcW w:w="6095" w:type="dxa"/>
          </w:tcPr>
          <w:p w14:paraId="7D077616" w14:textId="77777777" w:rsidR="00E44B38" w:rsidRPr="006121E9" w:rsidRDefault="00E44B38" w:rsidP="00E44B38">
            <w:pPr>
              <w:pStyle w:val="doc-ti"/>
              <w:spacing w:before="0" w:after="0"/>
              <w:jc w:val="both"/>
              <w:rPr>
                <w:sz w:val="20"/>
                <w:szCs w:val="20"/>
              </w:rPr>
            </w:pPr>
            <w:r w:rsidRPr="006121E9">
              <w:rPr>
                <w:sz w:val="20"/>
                <w:szCs w:val="20"/>
              </w:rPr>
              <w:t>Lietuvos Respublikos alternatyviųjų degalų įstatymo projektas</w:t>
            </w:r>
          </w:p>
          <w:p w14:paraId="224A12AB" w14:textId="3B160AFA" w:rsidR="00E44B38" w:rsidRPr="006121E9" w:rsidRDefault="00E44B38" w:rsidP="00E44B38">
            <w:pPr>
              <w:tabs>
                <w:tab w:val="left" w:pos="0"/>
                <w:tab w:val="left" w:pos="212"/>
              </w:tabs>
              <w:rPr>
                <w:rFonts w:cs="Times New Roman"/>
                <w:b/>
                <w:sz w:val="20"/>
                <w:szCs w:val="20"/>
              </w:rPr>
            </w:pPr>
            <w:r w:rsidRPr="006121E9">
              <w:rPr>
                <w:rFonts w:cs="Times New Roman"/>
                <w:b/>
                <w:sz w:val="20"/>
                <w:szCs w:val="20"/>
              </w:rPr>
              <w:t>1</w:t>
            </w:r>
            <w:r w:rsidR="00C852D8">
              <w:rPr>
                <w:rFonts w:cs="Times New Roman"/>
                <w:b/>
                <w:sz w:val="20"/>
                <w:szCs w:val="20"/>
              </w:rPr>
              <w:t>4</w:t>
            </w:r>
            <w:r w:rsidRPr="006121E9">
              <w:rPr>
                <w:rFonts w:cs="Times New Roman"/>
                <w:b/>
                <w:sz w:val="20"/>
                <w:szCs w:val="20"/>
              </w:rPr>
              <w:t xml:space="preserve"> straipsnis. Viešiesiems pirkimams keliami reikalavimai</w:t>
            </w:r>
          </w:p>
          <w:p w14:paraId="0EBAFA86" w14:textId="37FD9CE8" w:rsidR="00E44B38" w:rsidRDefault="00E44B38" w:rsidP="00E44B38">
            <w:pPr>
              <w:rPr>
                <w:rFonts w:eastAsia="Times New Roman" w:cs="Times New Roman"/>
                <w:color w:val="000000"/>
                <w:sz w:val="20"/>
                <w:szCs w:val="20"/>
              </w:rPr>
            </w:pPr>
            <w:r w:rsidRPr="006121E9">
              <w:rPr>
                <w:rFonts w:eastAsia="Times New Roman" w:cs="Times New Roman"/>
                <w:color w:val="000000"/>
                <w:sz w:val="20"/>
                <w:szCs w:val="20"/>
              </w:rPr>
              <w:t>&lt;...&gt;</w:t>
            </w:r>
          </w:p>
          <w:p w14:paraId="1F9101CE" w14:textId="08074D65" w:rsidR="00C852D8" w:rsidRPr="006D0427" w:rsidRDefault="00C852D8" w:rsidP="00C852D8">
            <w:pPr>
              <w:rPr>
                <w:rFonts w:eastAsia="Times New Roman" w:cs="Times New Roman"/>
                <w:color w:val="000000"/>
                <w:sz w:val="20"/>
                <w:szCs w:val="20"/>
              </w:rPr>
            </w:pPr>
            <w:r w:rsidRPr="006D0427">
              <w:rPr>
                <w:rFonts w:eastAsia="Times New Roman" w:cs="Times New Roman"/>
                <w:color w:val="000000"/>
                <w:sz w:val="20"/>
                <w:szCs w:val="20"/>
              </w:rPr>
              <w:t>Šio straipsnio 1 dalyje numatytais atvejais</w:t>
            </w:r>
            <w:r w:rsidR="003B2563">
              <w:rPr>
                <w:rFonts w:eastAsia="Times New Roman" w:cs="Times New Roman"/>
                <w:color w:val="000000"/>
                <w:sz w:val="20"/>
                <w:szCs w:val="20"/>
              </w:rPr>
              <w:t xml:space="preserve"> pirmuoju ataskaitiniu laikotarpiu</w:t>
            </w:r>
            <w:r w:rsidRPr="006D0427">
              <w:rPr>
                <w:rFonts w:eastAsia="Times New Roman" w:cs="Times New Roman"/>
                <w:color w:val="000000"/>
                <w:sz w:val="20"/>
                <w:szCs w:val="20"/>
              </w:rPr>
              <w:t xml:space="preserve"> iki 2025 m. gruodžio 31 d. atliekamiems viešiesiems pirkimams keliami reikalavimai išreiškiami procentinėmis dalimis, palyginti su bendru viešuosiuose pirkimuose įsigyjamu kelių transporto priemonių parku:</w:t>
            </w:r>
          </w:p>
          <w:p w14:paraId="18FEECC4" w14:textId="77777777" w:rsidR="00C852D8" w:rsidRPr="006D0427" w:rsidRDefault="00C852D8" w:rsidP="00C852D8">
            <w:pPr>
              <w:rPr>
                <w:rFonts w:eastAsia="Times New Roman" w:cs="Times New Roman"/>
                <w:color w:val="000000"/>
                <w:sz w:val="20"/>
                <w:szCs w:val="20"/>
              </w:rPr>
            </w:pPr>
            <w:r w:rsidRPr="006D0427">
              <w:rPr>
                <w:rFonts w:eastAsia="Times New Roman" w:cs="Times New Roman"/>
                <w:color w:val="000000"/>
                <w:sz w:val="20"/>
                <w:szCs w:val="20"/>
              </w:rPr>
              <w:t xml:space="preserve">1)netaršių M1, M2 arba N1 kategorijos transporto priemonių kiekis, palyginti su bendru viešuosiuose pirkimuose įsigyjamu tos pačios kategorijos kelių transporto priemonių kiekiu, turi sudaryti ne mažiau kaip 60 procentų; </w:t>
            </w:r>
          </w:p>
          <w:p w14:paraId="06CDE623" w14:textId="77777777" w:rsidR="00C852D8" w:rsidRPr="006D0427" w:rsidRDefault="00C852D8" w:rsidP="00C852D8">
            <w:pPr>
              <w:rPr>
                <w:rFonts w:eastAsia="Times New Roman" w:cs="Times New Roman"/>
                <w:color w:val="000000"/>
                <w:sz w:val="20"/>
                <w:szCs w:val="20"/>
              </w:rPr>
            </w:pPr>
            <w:r w:rsidRPr="006D0427">
              <w:rPr>
                <w:rFonts w:eastAsia="Times New Roman" w:cs="Times New Roman"/>
                <w:color w:val="000000"/>
                <w:sz w:val="20"/>
                <w:szCs w:val="20"/>
              </w:rPr>
              <w:t>2)netaršių N2 ir N3 kategorijos transporto priemonių kiekis, palyginti su bendru viešuosiuose pirkimuose įsigyjamu tos pačios kategorijos kelių transporto priemonių kiekiu, turi sudaryti ne mažiau kaip 8 procentus;</w:t>
            </w:r>
          </w:p>
          <w:p w14:paraId="24027268" w14:textId="77777777" w:rsidR="00C852D8" w:rsidRPr="006D0427" w:rsidRDefault="00C852D8" w:rsidP="00C852D8">
            <w:pPr>
              <w:rPr>
                <w:rFonts w:eastAsia="Times New Roman" w:cs="Times New Roman"/>
                <w:color w:val="000000"/>
                <w:sz w:val="20"/>
                <w:szCs w:val="20"/>
              </w:rPr>
            </w:pPr>
            <w:r w:rsidRPr="006D0427">
              <w:rPr>
                <w:rFonts w:eastAsia="Times New Roman" w:cs="Times New Roman"/>
                <w:color w:val="000000"/>
                <w:sz w:val="20"/>
                <w:szCs w:val="20"/>
              </w:rPr>
              <w:t xml:space="preserve">3)netaršių M3 kategorijos transporto priemonių kiekis, palyginti su bendru viešuosiuose pirkimuose įsigyjamu tos pačios kategorijos kelių transporto priemonių kiekiu, turi sudaryti ne mažiau kaip 80 procentų. </w:t>
            </w:r>
          </w:p>
          <w:p w14:paraId="0CEBC146" w14:textId="14B6E043" w:rsidR="00C852D8" w:rsidRPr="006D0427" w:rsidRDefault="00C852D8" w:rsidP="00C852D8">
            <w:pPr>
              <w:rPr>
                <w:rFonts w:eastAsia="Times New Roman" w:cs="Times New Roman"/>
                <w:color w:val="000000"/>
                <w:sz w:val="20"/>
                <w:szCs w:val="20"/>
              </w:rPr>
            </w:pPr>
            <w:r w:rsidRPr="006D0427">
              <w:rPr>
                <w:rFonts w:eastAsia="Times New Roman" w:cs="Times New Roman"/>
                <w:color w:val="000000"/>
                <w:sz w:val="20"/>
                <w:szCs w:val="20"/>
              </w:rPr>
              <w:t>4.Šio straipsnio 1 dalyje numatytais atvejais</w:t>
            </w:r>
            <w:r w:rsidR="003B2563">
              <w:rPr>
                <w:rFonts w:eastAsia="Times New Roman" w:cs="Times New Roman"/>
                <w:color w:val="000000"/>
                <w:sz w:val="20"/>
                <w:szCs w:val="20"/>
              </w:rPr>
              <w:t xml:space="preserve"> antruoju ataskaitiniu laikotarpiu</w:t>
            </w:r>
            <w:r w:rsidRPr="006D0427">
              <w:rPr>
                <w:rFonts w:eastAsia="Times New Roman" w:cs="Times New Roman"/>
                <w:color w:val="000000"/>
                <w:sz w:val="20"/>
                <w:szCs w:val="20"/>
              </w:rPr>
              <w:t xml:space="preserve"> iki 2030 m. gruodžio 31 d. atliekamiems viešiesiems pirkimams keliami reikalavimai išreiškiami procentinėmis dalimis, palyginti su bendru viešuosiuose pirkimuose įsigyjamu kelių transporto priemonių parku:</w:t>
            </w:r>
          </w:p>
          <w:p w14:paraId="4B624477" w14:textId="77777777" w:rsidR="00C852D8" w:rsidRPr="006D0427" w:rsidRDefault="00C852D8" w:rsidP="00C852D8">
            <w:pPr>
              <w:rPr>
                <w:rFonts w:eastAsia="Times New Roman" w:cs="Times New Roman"/>
                <w:color w:val="000000"/>
                <w:sz w:val="20"/>
                <w:szCs w:val="20"/>
              </w:rPr>
            </w:pPr>
            <w:r w:rsidRPr="006D0427">
              <w:rPr>
                <w:rFonts w:eastAsia="Times New Roman" w:cs="Times New Roman"/>
                <w:color w:val="000000"/>
                <w:sz w:val="20"/>
                <w:szCs w:val="20"/>
              </w:rPr>
              <w:t>1)netaršių M1, M2 arba N1 kategorijos transporto priemonių kiekis, palyginti su bendru viešuosiuose pirkimuose įsigyjamu tos pačios kategorijos kelių transporto priemonių kiekiu, turi sudaryti 100 procentų;</w:t>
            </w:r>
          </w:p>
          <w:p w14:paraId="13E95F40" w14:textId="77777777" w:rsidR="00C852D8" w:rsidRPr="006D0427" w:rsidRDefault="00C852D8" w:rsidP="00C852D8">
            <w:pPr>
              <w:rPr>
                <w:rFonts w:eastAsia="Times New Roman" w:cs="Times New Roman"/>
                <w:color w:val="000000"/>
                <w:sz w:val="20"/>
                <w:szCs w:val="20"/>
              </w:rPr>
            </w:pPr>
            <w:r w:rsidRPr="006D0427">
              <w:rPr>
                <w:rFonts w:eastAsia="Times New Roman" w:cs="Times New Roman"/>
                <w:color w:val="000000"/>
                <w:sz w:val="20"/>
                <w:szCs w:val="20"/>
              </w:rPr>
              <w:t xml:space="preserve">2)netaršių N2 ir N3 kategorijos transporto priemonių kiekis, palyginti su bendru viešuosiuose pirkimuose įsigyjamu tos pačios kategorijos kelių transporto priemonių kiekiu, turi sudaryti ne mažiau kaip 16 procentų; </w:t>
            </w:r>
          </w:p>
          <w:p w14:paraId="7AF7E1CE" w14:textId="77777777" w:rsidR="00C852D8" w:rsidRPr="006D0427" w:rsidRDefault="00C852D8" w:rsidP="00C852D8">
            <w:pPr>
              <w:rPr>
                <w:rFonts w:eastAsia="Times New Roman" w:cs="Times New Roman"/>
                <w:color w:val="000000"/>
                <w:sz w:val="20"/>
                <w:szCs w:val="20"/>
              </w:rPr>
            </w:pPr>
            <w:r w:rsidRPr="006D0427">
              <w:rPr>
                <w:rFonts w:eastAsia="Times New Roman" w:cs="Times New Roman"/>
                <w:color w:val="000000"/>
                <w:sz w:val="20"/>
                <w:szCs w:val="20"/>
              </w:rPr>
              <w:t xml:space="preserve">3)netaršių M3 kategorijos transporto priemonių kiekis, palyginti su bendru viešuosiuose pirkimuose įsigyjamu tos pačios kategorijos kelių transporto priemonių kiekiu, turi sudaryti 100 procentų.  </w:t>
            </w:r>
          </w:p>
          <w:p w14:paraId="17793272" w14:textId="3FD06F90" w:rsidR="00C852D8" w:rsidRDefault="00C852D8" w:rsidP="00E44B38">
            <w:pPr>
              <w:rPr>
                <w:rFonts w:eastAsia="Times New Roman" w:cs="Times New Roman"/>
                <w:color w:val="000000"/>
                <w:sz w:val="20"/>
                <w:szCs w:val="20"/>
              </w:rPr>
            </w:pPr>
            <w:r w:rsidRPr="006D0427">
              <w:rPr>
                <w:rFonts w:eastAsia="Times New Roman" w:cs="Times New Roman"/>
                <w:color w:val="000000"/>
                <w:sz w:val="20"/>
                <w:szCs w:val="20"/>
              </w:rPr>
              <w:t>5.Kai atliekami netaršių M3 kategorijos transporto priemonių viešieji pirkimai, perkančioji organizacija turi užtikrinti, kad ne mažiau kaip 50 procentų atliktų viešųjų pirkimų būtų atlikti įsigyjant visai netaršias M3 kategorijos transporto priemones.</w:t>
            </w:r>
          </w:p>
          <w:p w14:paraId="3A54B6D0" w14:textId="50250BAD" w:rsidR="00841E47" w:rsidRPr="006121E9" w:rsidRDefault="00841E47" w:rsidP="00E44B38">
            <w:pPr>
              <w:rPr>
                <w:rFonts w:eastAsia="Times New Roman" w:cs="Times New Roman"/>
                <w:color w:val="000000"/>
                <w:sz w:val="20"/>
                <w:szCs w:val="20"/>
              </w:rPr>
            </w:pPr>
            <w:r w:rsidRPr="00841E47">
              <w:rPr>
                <w:rFonts w:eastAsia="Times New Roman" w:cs="Times New Roman"/>
                <w:color w:val="000000"/>
                <w:sz w:val="20"/>
                <w:szCs w:val="20"/>
              </w:rPr>
              <w:t>6.Jei nauji viešojo pirkimo tikslai laikotarpiui po 2030 m. sausio 1 d. nepriimami, toliau taikomi antruoju ataskaitiniu laikotarpiu nustatyti tikslai.</w:t>
            </w:r>
            <w:bookmarkStart w:id="2" w:name="_GoBack"/>
            <w:bookmarkEnd w:id="2"/>
          </w:p>
          <w:p w14:paraId="1BC9568F" w14:textId="5C4C1946" w:rsidR="00E44B38" w:rsidRPr="006121E9" w:rsidRDefault="00E44B38" w:rsidP="00E44B38">
            <w:pPr>
              <w:rPr>
                <w:rFonts w:eastAsia="Times New Roman" w:cs="Times New Roman"/>
                <w:color w:val="000000"/>
                <w:sz w:val="20"/>
                <w:szCs w:val="20"/>
              </w:rPr>
            </w:pPr>
            <w:r w:rsidRPr="006121E9">
              <w:rPr>
                <w:rFonts w:eastAsia="Times New Roman" w:cs="Times New Roman"/>
                <w:color w:val="000000"/>
                <w:sz w:val="20"/>
                <w:szCs w:val="20"/>
              </w:rPr>
              <w:t>&lt;...&gt;</w:t>
            </w:r>
          </w:p>
        </w:tc>
        <w:tc>
          <w:tcPr>
            <w:tcW w:w="2552" w:type="dxa"/>
          </w:tcPr>
          <w:p w14:paraId="160A7741" w14:textId="77D4B3FF" w:rsidR="00E44B38" w:rsidRPr="00EE0CAA" w:rsidRDefault="00E44B38" w:rsidP="00E44B38">
            <w:pPr>
              <w:ind w:left="34"/>
              <w:jc w:val="left"/>
              <w:rPr>
                <w:rFonts w:eastAsia="Times New Roman" w:cs="Times New Roman"/>
                <w:color w:val="000000"/>
                <w:sz w:val="20"/>
                <w:szCs w:val="20"/>
              </w:rPr>
            </w:pPr>
            <w:r w:rsidRPr="00EE0CAA">
              <w:rPr>
                <w:rFonts w:eastAsia="Times New Roman" w:cs="Times New Roman"/>
                <w:color w:val="000000"/>
                <w:sz w:val="20"/>
                <w:szCs w:val="20"/>
              </w:rPr>
              <w:t>Dalinis</w:t>
            </w:r>
          </w:p>
        </w:tc>
      </w:tr>
    </w:tbl>
    <w:p w14:paraId="0195753A" w14:textId="77777777" w:rsidR="002B15DC" w:rsidRPr="00C946AB" w:rsidRDefault="002B15DC" w:rsidP="00C946AB">
      <w:pPr>
        <w:rPr>
          <w:rFonts w:cs="Times New Roman"/>
        </w:rPr>
      </w:pPr>
    </w:p>
    <w:sectPr w:rsidR="002B15DC" w:rsidRPr="00C946AB" w:rsidSect="00E70FAF">
      <w:headerReference w:type="default" r:id="rId11"/>
      <w:pgSz w:w="16838" w:h="11906" w:orient="landscape"/>
      <w:pgMar w:top="1701" w:right="1134" w:bottom="567" w:left="1134" w:header="964" w:footer="567" w:gutter="0"/>
      <w:cols w:space="1296"/>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urimas Salapėta" w:date="2020-06-25T16:56:00Z" w:initials="AS">
    <w:p w14:paraId="2EEA072D" w14:textId="77777777" w:rsidR="008D00FC" w:rsidRDefault="008D00FC" w:rsidP="008D00FC">
      <w:pPr>
        <w:pStyle w:val="CommentText"/>
      </w:pPr>
      <w:r>
        <w:rPr>
          <w:rStyle w:val="CommentReference"/>
        </w:rPr>
        <w:annotationRef/>
      </w:r>
      <w:r>
        <w:t xml:space="preserve">Varomu alternatyviaisiais degalais.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EEA072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EA072D" w16cid:durableId="229F55A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16AC2" w14:textId="77777777" w:rsidR="00D57B44" w:rsidRDefault="00D57B44" w:rsidP="00E70FAF">
      <w:r>
        <w:separator/>
      </w:r>
    </w:p>
  </w:endnote>
  <w:endnote w:type="continuationSeparator" w:id="0">
    <w:p w14:paraId="039AF46A" w14:textId="77777777" w:rsidR="00D57B44" w:rsidRDefault="00D57B44" w:rsidP="00E70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19594A" w14:textId="77777777" w:rsidR="00D57B44" w:rsidRDefault="00D57B44" w:rsidP="00E70FAF">
      <w:r>
        <w:separator/>
      </w:r>
    </w:p>
  </w:footnote>
  <w:footnote w:type="continuationSeparator" w:id="0">
    <w:p w14:paraId="3BAC1528" w14:textId="77777777" w:rsidR="00D57B44" w:rsidRDefault="00D57B44" w:rsidP="00E70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88868"/>
      <w:docPartObj>
        <w:docPartGallery w:val="Page Numbers (Top of Page)"/>
        <w:docPartUnique/>
      </w:docPartObj>
    </w:sdtPr>
    <w:sdtEndPr/>
    <w:sdtContent>
      <w:p w14:paraId="70D14046" w14:textId="77777777" w:rsidR="00CD0C57" w:rsidRDefault="00CD0C57">
        <w:pPr>
          <w:pStyle w:val="Header"/>
          <w:jc w:val="center"/>
        </w:pPr>
        <w:r>
          <w:fldChar w:fldCharType="begin"/>
        </w:r>
        <w:r>
          <w:instrText xml:space="preserve"> PAGE   \* MERGEFORMAT </w:instrText>
        </w:r>
        <w:r>
          <w:fldChar w:fldCharType="separate"/>
        </w:r>
        <w:r>
          <w:rPr>
            <w:noProof/>
          </w:rPr>
          <w:t>40</w:t>
        </w:r>
        <w:r>
          <w:rPr>
            <w:noProof/>
          </w:rPr>
          <w:fldChar w:fldCharType="end"/>
        </w:r>
      </w:p>
    </w:sdtContent>
  </w:sdt>
  <w:p w14:paraId="269BA91B" w14:textId="77777777" w:rsidR="00CD0C57" w:rsidRDefault="00CD0C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27017"/>
    <w:multiLevelType w:val="hybridMultilevel"/>
    <w:tmpl w:val="797E4D44"/>
    <w:lvl w:ilvl="0" w:tplc="68227F5E">
      <w:start w:val="8"/>
      <w:numFmt w:val="decimal"/>
      <w:lvlText w:val="%1."/>
      <w:lvlJc w:val="left"/>
      <w:pPr>
        <w:ind w:left="1211" w:hanging="360"/>
      </w:pPr>
      <w:rPr>
        <w:rFonts w:hint="default"/>
        <w:b w:val="0"/>
        <w:bCs/>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53A1279"/>
    <w:multiLevelType w:val="hybridMultilevel"/>
    <w:tmpl w:val="548E4B76"/>
    <w:lvl w:ilvl="0" w:tplc="E4AAE344">
      <w:start w:val="3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392B5B"/>
    <w:multiLevelType w:val="hybridMultilevel"/>
    <w:tmpl w:val="80887BEC"/>
    <w:lvl w:ilvl="0" w:tplc="FD788890">
      <w:start w:val="2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4836F5D"/>
    <w:multiLevelType w:val="multilevel"/>
    <w:tmpl w:val="C07E1C0A"/>
    <w:lvl w:ilvl="0">
      <w:start w:val="1"/>
      <w:numFmt w:val="decimal"/>
      <w:lvlText w:val="%1."/>
      <w:lvlJc w:val="left"/>
      <w:pPr>
        <w:ind w:left="796" w:hanging="360"/>
      </w:pPr>
      <w:rPr>
        <w:rFonts w:hint="default"/>
      </w:rPr>
    </w:lvl>
    <w:lvl w:ilvl="1">
      <w:start w:val="1"/>
      <w:numFmt w:val="decimal"/>
      <w:lvlText w:val="%1.%2."/>
      <w:lvlJc w:val="left"/>
      <w:pPr>
        <w:ind w:left="856" w:hanging="420"/>
      </w:pPr>
    </w:lvl>
    <w:lvl w:ilvl="2">
      <w:start w:val="1"/>
      <w:numFmt w:val="decimal"/>
      <w:isLgl/>
      <w:lvlText w:val="%1.%2.%3."/>
      <w:lvlJc w:val="left"/>
      <w:pPr>
        <w:ind w:left="1156" w:hanging="720"/>
      </w:pPr>
      <w:rPr>
        <w:rFonts w:hint="default"/>
      </w:rPr>
    </w:lvl>
    <w:lvl w:ilvl="3">
      <w:start w:val="1"/>
      <w:numFmt w:val="decimal"/>
      <w:isLgl/>
      <w:lvlText w:val="%1.%2.%3.%4."/>
      <w:lvlJc w:val="left"/>
      <w:pPr>
        <w:ind w:left="1156" w:hanging="720"/>
      </w:pPr>
      <w:rPr>
        <w:rFonts w:hint="default"/>
      </w:rPr>
    </w:lvl>
    <w:lvl w:ilvl="4">
      <w:start w:val="1"/>
      <w:numFmt w:val="decimal"/>
      <w:isLgl/>
      <w:lvlText w:val="%1.%2.%3.%4.%5."/>
      <w:lvlJc w:val="left"/>
      <w:pPr>
        <w:ind w:left="1516" w:hanging="1080"/>
      </w:pPr>
      <w:rPr>
        <w:rFonts w:hint="default"/>
      </w:rPr>
    </w:lvl>
    <w:lvl w:ilvl="5">
      <w:start w:val="1"/>
      <w:numFmt w:val="decimal"/>
      <w:isLgl/>
      <w:lvlText w:val="%1.%2.%3.%4.%5.%6."/>
      <w:lvlJc w:val="left"/>
      <w:pPr>
        <w:ind w:left="1516" w:hanging="1080"/>
      </w:pPr>
      <w:rPr>
        <w:rFonts w:hint="default"/>
      </w:rPr>
    </w:lvl>
    <w:lvl w:ilvl="6">
      <w:start w:val="1"/>
      <w:numFmt w:val="decimal"/>
      <w:isLgl/>
      <w:lvlText w:val="%1.%2.%3.%4.%5.%6.%7."/>
      <w:lvlJc w:val="left"/>
      <w:pPr>
        <w:ind w:left="1876" w:hanging="1440"/>
      </w:pPr>
      <w:rPr>
        <w:rFonts w:hint="default"/>
      </w:rPr>
    </w:lvl>
    <w:lvl w:ilvl="7">
      <w:start w:val="1"/>
      <w:numFmt w:val="decimal"/>
      <w:isLgl/>
      <w:lvlText w:val="%1.%2.%3.%4.%5.%6.%7.%8."/>
      <w:lvlJc w:val="left"/>
      <w:pPr>
        <w:ind w:left="1876" w:hanging="1440"/>
      </w:pPr>
      <w:rPr>
        <w:rFonts w:hint="default"/>
      </w:rPr>
    </w:lvl>
    <w:lvl w:ilvl="8">
      <w:start w:val="1"/>
      <w:numFmt w:val="decimal"/>
      <w:isLgl/>
      <w:lvlText w:val="%1.%2.%3.%4.%5.%6.%7.%8.%9."/>
      <w:lvlJc w:val="left"/>
      <w:pPr>
        <w:ind w:left="2236" w:hanging="1800"/>
      </w:pPr>
      <w:rPr>
        <w:rFonts w:hint="default"/>
      </w:rPr>
    </w:lvl>
  </w:abstractNum>
  <w:abstractNum w:abstractNumId="4" w15:restartNumberingAfterBreak="0">
    <w:nsid w:val="32CE4642"/>
    <w:multiLevelType w:val="multilevel"/>
    <w:tmpl w:val="4CB2C1FA"/>
    <w:lvl w:ilvl="0">
      <w:start w:val="1"/>
      <w:numFmt w:val="decimal"/>
      <w:lvlText w:val="%1."/>
      <w:lvlJc w:val="left"/>
      <w:pPr>
        <w:ind w:left="720" w:hanging="360"/>
      </w:pPr>
    </w:lvl>
    <w:lvl w:ilvl="1">
      <w:start w:val="1"/>
      <w:numFmt w:val="decimal"/>
      <w:lvlText w:val="%2)"/>
      <w:lvlJc w:val="left"/>
      <w:pPr>
        <w:ind w:left="786" w:hanging="360"/>
      </w:pPr>
      <w:rPr>
        <w:rFonts w:ascii="Times New Roman" w:eastAsiaTheme="minorHAnsi" w:hAnsi="Times New Roman" w:cs="Times New Roman"/>
      </w:rPr>
    </w:lvl>
    <w:lvl w:ilvl="2">
      <w:start w:val="1"/>
      <w:numFmt w:val="decimal"/>
      <w:lvlText w:val="%3)"/>
      <w:lvlJc w:val="left"/>
      <w:pPr>
        <w:ind w:left="1212" w:hanging="720"/>
      </w:p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 w15:restartNumberingAfterBreak="0">
    <w:nsid w:val="39047B4D"/>
    <w:multiLevelType w:val="hybridMultilevel"/>
    <w:tmpl w:val="0882B0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A186450"/>
    <w:multiLevelType w:val="multilevel"/>
    <w:tmpl w:val="85C2EBD4"/>
    <w:lvl w:ilvl="0">
      <w:start w:val="1"/>
      <w:numFmt w:val="decimal"/>
      <w:lvlText w:val="%1."/>
      <w:lvlJc w:val="left"/>
      <w:pPr>
        <w:ind w:left="720" w:hanging="360"/>
      </w:pPr>
    </w:lvl>
    <w:lvl w:ilvl="1">
      <w:start w:val="1"/>
      <w:numFmt w:val="decimal"/>
      <w:lvlText w:val="%2)"/>
      <w:lvlJc w:val="left"/>
      <w:pPr>
        <w:ind w:left="786" w:hanging="360"/>
      </w:pPr>
      <w:rPr>
        <w:rFonts w:ascii="Times New Roman" w:eastAsiaTheme="minorHAnsi" w:hAnsi="Times New Roman" w:cs="Times New Roman"/>
      </w:rPr>
    </w:lvl>
    <w:lvl w:ilvl="2">
      <w:start w:val="1"/>
      <w:numFmt w:val="decimal"/>
      <w:lvlText w:val="%3)"/>
      <w:lvlJc w:val="left"/>
      <w:pPr>
        <w:ind w:left="1212" w:hanging="720"/>
      </w:p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7" w15:restartNumberingAfterBreak="0">
    <w:nsid w:val="3BC12455"/>
    <w:multiLevelType w:val="hybridMultilevel"/>
    <w:tmpl w:val="1F30B8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1886CDB"/>
    <w:multiLevelType w:val="hybridMultilevel"/>
    <w:tmpl w:val="821E4862"/>
    <w:lvl w:ilvl="0" w:tplc="40D6AC4A">
      <w:start w:val="1"/>
      <w:numFmt w:val="decimal"/>
      <w:lvlText w:val="%1."/>
      <w:lvlJc w:val="left"/>
      <w:pPr>
        <w:ind w:left="1658" w:hanging="360"/>
      </w:pPr>
      <w:rPr>
        <w:rFonts w:hint="default"/>
        <w:b w:val="0"/>
        <w:bCs/>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9" w15:restartNumberingAfterBreak="0">
    <w:nsid w:val="64567C01"/>
    <w:multiLevelType w:val="hybridMultilevel"/>
    <w:tmpl w:val="7EA86B32"/>
    <w:lvl w:ilvl="0" w:tplc="FFAE584C">
      <w:start w:val="1"/>
      <w:numFmt w:val="decimal"/>
      <w:lvlText w:val="%1."/>
      <w:lvlJc w:val="left"/>
      <w:pPr>
        <w:ind w:left="720" w:hanging="360"/>
      </w:pPr>
      <w:rPr>
        <w:b w:val="0"/>
        <w:bCs w:val="0"/>
      </w:rPr>
    </w:lvl>
    <w:lvl w:ilvl="1" w:tplc="FFFFFFFF">
      <w:start w:val="1"/>
      <w:numFmt w:val="decimal"/>
      <w:lvlText w:val="%2)"/>
      <w:lvlJc w:val="left"/>
      <w:pPr>
        <w:ind w:left="1440" w:hanging="360"/>
      </w:pPr>
    </w:lvl>
    <w:lvl w:ilvl="2" w:tplc="9DBCBECA">
      <w:start w:val="1"/>
      <w:numFmt w:val="lowerRoman"/>
      <w:lvlText w:val="%3."/>
      <w:lvlJc w:val="right"/>
      <w:pPr>
        <w:ind w:left="2160" w:hanging="180"/>
      </w:pPr>
    </w:lvl>
    <w:lvl w:ilvl="3" w:tplc="FFDE8886">
      <w:start w:val="1"/>
      <w:numFmt w:val="decimal"/>
      <w:lvlText w:val="%4."/>
      <w:lvlJc w:val="left"/>
      <w:pPr>
        <w:ind w:left="2880" w:hanging="360"/>
      </w:pPr>
      <w:rPr>
        <w:b w:val="0"/>
        <w:bCs w:val="0"/>
      </w:rPr>
    </w:lvl>
    <w:lvl w:ilvl="4" w:tplc="4B600674">
      <w:start w:val="1"/>
      <w:numFmt w:val="lowerLetter"/>
      <w:lvlText w:val="%5."/>
      <w:lvlJc w:val="left"/>
      <w:pPr>
        <w:ind w:left="3600" w:hanging="360"/>
      </w:pPr>
    </w:lvl>
    <w:lvl w:ilvl="5" w:tplc="FA620D88">
      <w:start w:val="1"/>
      <w:numFmt w:val="lowerRoman"/>
      <w:lvlText w:val="%6."/>
      <w:lvlJc w:val="right"/>
      <w:pPr>
        <w:ind w:left="4320" w:hanging="180"/>
      </w:pPr>
    </w:lvl>
    <w:lvl w:ilvl="6" w:tplc="5B32140C">
      <w:start w:val="1"/>
      <w:numFmt w:val="decimal"/>
      <w:lvlText w:val="%7."/>
      <w:lvlJc w:val="left"/>
      <w:pPr>
        <w:ind w:left="5040" w:hanging="360"/>
      </w:pPr>
    </w:lvl>
    <w:lvl w:ilvl="7" w:tplc="7718718E">
      <w:start w:val="1"/>
      <w:numFmt w:val="lowerLetter"/>
      <w:lvlText w:val="%8."/>
      <w:lvlJc w:val="left"/>
      <w:pPr>
        <w:ind w:left="5760" w:hanging="360"/>
      </w:pPr>
    </w:lvl>
    <w:lvl w:ilvl="8" w:tplc="C108D2AE">
      <w:start w:val="1"/>
      <w:numFmt w:val="lowerRoman"/>
      <w:lvlText w:val="%9."/>
      <w:lvlJc w:val="right"/>
      <w:pPr>
        <w:ind w:left="6480" w:hanging="180"/>
      </w:pPr>
    </w:lvl>
  </w:abstractNum>
  <w:abstractNum w:abstractNumId="10" w15:restartNumberingAfterBreak="0">
    <w:nsid w:val="6A16148D"/>
    <w:multiLevelType w:val="hybridMultilevel"/>
    <w:tmpl w:val="8B2E0A18"/>
    <w:lvl w:ilvl="0" w:tplc="CE482136">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1" w15:restartNumberingAfterBreak="0">
    <w:nsid w:val="734A2DE1"/>
    <w:multiLevelType w:val="hybridMultilevel"/>
    <w:tmpl w:val="64ACAF2E"/>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7252491"/>
    <w:multiLevelType w:val="hybridMultilevel"/>
    <w:tmpl w:val="FFFFFFFF"/>
    <w:lvl w:ilvl="0" w:tplc="FC504F42">
      <w:start w:val="1"/>
      <w:numFmt w:val="lowerLetter"/>
      <w:lvlText w:val="%1)"/>
      <w:lvlJc w:val="left"/>
      <w:pPr>
        <w:ind w:left="720" w:hanging="360"/>
      </w:pPr>
    </w:lvl>
    <w:lvl w:ilvl="1" w:tplc="26840328">
      <w:start w:val="1"/>
      <w:numFmt w:val="lowerLetter"/>
      <w:lvlText w:val="%2."/>
      <w:lvlJc w:val="left"/>
      <w:pPr>
        <w:ind w:left="1440" w:hanging="360"/>
      </w:pPr>
    </w:lvl>
    <w:lvl w:ilvl="2" w:tplc="7FB6F53C">
      <w:start w:val="1"/>
      <w:numFmt w:val="lowerRoman"/>
      <w:lvlText w:val="%3."/>
      <w:lvlJc w:val="right"/>
      <w:pPr>
        <w:ind w:left="2160" w:hanging="180"/>
      </w:pPr>
    </w:lvl>
    <w:lvl w:ilvl="3" w:tplc="A39AC102">
      <w:start w:val="1"/>
      <w:numFmt w:val="decimal"/>
      <w:lvlText w:val="%4."/>
      <w:lvlJc w:val="left"/>
      <w:pPr>
        <w:ind w:left="2880" w:hanging="360"/>
      </w:pPr>
    </w:lvl>
    <w:lvl w:ilvl="4" w:tplc="21E25B1E">
      <w:start w:val="1"/>
      <w:numFmt w:val="lowerLetter"/>
      <w:lvlText w:val="%5."/>
      <w:lvlJc w:val="left"/>
      <w:pPr>
        <w:ind w:left="3600" w:hanging="360"/>
      </w:pPr>
    </w:lvl>
    <w:lvl w:ilvl="5" w:tplc="0B6EB9D4">
      <w:start w:val="1"/>
      <w:numFmt w:val="lowerRoman"/>
      <w:lvlText w:val="%6."/>
      <w:lvlJc w:val="right"/>
      <w:pPr>
        <w:ind w:left="4320" w:hanging="180"/>
      </w:pPr>
    </w:lvl>
    <w:lvl w:ilvl="6" w:tplc="7E04D270">
      <w:start w:val="1"/>
      <w:numFmt w:val="decimal"/>
      <w:lvlText w:val="%7."/>
      <w:lvlJc w:val="left"/>
      <w:pPr>
        <w:ind w:left="5040" w:hanging="360"/>
      </w:pPr>
    </w:lvl>
    <w:lvl w:ilvl="7" w:tplc="B978E500">
      <w:start w:val="1"/>
      <w:numFmt w:val="lowerLetter"/>
      <w:lvlText w:val="%8."/>
      <w:lvlJc w:val="left"/>
      <w:pPr>
        <w:ind w:left="5760" w:hanging="360"/>
      </w:pPr>
    </w:lvl>
    <w:lvl w:ilvl="8" w:tplc="E312DED0">
      <w:start w:val="1"/>
      <w:numFmt w:val="lowerRoman"/>
      <w:lvlText w:val="%9."/>
      <w:lvlJc w:val="right"/>
      <w:pPr>
        <w:ind w:left="6480" w:hanging="180"/>
      </w:pPr>
    </w:lvl>
  </w:abstractNum>
  <w:abstractNum w:abstractNumId="13" w15:restartNumberingAfterBreak="0">
    <w:nsid w:val="77AE1189"/>
    <w:multiLevelType w:val="multilevel"/>
    <w:tmpl w:val="C07E1C0A"/>
    <w:lvl w:ilvl="0">
      <w:start w:val="1"/>
      <w:numFmt w:val="decimal"/>
      <w:lvlText w:val="%1."/>
      <w:lvlJc w:val="left"/>
      <w:pPr>
        <w:ind w:left="796" w:hanging="360"/>
      </w:pPr>
      <w:rPr>
        <w:rFonts w:hint="default"/>
      </w:rPr>
    </w:lvl>
    <w:lvl w:ilvl="1">
      <w:start w:val="1"/>
      <w:numFmt w:val="decimal"/>
      <w:lvlText w:val="%1.%2."/>
      <w:lvlJc w:val="left"/>
      <w:pPr>
        <w:ind w:left="856" w:hanging="420"/>
      </w:pPr>
    </w:lvl>
    <w:lvl w:ilvl="2">
      <w:start w:val="1"/>
      <w:numFmt w:val="decimal"/>
      <w:isLgl/>
      <w:lvlText w:val="%1.%2.%3."/>
      <w:lvlJc w:val="left"/>
      <w:pPr>
        <w:ind w:left="1156" w:hanging="720"/>
      </w:pPr>
      <w:rPr>
        <w:rFonts w:hint="default"/>
      </w:rPr>
    </w:lvl>
    <w:lvl w:ilvl="3">
      <w:start w:val="1"/>
      <w:numFmt w:val="decimal"/>
      <w:isLgl/>
      <w:lvlText w:val="%1.%2.%3.%4."/>
      <w:lvlJc w:val="left"/>
      <w:pPr>
        <w:ind w:left="1156" w:hanging="720"/>
      </w:pPr>
      <w:rPr>
        <w:rFonts w:hint="default"/>
      </w:rPr>
    </w:lvl>
    <w:lvl w:ilvl="4">
      <w:start w:val="1"/>
      <w:numFmt w:val="decimal"/>
      <w:isLgl/>
      <w:lvlText w:val="%1.%2.%3.%4.%5."/>
      <w:lvlJc w:val="left"/>
      <w:pPr>
        <w:ind w:left="1516" w:hanging="1080"/>
      </w:pPr>
      <w:rPr>
        <w:rFonts w:hint="default"/>
      </w:rPr>
    </w:lvl>
    <w:lvl w:ilvl="5">
      <w:start w:val="1"/>
      <w:numFmt w:val="decimal"/>
      <w:isLgl/>
      <w:lvlText w:val="%1.%2.%3.%4.%5.%6."/>
      <w:lvlJc w:val="left"/>
      <w:pPr>
        <w:ind w:left="1516" w:hanging="1080"/>
      </w:pPr>
      <w:rPr>
        <w:rFonts w:hint="default"/>
      </w:rPr>
    </w:lvl>
    <w:lvl w:ilvl="6">
      <w:start w:val="1"/>
      <w:numFmt w:val="decimal"/>
      <w:isLgl/>
      <w:lvlText w:val="%1.%2.%3.%4.%5.%6.%7."/>
      <w:lvlJc w:val="left"/>
      <w:pPr>
        <w:ind w:left="1876" w:hanging="1440"/>
      </w:pPr>
      <w:rPr>
        <w:rFonts w:hint="default"/>
      </w:rPr>
    </w:lvl>
    <w:lvl w:ilvl="7">
      <w:start w:val="1"/>
      <w:numFmt w:val="decimal"/>
      <w:isLgl/>
      <w:lvlText w:val="%1.%2.%3.%4.%5.%6.%7.%8."/>
      <w:lvlJc w:val="left"/>
      <w:pPr>
        <w:ind w:left="1876" w:hanging="1440"/>
      </w:pPr>
      <w:rPr>
        <w:rFonts w:hint="default"/>
      </w:rPr>
    </w:lvl>
    <w:lvl w:ilvl="8">
      <w:start w:val="1"/>
      <w:numFmt w:val="decimal"/>
      <w:isLgl/>
      <w:lvlText w:val="%1.%2.%3.%4.%5.%6.%7.%8.%9."/>
      <w:lvlJc w:val="left"/>
      <w:pPr>
        <w:ind w:left="2236" w:hanging="1800"/>
      </w:pPr>
      <w:rPr>
        <w:rFonts w:hint="default"/>
      </w:rPr>
    </w:lvl>
  </w:abstractNum>
  <w:abstractNum w:abstractNumId="14" w15:restartNumberingAfterBreak="0">
    <w:nsid w:val="790B6A16"/>
    <w:multiLevelType w:val="hybridMultilevel"/>
    <w:tmpl w:val="8176FFEC"/>
    <w:lvl w:ilvl="0" w:tplc="11ECCE22">
      <w:start w:val="2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E8A4D00"/>
    <w:multiLevelType w:val="hybridMultilevel"/>
    <w:tmpl w:val="FD16F904"/>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FF10E5F"/>
    <w:multiLevelType w:val="hybridMultilevel"/>
    <w:tmpl w:val="741CB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16"/>
  </w:num>
  <w:num w:numId="3">
    <w:abstractNumId w:val="0"/>
  </w:num>
  <w:num w:numId="4">
    <w:abstractNumId w:val="8"/>
  </w:num>
  <w:num w:numId="5">
    <w:abstractNumId w:val="10"/>
  </w:num>
  <w:num w:numId="6">
    <w:abstractNumId w:val="4"/>
  </w:num>
  <w:num w:numId="7">
    <w:abstractNumId w:val="9"/>
  </w:num>
  <w:num w:numId="8">
    <w:abstractNumId w:val="6"/>
  </w:num>
  <w:num w:numId="9">
    <w:abstractNumId w:val="7"/>
  </w:num>
  <w:num w:numId="10">
    <w:abstractNumId w:val="3"/>
  </w:num>
  <w:num w:numId="11">
    <w:abstractNumId w:val="13"/>
  </w:num>
  <w:num w:numId="12">
    <w:abstractNumId w:val="12"/>
  </w:num>
  <w:num w:numId="13">
    <w:abstractNumId w:val="14"/>
  </w:num>
  <w:num w:numId="14">
    <w:abstractNumId w:val="2"/>
  </w:num>
  <w:num w:numId="15">
    <w:abstractNumId w:val="1"/>
  </w:num>
  <w:num w:numId="16">
    <w:abstractNumId w:val="11"/>
  </w:num>
  <w:num w:numId="1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rimas Salapėta">
    <w15:presenceInfo w15:providerId="AD" w15:userId="S::a.salapeta@enmin.lt::ec186771-4821-489a-8508-6bca164c76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8"/>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5DC"/>
    <w:rsid w:val="00010362"/>
    <w:rsid w:val="00012A0E"/>
    <w:rsid w:val="00015215"/>
    <w:rsid w:val="0001700E"/>
    <w:rsid w:val="00017E89"/>
    <w:rsid w:val="000203F5"/>
    <w:rsid w:val="00026340"/>
    <w:rsid w:val="000316B5"/>
    <w:rsid w:val="0003668F"/>
    <w:rsid w:val="00040711"/>
    <w:rsid w:val="000423F3"/>
    <w:rsid w:val="0004247F"/>
    <w:rsid w:val="00043F8C"/>
    <w:rsid w:val="00045010"/>
    <w:rsid w:val="00045874"/>
    <w:rsid w:val="00050388"/>
    <w:rsid w:val="000536D4"/>
    <w:rsid w:val="00053E9B"/>
    <w:rsid w:val="00055E5C"/>
    <w:rsid w:val="00060F60"/>
    <w:rsid w:val="00062BC0"/>
    <w:rsid w:val="00063FEA"/>
    <w:rsid w:val="0006622A"/>
    <w:rsid w:val="00076E5C"/>
    <w:rsid w:val="0007784E"/>
    <w:rsid w:val="00080578"/>
    <w:rsid w:val="000A2C2C"/>
    <w:rsid w:val="000A7652"/>
    <w:rsid w:val="000A79BA"/>
    <w:rsid w:val="000B481C"/>
    <w:rsid w:val="000B513E"/>
    <w:rsid w:val="000B763A"/>
    <w:rsid w:val="000D0DBA"/>
    <w:rsid w:val="000D4BBD"/>
    <w:rsid w:val="000D7713"/>
    <w:rsid w:val="000E1882"/>
    <w:rsid w:val="000F18C3"/>
    <w:rsid w:val="000F6119"/>
    <w:rsid w:val="000F6DB5"/>
    <w:rsid w:val="000F776E"/>
    <w:rsid w:val="00100EC6"/>
    <w:rsid w:val="001021CE"/>
    <w:rsid w:val="00103E61"/>
    <w:rsid w:val="001055FB"/>
    <w:rsid w:val="001056F8"/>
    <w:rsid w:val="00133624"/>
    <w:rsid w:val="00134B8D"/>
    <w:rsid w:val="0013596D"/>
    <w:rsid w:val="00140D42"/>
    <w:rsid w:val="001461C3"/>
    <w:rsid w:val="0015656A"/>
    <w:rsid w:val="001612F7"/>
    <w:rsid w:val="00165E43"/>
    <w:rsid w:val="0016612B"/>
    <w:rsid w:val="001744A6"/>
    <w:rsid w:val="0017656E"/>
    <w:rsid w:val="00180B48"/>
    <w:rsid w:val="00184755"/>
    <w:rsid w:val="00190ECD"/>
    <w:rsid w:val="001945CA"/>
    <w:rsid w:val="001A3D12"/>
    <w:rsid w:val="001B6B46"/>
    <w:rsid w:val="001B72F8"/>
    <w:rsid w:val="001B76D3"/>
    <w:rsid w:val="001C5A1F"/>
    <w:rsid w:val="001C6D92"/>
    <w:rsid w:val="001C7415"/>
    <w:rsid w:val="001D2C3F"/>
    <w:rsid w:val="001E2F13"/>
    <w:rsid w:val="002020C4"/>
    <w:rsid w:val="00203EAC"/>
    <w:rsid w:val="00203FE6"/>
    <w:rsid w:val="00204030"/>
    <w:rsid w:val="00206887"/>
    <w:rsid w:val="00210A9F"/>
    <w:rsid w:val="00214D8E"/>
    <w:rsid w:val="00222E9E"/>
    <w:rsid w:val="00223525"/>
    <w:rsid w:val="00242E17"/>
    <w:rsid w:val="00243BFF"/>
    <w:rsid w:val="00255725"/>
    <w:rsid w:val="00257E49"/>
    <w:rsid w:val="002630F1"/>
    <w:rsid w:val="002645F9"/>
    <w:rsid w:val="00272265"/>
    <w:rsid w:val="00272A7A"/>
    <w:rsid w:val="002731D7"/>
    <w:rsid w:val="00282749"/>
    <w:rsid w:val="00283A36"/>
    <w:rsid w:val="0028439B"/>
    <w:rsid w:val="0028670F"/>
    <w:rsid w:val="00286CE1"/>
    <w:rsid w:val="002A506C"/>
    <w:rsid w:val="002A677B"/>
    <w:rsid w:val="002B15DC"/>
    <w:rsid w:val="002B2C57"/>
    <w:rsid w:val="002B77ED"/>
    <w:rsid w:val="002C03E4"/>
    <w:rsid w:val="002C054E"/>
    <w:rsid w:val="002C21A1"/>
    <w:rsid w:val="002C3EDA"/>
    <w:rsid w:val="002C6F07"/>
    <w:rsid w:val="002D2553"/>
    <w:rsid w:val="002E1A19"/>
    <w:rsid w:val="002E1A5D"/>
    <w:rsid w:val="002E37C1"/>
    <w:rsid w:val="002E4B2D"/>
    <w:rsid w:val="002E530C"/>
    <w:rsid w:val="002E6387"/>
    <w:rsid w:val="002F3C69"/>
    <w:rsid w:val="00304A9B"/>
    <w:rsid w:val="003100BE"/>
    <w:rsid w:val="00321EA7"/>
    <w:rsid w:val="00323CA6"/>
    <w:rsid w:val="003247DF"/>
    <w:rsid w:val="003337E7"/>
    <w:rsid w:val="00334D1C"/>
    <w:rsid w:val="00336722"/>
    <w:rsid w:val="003400CF"/>
    <w:rsid w:val="003469EE"/>
    <w:rsid w:val="00362993"/>
    <w:rsid w:val="003664FB"/>
    <w:rsid w:val="0037220C"/>
    <w:rsid w:val="00375D20"/>
    <w:rsid w:val="003767E9"/>
    <w:rsid w:val="0038413D"/>
    <w:rsid w:val="0038545C"/>
    <w:rsid w:val="00387EE2"/>
    <w:rsid w:val="00395291"/>
    <w:rsid w:val="003969F0"/>
    <w:rsid w:val="003A1DE4"/>
    <w:rsid w:val="003A66C5"/>
    <w:rsid w:val="003B0997"/>
    <w:rsid w:val="003B20C1"/>
    <w:rsid w:val="003B2563"/>
    <w:rsid w:val="003C4941"/>
    <w:rsid w:val="003C7966"/>
    <w:rsid w:val="003C7E36"/>
    <w:rsid w:val="003D13F4"/>
    <w:rsid w:val="003D2CE3"/>
    <w:rsid w:val="003D5251"/>
    <w:rsid w:val="003E18E1"/>
    <w:rsid w:val="003E1A80"/>
    <w:rsid w:val="003E4BFB"/>
    <w:rsid w:val="003F16F9"/>
    <w:rsid w:val="00410BD3"/>
    <w:rsid w:val="004167A4"/>
    <w:rsid w:val="00417827"/>
    <w:rsid w:val="0042708E"/>
    <w:rsid w:val="00455B51"/>
    <w:rsid w:val="004577C9"/>
    <w:rsid w:val="004579E0"/>
    <w:rsid w:val="00457E8B"/>
    <w:rsid w:val="00460BB6"/>
    <w:rsid w:val="004611B6"/>
    <w:rsid w:val="00461248"/>
    <w:rsid w:val="00463C35"/>
    <w:rsid w:val="004713E8"/>
    <w:rsid w:val="00473D91"/>
    <w:rsid w:val="0047504F"/>
    <w:rsid w:val="00485FF5"/>
    <w:rsid w:val="00486983"/>
    <w:rsid w:val="00486E5A"/>
    <w:rsid w:val="0049718A"/>
    <w:rsid w:val="004A6E8B"/>
    <w:rsid w:val="004B1AF9"/>
    <w:rsid w:val="004B709A"/>
    <w:rsid w:val="004C0F3E"/>
    <w:rsid w:val="004C65F3"/>
    <w:rsid w:val="004D5B31"/>
    <w:rsid w:val="004E214D"/>
    <w:rsid w:val="004E5BB6"/>
    <w:rsid w:val="004F7AC9"/>
    <w:rsid w:val="00513ADC"/>
    <w:rsid w:val="00522D89"/>
    <w:rsid w:val="00523AC9"/>
    <w:rsid w:val="005336F1"/>
    <w:rsid w:val="005408A7"/>
    <w:rsid w:val="00540ED2"/>
    <w:rsid w:val="005444FF"/>
    <w:rsid w:val="00545FB8"/>
    <w:rsid w:val="0055269A"/>
    <w:rsid w:val="005569AF"/>
    <w:rsid w:val="0056175D"/>
    <w:rsid w:val="0056248F"/>
    <w:rsid w:val="00567D17"/>
    <w:rsid w:val="0057326F"/>
    <w:rsid w:val="0057354B"/>
    <w:rsid w:val="005763AF"/>
    <w:rsid w:val="00577A2F"/>
    <w:rsid w:val="00581FC5"/>
    <w:rsid w:val="005837C0"/>
    <w:rsid w:val="00595281"/>
    <w:rsid w:val="005A0CE0"/>
    <w:rsid w:val="005B118B"/>
    <w:rsid w:val="005B4970"/>
    <w:rsid w:val="005C0CF0"/>
    <w:rsid w:val="005C3A29"/>
    <w:rsid w:val="005D184F"/>
    <w:rsid w:val="005D3D0C"/>
    <w:rsid w:val="005D781B"/>
    <w:rsid w:val="005E060A"/>
    <w:rsid w:val="005F34E0"/>
    <w:rsid w:val="005F4C67"/>
    <w:rsid w:val="00603F2D"/>
    <w:rsid w:val="006121E9"/>
    <w:rsid w:val="00612368"/>
    <w:rsid w:val="00616AB6"/>
    <w:rsid w:val="00626065"/>
    <w:rsid w:val="00632DDD"/>
    <w:rsid w:val="00633781"/>
    <w:rsid w:val="006338EE"/>
    <w:rsid w:val="0063413F"/>
    <w:rsid w:val="00635082"/>
    <w:rsid w:val="00660334"/>
    <w:rsid w:val="00666CBC"/>
    <w:rsid w:val="00671467"/>
    <w:rsid w:val="00674023"/>
    <w:rsid w:val="006742E8"/>
    <w:rsid w:val="00682BE4"/>
    <w:rsid w:val="00686BCA"/>
    <w:rsid w:val="0069100E"/>
    <w:rsid w:val="006913D2"/>
    <w:rsid w:val="006917BB"/>
    <w:rsid w:val="0069586B"/>
    <w:rsid w:val="006A4F29"/>
    <w:rsid w:val="006A5A2C"/>
    <w:rsid w:val="006B300C"/>
    <w:rsid w:val="006B4A7B"/>
    <w:rsid w:val="006B6BEE"/>
    <w:rsid w:val="006C047E"/>
    <w:rsid w:val="006C10DD"/>
    <w:rsid w:val="006C5952"/>
    <w:rsid w:val="006D0427"/>
    <w:rsid w:val="006D1FF7"/>
    <w:rsid w:val="006D258B"/>
    <w:rsid w:val="006E01B7"/>
    <w:rsid w:val="006E6C50"/>
    <w:rsid w:val="007021C8"/>
    <w:rsid w:val="00702CC4"/>
    <w:rsid w:val="007036AC"/>
    <w:rsid w:val="00706626"/>
    <w:rsid w:val="007067F4"/>
    <w:rsid w:val="00706980"/>
    <w:rsid w:val="007230FA"/>
    <w:rsid w:val="00723313"/>
    <w:rsid w:val="0072451A"/>
    <w:rsid w:val="00724E49"/>
    <w:rsid w:val="007269A5"/>
    <w:rsid w:val="00731744"/>
    <w:rsid w:val="007440E6"/>
    <w:rsid w:val="007452B2"/>
    <w:rsid w:val="0074773D"/>
    <w:rsid w:val="0075233A"/>
    <w:rsid w:val="007639C4"/>
    <w:rsid w:val="00766581"/>
    <w:rsid w:val="00766D59"/>
    <w:rsid w:val="007716CE"/>
    <w:rsid w:val="00773F31"/>
    <w:rsid w:val="00776907"/>
    <w:rsid w:val="0078668C"/>
    <w:rsid w:val="00786F31"/>
    <w:rsid w:val="0079016E"/>
    <w:rsid w:val="00791797"/>
    <w:rsid w:val="007929AC"/>
    <w:rsid w:val="00792BFD"/>
    <w:rsid w:val="007939F3"/>
    <w:rsid w:val="00793F72"/>
    <w:rsid w:val="00794758"/>
    <w:rsid w:val="007952DD"/>
    <w:rsid w:val="00795A88"/>
    <w:rsid w:val="00796AC4"/>
    <w:rsid w:val="007A2B52"/>
    <w:rsid w:val="007A2C05"/>
    <w:rsid w:val="007B0975"/>
    <w:rsid w:val="007B2782"/>
    <w:rsid w:val="007D0648"/>
    <w:rsid w:val="007D48EF"/>
    <w:rsid w:val="007E2E80"/>
    <w:rsid w:val="007E3B44"/>
    <w:rsid w:val="007F3F50"/>
    <w:rsid w:val="00807424"/>
    <w:rsid w:val="0082231C"/>
    <w:rsid w:val="008234C9"/>
    <w:rsid w:val="00823B88"/>
    <w:rsid w:val="00824FDA"/>
    <w:rsid w:val="00826CE5"/>
    <w:rsid w:val="008405DA"/>
    <w:rsid w:val="00840E64"/>
    <w:rsid w:val="00841E47"/>
    <w:rsid w:val="00841ECE"/>
    <w:rsid w:val="00853F1A"/>
    <w:rsid w:val="00866D48"/>
    <w:rsid w:val="00881A8C"/>
    <w:rsid w:val="00884705"/>
    <w:rsid w:val="00894852"/>
    <w:rsid w:val="008B09AD"/>
    <w:rsid w:val="008B7D3C"/>
    <w:rsid w:val="008C2C13"/>
    <w:rsid w:val="008C6F02"/>
    <w:rsid w:val="008D00FC"/>
    <w:rsid w:val="008D1FE3"/>
    <w:rsid w:val="008E7686"/>
    <w:rsid w:val="008F1E14"/>
    <w:rsid w:val="008F5753"/>
    <w:rsid w:val="008F7961"/>
    <w:rsid w:val="00900E24"/>
    <w:rsid w:val="009104B8"/>
    <w:rsid w:val="009143C0"/>
    <w:rsid w:val="0091718E"/>
    <w:rsid w:val="00920386"/>
    <w:rsid w:val="009216D8"/>
    <w:rsid w:val="00924C1E"/>
    <w:rsid w:val="00927790"/>
    <w:rsid w:val="009329DE"/>
    <w:rsid w:val="00935065"/>
    <w:rsid w:val="00941354"/>
    <w:rsid w:val="009439E2"/>
    <w:rsid w:val="009457EC"/>
    <w:rsid w:val="00945AD1"/>
    <w:rsid w:val="0095053C"/>
    <w:rsid w:val="0096017D"/>
    <w:rsid w:val="00962622"/>
    <w:rsid w:val="00965926"/>
    <w:rsid w:val="00970FEC"/>
    <w:rsid w:val="00974F2A"/>
    <w:rsid w:val="00977823"/>
    <w:rsid w:val="0098085C"/>
    <w:rsid w:val="00985BAD"/>
    <w:rsid w:val="009A0378"/>
    <w:rsid w:val="009A24BE"/>
    <w:rsid w:val="009A70B1"/>
    <w:rsid w:val="009B0A33"/>
    <w:rsid w:val="009B3682"/>
    <w:rsid w:val="009B526B"/>
    <w:rsid w:val="009C1EC8"/>
    <w:rsid w:val="009C3B18"/>
    <w:rsid w:val="009C6F7F"/>
    <w:rsid w:val="009C7F12"/>
    <w:rsid w:val="009D275E"/>
    <w:rsid w:val="009D6962"/>
    <w:rsid w:val="009E1A12"/>
    <w:rsid w:val="009E3869"/>
    <w:rsid w:val="009F1BB1"/>
    <w:rsid w:val="009F53E5"/>
    <w:rsid w:val="009F6750"/>
    <w:rsid w:val="00A02F2E"/>
    <w:rsid w:val="00A033E7"/>
    <w:rsid w:val="00A069D5"/>
    <w:rsid w:val="00A07E54"/>
    <w:rsid w:val="00A13371"/>
    <w:rsid w:val="00A16369"/>
    <w:rsid w:val="00A209C7"/>
    <w:rsid w:val="00A25863"/>
    <w:rsid w:val="00A267BA"/>
    <w:rsid w:val="00A26CC7"/>
    <w:rsid w:val="00A307CA"/>
    <w:rsid w:val="00A30ACA"/>
    <w:rsid w:val="00A32648"/>
    <w:rsid w:val="00A33A67"/>
    <w:rsid w:val="00A3798B"/>
    <w:rsid w:val="00A45182"/>
    <w:rsid w:val="00A452D5"/>
    <w:rsid w:val="00A46986"/>
    <w:rsid w:val="00A51FAE"/>
    <w:rsid w:val="00A54C23"/>
    <w:rsid w:val="00A6005F"/>
    <w:rsid w:val="00A60A94"/>
    <w:rsid w:val="00A633A3"/>
    <w:rsid w:val="00A66379"/>
    <w:rsid w:val="00A67BF0"/>
    <w:rsid w:val="00A71D66"/>
    <w:rsid w:val="00A728EB"/>
    <w:rsid w:val="00A73AA9"/>
    <w:rsid w:val="00A74A25"/>
    <w:rsid w:val="00A770B0"/>
    <w:rsid w:val="00A8102A"/>
    <w:rsid w:val="00A94650"/>
    <w:rsid w:val="00A975A1"/>
    <w:rsid w:val="00AB0D7F"/>
    <w:rsid w:val="00AC3284"/>
    <w:rsid w:val="00AD13F7"/>
    <w:rsid w:val="00AD17AC"/>
    <w:rsid w:val="00AD1A34"/>
    <w:rsid w:val="00AD6072"/>
    <w:rsid w:val="00AE217D"/>
    <w:rsid w:val="00AE254E"/>
    <w:rsid w:val="00AE7009"/>
    <w:rsid w:val="00B023BC"/>
    <w:rsid w:val="00B038AC"/>
    <w:rsid w:val="00B038CB"/>
    <w:rsid w:val="00B122CF"/>
    <w:rsid w:val="00B162C0"/>
    <w:rsid w:val="00B176E4"/>
    <w:rsid w:val="00B24CA3"/>
    <w:rsid w:val="00B44190"/>
    <w:rsid w:val="00B45336"/>
    <w:rsid w:val="00B46B99"/>
    <w:rsid w:val="00B473A6"/>
    <w:rsid w:val="00B52E53"/>
    <w:rsid w:val="00B5633E"/>
    <w:rsid w:val="00B6067E"/>
    <w:rsid w:val="00B61042"/>
    <w:rsid w:val="00B63947"/>
    <w:rsid w:val="00B76BD9"/>
    <w:rsid w:val="00B86612"/>
    <w:rsid w:val="00B971E5"/>
    <w:rsid w:val="00BA179D"/>
    <w:rsid w:val="00BC2019"/>
    <w:rsid w:val="00BC386A"/>
    <w:rsid w:val="00BC50A1"/>
    <w:rsid w:val="00BC6410"/>
    <w:rsid w:val="00BC7262"/>
    <w:rsid w:val="00BC7BC6"/>
    <w:rsid w:val="00BD1D73"/>
    <w:rsid w:val="00BD4A26"/>
    <w:rsid w:val="00BD6BE6"/>
    <w:rsid w:val="00BE095A"/>
    <w:rsid w:val="00BE2903"/>
    <w:rsid w:val="00BE4AE8"/>
    <w:rsid w:val="00BF5B1C"/>
    <w:rsid w:val="00BF6DF5"/>
    <w:rsid w:val="00BF7425"/>
    <w:rsid w:val="00C00914"/>
    <w:rsid w:val="00C00D86"/>
    <w:rsid w:val="00C01DD0"/>
    <w:rsid w:val="00C02B96"/>
    <w:rsid w:val="00C0579D"/>
    <w:rsid w:val="00C05935"/>
    <w:rsid w:val="00C07BBE"/>
    <w:rsid w:val="00C16BA3"/>
    <w:rsid w:val="00C16F6D"/>
    <w:rsid w:val="00C20B32"/>
    <w:rsid w:val="00C21E2B"/>
    <w:rsid w:val="00C22F0A"/>
    <w:rsid w:val="00C24FC1"/>
    <w:rsid w:val="00C32637"/>
    <w:rsid w:val="00C36C9F"/>
    <w:rsid w:val="00C3729C"/>
    <w:rsid w:val="00C41489"/>
    <w:rsid w:val="00C4215B"/>
    <w:rsid w:val="00C55BA4"/>
    <w:rsid w:val="00C7013D"/>
    <w:rsid w:val="00C73093"/>
    <w:rsid w:val="00C73B34"/>
    <w:rsid w:val="00C75D52"/>
    <w:rsid w:val="00C7614B"/>
    <w:rsid w:val="00C80B1F"/>
    <w:rsid w:val="00C80BF7"/>
    <w:rsid w:val="00C852D8"/>
    <w:rsid w:val="00C87A4D"/>
    <w:rsid w:val="00C91483"/>
    <w:rsid w:val="00C91775"/>
    <w:rsid w:val="00C91A88"/>
    <w:rsid w:val="00C93AC1"/>
    <w:rsid w:val="00C946AB"/>
    <w:rsid w:val="00C97B85"/>
    <w:rsid w:val="00CA00A0"/>
    <w:rsid w:val="00CB210D"/>
    <w:rsid w:val="00CB4B42"/>
    <w:rsid w:val="00CC32D5"/>
    <w:rsid w:val="00CC7864"/>
    <w:rsid w:val="00CD0C57"/>
    <w:rsid w:val="00CD2FFA"/>
    <w:rsid w:val="00CD3EB1"/>
    <w:rsid w:val="00CD4D00"/>
    <w:rsid w:val="00CD66B3"/>
    <w:rsid w:val="00CF3D1B"/>
    <w:rsid w:val="00CF6014"/>
    <w:rsid w:val="00CF63DE"/>
    <w:rsid w:val="00D00F3B"/>
    <w:rsid w:val="00D01CA6"/>
    <w:rsid w:val="00D04B44"/>
    <w:rsid w:val="00D11A1E"/>
    <w:rsid w:val="00D11B91"/>
    <w:rsid w:val="00D13125"/>
    <w:rsid w:val="00D17D6B"/>
    <w:rsid w:val="00D20923"/>
    <w:rsid w:val="00D212FC"/>
    <w:rsid w:val="00D21480"/>
    <w:rsid w:val="00D23602"/>
    <w:rsid w:val="00D23B6B"/>
    <w:rsid w:val="00D25910"/>
    <w:rsid w:val="00D40316"/>
    <w:rsid w:val="00D443FE"/>
    <w:rsid w:val="00D508DF"/>
    <w:rsid w:val="00D539C6"/>
    <w:rsid w:val="00D54EAF"/>
    <w:rsid w:val="00D55176"/>
    <w:rsid w:val="00D554AD"/>
    <w:rsid w:val="00D57B44"/>
    <w:rsid w:val="00D60CEA"/>
    <w:rsid w:val="00D62E9D"/>
    <w:rsid w:val="00D73AF6"/>
    <w:rsid w:val="00D76527"/>
    <w:rsid w:val="00D76F64"/>
    <w:rsid w:val="00D96DD7"/>
    <w:rsid w:val="00D9779D"/>
    <w:rsid w:val="00DA66A1"/>
    <w:rsid w:val="00DB1A09"/>
    <w:rsid w:val="00DB75B7"/>
    <w:rsid w:val="00DC397A"/>
    <w:rsid w:val="00DD09F9"/>
    <w:rsid w:val="00DD257A"/>
    <w:rsid w:val="00DD5A6A"/>
    <w:rsid w:val="00DF1637"/>
    <w:rsid w:val="00DF22E3"/>
    <w:rsid w:val="00E02FC5"/>
    <w:rsid w:val="00E031A8"/>
    <w:rsid w:val="00E043B1"/>
    <w:rsid w:val="00E06E62"/>
    <w:rsid w:val="00E074E9"/>
    <w:rsid w:val="00E11178"/>
    <w:rsid w:val="00E13C88"/>
    <w:rsid w:val="00E305C5"/>
    <w:rsid w:val="00E314A0"/>
    <w:rsid w:val="00E34F9E"/>
    <w:rsid w:val="00E36D26"/>
    <w:rsid w:val="00E41644"/>
    <w:rsid w:val="00E44AB4"/>
    <w:rsid w:val="00E44B38"/>
    <w:rsid w:val="00E50F54"/>
    <w:rsid w:val="00E6193C"/>
    <w:rsid w:val="00E62BEF"/>
    <w:rsid w:val="00E66F67"/>
    <w:rsid w:val="00E67DA9"/>
    <w:rsid w:val="00E70FAF"/>
    <w:rsid w:val="00E71B00"/>
    <w:rsid w:val="00E71EB4"/>
    <w:rsid w:val="00E763B1"/>
    <w:rsid w:val="00E82B17"/>
    <w:rsid w:val="00E830B3"/>
    <w:rsid w:val="00E86FB7"/>
    <w:rsid w:val="00E90E9E"/>
    <w:rsid w:val="00E96557"/>
    <w:rsid w:val="00EB4079"/>
    <w:rsid w:val="00EB4D04"/>
    <w:rsid w:val="00ED4B24"/>
    <w:rsid w:val="00ED7961"/>
    <w:rsid w:val="00EE0CAA"/>
    <w:rsid w:val="00EE2DFC"/>
    <w:rsid w:val="00EE72DE"/>
    <w:rsid w:val="00EF7CED"/>
    <w:rsid w:val="00F008A0"/>
    <w:rsid w:val="00F03F62"/>
    <w:rsid w:val="00F06D1D"/>
    <w:rsid w:val="00F1580A"/>
    <w:rsid w:val="00F15A3A"/>
    <w:rsid w:val="00F2587A"/>
    <w:rsid w:val="00F26813"/>
    <w:rsid w:val="00F4114E"/>
    <w:rsid w:val="00F447A8"/>
    <w:rsid w:val="00F450EC"/>
    <w:rsid w:val="00F627A5"/>
    <w:rsid w:val="00F647CC"/>
    <w:rsid w:val="00F66C8A"/>
    <w:rsid w:val="00F71A32"/>
    <w:rsid w:val="00F77409"/>
    <w:rsid w:val="00F8023E"/>
    <w:rsid w:val="00F83ACC"/>
    <w:rsid w:val="00F8526D"/>
    <w:rsid w:val="00F8596B"/>
    <w:rsid w:val="00F91B23"/>
    <w:rsid w:val="00FB3D50"/>
    <w:rsid w:val="00FB5234"/>
    <w:rsid w:val="00FC1311"/>
    <w:rsid w:val="00FC3F1B"/>
    <w:rsid w:val="00FC57F5"/>
    <w:rsid w:val="00FD1452"/>
    <w:rsid w:val="00FD4E0D"/>
    <w:rsid w:val="00FE308F"/>
    <w:rsid w:val="00FE4E50"/>
    <w:rsid w:val="00FF6F26"/>
    <w:rsid w:val="00FF7B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C1B0D"/>
  <w15:docId w15:val="{7CD98978-91C0-480F-9C8C-F8C7E592D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B15DC"/>
    <w:pPr>
      <w:spacing w:after="0" w:line="240" w:lineRule="auto"/>
      <w:jc w:val="both"/>
    </w:pPr>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
    <w:basedOn w:val="Normal"/>
    <w:link w:val="ListParagraphChar"/>
    <w:uiPriority w:val="34"/>
    <w:qFormat/>
    <w:rsid w:val="002B15DC"/>
    <w:pPr>
      <w:ind w:left="720"/>
      <w:contextualSpacing/>
    </w:pPr>
    <w:rPr>
      <w:rFonts w:cs="Arial"/>
    </w:rPr>
  </w:style>
  <w:style w:type="character" w:customStyle="1" w:styleId="ListParagraphChar">
    <w:name w:val="List Paragraph Char"/>
    <w:aliases w:val="List Paragraph Red Char"/>
    <w:link w:val="ListParagraph"/>
    <w:uiPriority w:val="34"/>
    <w:locked/>
    <w:rsid w:val="002B15DC"/>
    <w:rPr>
      <w:rFonts w:ascii="Times New Roman" w:hAnsi="Times New Roman" w:cs="Arial"/>
      <w:sz w:val="24"/>
      <w:szCs w:val="24"/>
    </w:rPr>
  </w:style>
  <w:style w:type="paragraph" w:styleId="BodyText">
    <w:name w:val="Body Text"/>
    <w:basedOn w:val="Normal"/>
    <w:link w:val="BodyTextChar"/>
    <w:rsid w:val="004E5BB6"/>
    <w:pPr>
      <w:widowControl w:val="0"/>
      <w:suppressAutoHyphens/>
      <w:spacing w:after="120"/>
      <w:jc w:val="left"/>
    </w:pPr>
    <w:rPr>
      <w:rFonts w:eastAsia="Lucida Sans Unicode" w:cs="Times New Roman"/>
      <w:szCs w:val="20"/>
      <w:lang w:eastAsia="lt-LT"/>
    </w:rPr>
  </w:style>
  <w:style w:type="character" w:customStyle="1" w:styleId="BodyTextChar">
    <w:name w:val="Body Text Char"/>
    <w:basedOn w:val="DefaultParagraphFont"/>
    <w:link w:val="BodyText"/>
    <w:rsid w:val="004E5BB6"/>
    <w:rPr>
      <w:rFonts w:ascii="Times New Roman" w:eastAsia="Lucida Sans Unicode" w:hAnsi="Times New Roman" w:cs="Times New Roman"/>
      <w:sz w:val="24"/>
      <w:szCs w:val="20"/>
      <w:lang w:eastAsia="lt-LT"/>
    </w:rPr>
  </w:style>
  <w:style w:type="paragraph" w:styleId="Subtitle">
    <w:name w:val="Subtitle"/>
    <w:basedOn w:val="Normal"/>
    <w:next w:val="Normal"/>
    <w:link w:val="SubtitleChar"/>
    <w:qFormat/>
    <w:rsid w:val="004E5BB6"/>
    <w:pPr>
      <w:widowControl w:val="0"/>
      <w:suppressAutoHyphens/>
      <w:spacing w:after="60"/>
      <w:jc w:val="center"/>
      <w:outlineLvl w:val="1"/>
    </w:pPr>
    <w:rPr>
      <w:rFonts w:ascii="Cambria" w:eastAsia="Times New Roman" w:hAnsi="Cambria" w:cs="Times New Roman"/>
      <w:lang w:eastAsia="lt-LT"/>
    </w:rPr>
  </w:style>
  <w:style w:type="character" w:customStyle="1" w:styleId="SubtitleChar">
    <w:name w:val="Subtitle Char"/>
    <w:basedOn w:val="DefaultParagraphFont"/>
    <w:link w:val="Subtitle"/>
    <w:rsid w:val="004E5BB6"/>
    <w:rPr>
      <w:rFonts w:ascii="Cambria" w:eastAsia="Times New Roman" w:hAnsi="Cambria" w:cs="Times New Roman"/>
      <w:sz w:val="24"/>
      <w:szCs w:val="24"/>
      <w:lang w:eastAsia="lt-LT"/>
    </w:rPr>
  </w:style>
  <w:style w:type="paragraph" w:styleId="Header">
    <w:name w:val="header"/>
    <w:aliases w:val="Char,Diagrama"/>
    <w:basedOn w:val="Normal"/>
    <w:link w:val="HeaderChar"/>
    <w:uiPriority w:val="99"/>
    <w:unhideWhenUsed/>
    <w:rsid w:val="00E70FAF"/>
    <w:pPr>
      <w:tabs>
        <w:tab w:val="center" w:pos="4819"/>
        <w:tab w:val="right" w:pos="9638"/>
      </w:tabs>
    </w:pPr>
  </w:style>
  <w:style w:type="character" w:customStyle="1" w:styleId="HeaderChar">
    <w:name w:val="Header Char"/>
    <w:aliases w:val="Char Char,Diagrama Char"/>
    <w:basedOn w:val="DefaultParagraphFont"/>
    <w:link w:val="Header"/>
    <w:uiPriority w:val="99"/>
    <w:rsid w:val="00E70FAF"/>
    <w:rPr>
      <w:rFonts w:ascii="Times New Roman" w:hAnsi="Times New Roman"/>
      <w:sz w:val="24"/>
      <w:szCs w:val="24"/>
    </w:rPr>
  </w:style>
  <w:style w:type="paragraph" w:styleId="Footer">
    <w:name w:val="footer"/>
    <w:basedOn w:val="Normal"/>
    <w:link w:val="FooterChar"/>
    <w:uiPriority w:val="99"/>
    <w:semiHidden/>
    <w:unhideWhenUsed/>
    <w:rsid w:val="00E70FAF"/>
    <w:pPr>
      <w:tabs>
        <w:tab w:val="center" w:pos="4819"/>
        <w:tab w:val="right" w:pos="9638"/>
      </w:tabs>
    </w:pPr>
  </w:style>
  <w:style w:type="character" w:customStyle="1" w:styleId="FooterChar">
    <w:name w:val="Footer Char"/>
    <w:basedOn w:val="DefaultParagraphFont"/>
    <w:link w:val="Footer"/>
    <w:uiPriority w:val="99"/>
    <w:semiHidden/>
    <w:rsid w:val="00E70FAF"/>
    <w:rPr>
      <w:rFonts w:ascii="Times New Roman" w:hAnsi="Times New Roman"/>
      <w:sz w:val="24"/>
      <w:szCs w:val="24"/>
    </w:rPr>
  </w:style>
  <w:style w:type="paragraph" w:styleId="BalloonText">
    <w:name w:val="Balloon Text"/>
    <w:basedOn w:val="Normal"/>
    <w:link w:val="BalloonTextChar"/>
    <w:uiPriority w:val="99"/>
    <w:semiHidden/>
    <w:unhideWhenUsed/>
    <w:rsid w:val="0057354B"/>
    <w:rPr>
      <w:rFonts w:ascii="Tahoma" w:hAnsi="Tahoma" w:cs="Tahoma"/>
      <w:sz w:val="16"/>
      <w:szCs w:val="16"/>
    </w:rPr>
  </w:style>
  <w:style w:type="character" w:customStyle="1" w:styleId="BalloonTextChar">
    <w:name w:val="Balloon Text Char"/>
    <w:basedOn w:val="DefaultParagraphFont"/>
    <w:link w:val="BalloonText"/>
    <w:uiPriority w:val="99"/>
    <w:semiHidden/>
    <w:rsid w:val="0057354B"/>
    <w:rPr>
      <w:rFonts w:ascii="Tahoma" w:hAnsi="Tahoma" w:cs="Tahoma"/>
      <w:sz w:val="16"/>
      <w:szCs w:val="16"/>
    </w:rPr>
  </w:style>
  <w:style w:type="character" w:styleId="Hyperlink">
    <w:name w:val="Hyperlink"/>
    <w:basedOn w:val="DefaultParagraphFont"/>
    <w:uiPriority w:val="99"/>
    <w:semiHidden/>
    <w:unhideWhenUsed/>
    <w:rsid w:val="00A07E54"/>
    <w:rPr>
      <w:color w:val="0000FF"/>
      <w:u w:val="single"/>
    </w:rPr>
  </w:style>
  <w:style w:type="table" w:styleId="TableGrid">
    <w:name w:val="Table Grid"/>
    <w:basedOn w:val="TableNormal"/>
    <w:uiPriority w:val="59"/>
    <w:rsid w:val="003A6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85FF5"/>
    <w:rPr>
      <w:sz w:val="16"/>
      <w:szCs w:val="16"/>
    </w:rPr>
  </w:style>
  <w:style w:type="paragraph" w:styleId="CommentText">
    <w:name w:val="annotation text"/>
    <w:basedOn w:val="Normal"/>
    <w:link w:val="CommentTextChar"/>
    <w:uiPriority w:val="99"/>
    <w:semiHidden/>
    <w:unhideWhenUsed/>
    <w:rsid w:val="00485FF5"/>
    <w:rPr>
      <w:sz w:val="20"/>
      <w:szCs w:val="20"/>
    </w:rPr>
  </w:style>
  <w:style w:type="character" w:customStyle="1" w:styleId="CommentTextChar">
    <w:name w:val="Comment Text Char"/>
    <w:basedOn w:val="DefaultParagraphFont"/>
    <w:link w:val="CommentText"/>
    <w:uiPriority w:val="99"/>
    <w:semiHidden/>
    <w:rsid w:val="00485FF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85FF5"/>
    <w:rPr>
      <w:b/>
      <w:bCs/>
    </w:rPr>
  </w:style>
  <w:style w:type="character" w:customStyle="1" w:styleId="CommentSubjectChar">
    <w:name w:val="Comment Subject Char"/>
    <w:basedOn w:val="CommentTextChar"/>
    <w:link w:val="CommentSubject"/>
    <w:uiPriority w:val="99"/>
    <w:semiHidden/>
    <w:rsid w:val="00485FF5"/>
    <w:rPr>
      <w:rFonts w:ascii="Times New Roman" w:hAnsi="Times New Roman"/>
      <w:b/>
      <w:bCs/>
      <w:sz w:val="20"/>
      <w:szCs w:val="20"/>
    </w:rPr>
  </w:style>
  <w:style w:type="paragraph" w:customStyle="1" w:styleId="doc-ti">
    <w:name w:val="doc-ti"/>
    <w:basedOn w:val="Normal"/>
    <w:rsid w:val="00CD0C57"/>
    <w:pPr>
      <w:spacing w:before="240" w:after="120"/>
      <w:jc w:val="center"/>
    </w:pPr>
    <w:rPr>
      <w:rFonts w:eastAsia="Times New Roman" w:cs="Times New Roman"/>
      <w:b/>
      <w:bCs/>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32276">
      <w:bodyDiv w:val="1"/>
      <w:marLeft w:val="0"/>
      <w:marRight w:val="0"/>
      <w:marTop w:val="0"/>
      <w:marBottom w:val="0"/>
      <w:divBdr>
        <w:top w:val="none" w:sz="0" w:space="0" w:color="auto"/>
        <w:left w:val="none" w:sz="0" w:space="0" w:color="auto"/>
        <w:bottom w:val="none" w:sz="0" w:space="0" w:color="auto"/>
        <w:right w:val="none" w:sz="0" w:space="0" w:color="auto"/>
      </w:divBdr>
      <w:divsChild>
        <w:div w:id="1714233623">
          <w:marLeft w:val="0"/>
          <w:marRight w:val="0"/>
          <w:marTop w:val="0"/>
          <w:marBottom w:val="0"/>
          <w:divBdr>
            <w:top w:val="none" w:sz="0" w:space="0" w:color="auto"/>
            <w:left w:val="none" w:sz="0" w:space="0" w:color="auto"/>
            <w:bottom w:val="none" w:sz="0" w:space="0" w:color="auto"/>
            <w:right w:val="none" w:sz="0" w:space="0" w:color="auto"/>
          </w:divBdr>
          <w:divsChild>
            <w:div w:id="925190708">
              <w:marLeft w:val="0"/>
              <w:marRight w:val="0"/>
              <w:marTop w:val="0"/>
              <w:marBottom w:val="0"/>
              <w:divBdr>
                <w:top w:val="none" w:sz="0" w:space="0" w:color="auto"/>
                <w:left w:val="none" w:sz="0" w:space="0" w:color="auto"/>
                <w:bottom w:val="none" w:sz="0" w:space="0" w:color="auto"/>
                <w:right w:val="none" w:sz="0" w:space="0" w:color="auto"/>
              </w:divBdr>
            </w:div>
            <w:div w:id="108896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907877">
      <w:bodyDiv w:val="1"/>
      <w:marLeft w:val="0"/>
      <w:marRight w:val="0"/>
      <w:marTop w:val="0"/>
      <w:marBottom w:val="0"/>
      <w:divBdr>
        <w:top w:val="none" w:sz="0" w:space="0" w:color="auto"/>
        <w:left w:val="none" w:sz="0" w:space="0" w:color="auto"/>
        <w:bottom w:val="none" w:sz="0" w:space="0" w:color="auto"/>
        <w:right w:val="none" w:sz="0" w:space="0" w:color="auto"/>
      </w:divBdr>
      <w:divsChild>
        <w:div w:id="1582332223">
          <w:marLeft w:val="0"/>
          <w:marRight w:val="0"/>
          <w:marTop w:val="0"/>
          <w:marBottom w:val="0"/>
          <w:divBdr>
            <w:top w:val="none" w:sz="0" w:space="0" w:color="auto"/>
            <w:left w:val="none" w:sz="0" w:space="0" w:color="auto"/>
            <w:bottom w:val="none" w:sz="0" w:space="0" w:color="auto"/>
            <w:right w:val="none" w:sz="0" w:space="0" w:color="auto"/>
          </w:divBdr>
          <w:divsChild>
            <w:div w:id="547301988">
              <w:marLeft w:val="0"/>
              <w:marRight w:val="0"/>
              <w:marTop w:val="0"/>
              <w:marBottom w:val="0"/>
              <w:divBdr>
                <w:top w:val="none" w:sz="0" w:space="0" w:color="auto"/>
                <w:left w:val="none" w:sz="0" w:space="0" w:color="auto"/>
                <w:bottom w:val="none" w:sz="0" w:space="0" w:color="auto"/>
                <w:right w:val="none" w:sz="0" w:space="0" w:color="auto"/>
              </w:divBdr>
            </w:div>
            <w:div w:id="117757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715562">
      <w:bodyDiv w:val="1"/>
      <w:marLeft w:val="0"/>
      <w:marRight w:val="0"/>
      <w:marTop w:val="0"/>
      <w:marBottom w:val="0"/>
      <w:divBdr>
        <w:top w:val="none" w:sz="0" w:space="0" w:color="auto"/>
        <w:left w:val="none" w:sz="0" w:space="0" w:color="auto"/>
        <w:bottom w:val="none" w:sz="0" w:space="0" w:color="auto"/>
        <w:right w:val="none" w:sz="0" w:space="0" w:color="auto"/>
      </w:divBdr>
      <w:divsChild>
        <w:div w:id="691034879">
          <w:marLeft w:val="0"/>
          <w:marRight w:val="0"/>
          <w:marTop w:val="0"/>
          <w:marBottom w:val="0"/>
          <w:divBdr>
            <w:top w:val="none" w:sz="0" w:space="0" w:color="auto"/>
            <w:left w:val="none" w:sz="0" w:space="0" w:color="auto"/>
            <w:bottom w:val="none" w:sz="0" w:space="0" w:color="auto"/>
            <w:right w:val="none" w:sz="0" w:space="0" w:color="auto"/>
          </w:divBdr>
          <w:divsChild>
            <w:div w:id="1957253173">
              <w:marLeft w:val="0"/>
              <w:marRight w:val="0"/>
              <w:marTop w:val="0"/>
              <w:marBottom w:val="0"/>
              <w:divBdr>
                <w:top w:val="none" w:sz="0" w:space="0" w:color="auto"/>
                <w:left w:val="none" w:sz="0" w:space="0" w:color="auto"/>
                <w:bottom w:val="none" w:sz="0" w:space="0" w:color="auto"/>
                <w:right w:val="none" w:sz="0" w:space="0" w:color="auto"/>
              </w:divBdr>
              <w:divsChild>
                <w:div w:id="1755514071">
                  <w:marLeft w:val="0"/>
                  <w:marRight w:val="0"/>
                  <w:marTop w:val="0"/>
                  <w:marBottom w:val="0"/>
                  <w:divBdr>
                    <w:top w:val="none" w:sz="0" w:space="0" w:color="auto"/>
                    <w:left w:val="none" w:sz="0" w:space="0" w:color="auto"/>
                    <w:bottom w:val="none" w:sz="0" w:space="0" w:color="auto"/>
                    <w:right w:val="none" w:sz="0" w:space="0" w:color="auto"/>
                  </w:divBdr>
                </w:div>
                <w:div w:id="777721827">
                  <w:marLeft w:val="0"/>
                  <w:marRight w:val="0"/>
                  <w:marTop w:val="0"/>
                  <w:marBottom w:val="0"/>
                  <w:divBdr>
                    <w:top w:val="none" w:sz="0" w:space="0" w:color="auto"/>
                    <w:left w:val="none" w:sz="0" w:space="0" w:color="auto"/>
                    <w:bottom w:val="none" w:sz="0" w:space="0" w:color="auto"/>
                    <w:right w:val="none" w:sz="0" w:space="0" w:color="auto"/>
                  </w:divBdr>
                </w:div>
              </w:divsChild>
            </w:div>
            <w:div w:id="1994987883">
              <w:marLeft w:val="0"/>
              <w:marRight w:val="0"/>
              <w:marTop w:val="0"/>
              <w:marBottom w:val="0"/>
              <w:divBdr>
                <w:top w:val="none" w:sz="0" w:space="0" w:color="auto"/>
                <w:left w:val="none" w:sz="0" w:space="0" w:color="auto"/>
                <w:bottom w:val="none" w:sz="0" w:space="0" w:color="auto"/>
                <w:right w:val="none" w:sz="0" w:space="0" w:color="auto"/>
              </w:divBdr>
              <w:divsChild>
                <w:div w:id="7007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633364">
      <w:bodyDiv w:val="1"/>
      <w:marLeft w:val="0"/>
      <w:marRight w:val="0"/>
      <w:marTop w:val="0"/>
      <w:marBottom w:val="0"/>
      <w:divBdr>
        <w:top w:val="none" w:sz="0" w:space="0" w:color="auto"/>
        <w:left w:val="none" w:sz="0" w:space="0" w:color="auto"/>
        <w:bottom w:val="none" w:sz="0" w:space="0" w:color="auto"/>
        <w:right w:val="none" w:sz="0" w:space="0" w:color="auto"/>
      </w:divBdr>
      <w:divsChild>
        <w:div w:id="1706129467">
          <w:marLeft w:val="0"/>
          <w:marRight w:val="0"/>
          <w:marTop w:val="0"/>
          <w:marBottom w:val="0"/>
          <w:divBdr>
            <w:top w:val="none" w:sz="0" w:space="0" w:color="auto"/>
            <w:left w:val="none" w:sz="0" w:space="0" w:color="auto"/>
            <w:bottom w:val="none" w:sz="0" w:space="0" w:color="auto"/>
            <w:right w:val="none" w:sz="0" w:space="0" w:color="auto"/>
          </w:divBdr>
          <w:divsChild>
            <w:div w:id="1896157042">
              <w:marLeft w:val="0"/>
              <w:marRight w:val="0"/>
              <w:marTop w:val="0"/>
              <w:marBottom w:val="0"/>
              <w:divBdr>
                <w:top w:val="none" w:sz="0" w:space="0" w:color="auto"/>
                <w:left w:val="none" w:sz="0" w:space="0" w:color="auto"/>
                <w:bottom w:val="none" w:sz="0" w:space="0" w:color="auto"/>
                <w:right w:val="none" w:sz="0" w:space="0" w:color="auto"/>
              </w:divBdr>
            </w:div>
            <w:div w:id="300692950">
              <w:marLeft w:val="0"/>
              <w:marRight w:val="0"/>
              <w:marTop w:val="0"/>
              <w:marBottom w:val="0"/>
              <w:divBdr>
                <w:top w:val="none" w:sz="0" w:space="0" w:color="auto"/>
                <w:left w:val="none" w:sz="0" w:space="0" w:color="auto"/>
                <w:bottom w:val="none" w:sz="0" w:space="0" w:color="auto"/>
                <w:right w:val="none" w:sz="0" w:space="0" w:color="auto"/>
              </w:divBdr>
              <w:divsChild>
                <w:div w:id="1594242719">
                  <w:marLeft w:val="0"/>
                  <w:marRight w:val="0"/>
                  <w:marTop w:val="0"/>
                  <w:marBottom w:val="0"/>
                  <w:divBdr>
                    <w:top w:val="none" w:sz="0" w:space="0" w:color="auto"/>
                    <w:left w:val="none" w:sz="0" w:space="0" w:color="auto"/>
                    <w:bottom w:val="none" w:sz="0" w:space="0" w:color="auto"/>
                    <w:right w:val="none" w:sz="0" w:space="0" w:color="auto"/>
                  </w:divBdr>
                  <w:divsChild>
                    <w:div w:id="48359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406992">
      <w:bodyDiv w:val="1"/>
      <w:marLeft w:val="0"/>
      <w:marRight w:val="0"/>
      <w:marTop w:val="0"/>
      <w:marBottom w:val="0"/>
      <w:divBdr>
        <w:top w:val="none" w:sz="0" w:space="0" w:color="auto"/>
        <w:left w:val="none" w:sz="0" w:space="0" w:color="auto"/>
        <w:bottom w:val="none" w:sz="0" w:space="0" w:color="auto"/>
        <w:right w:val="none" w:sz="0" w:space="0" w:color="auto"/>
      </w:divBdr>
      <w:divsChild>
        <w:div w:id="1404448416">
          <w:marLeft w:val="0"/>
          <w:marRight w:val="0"/>
          <w:marTop w:val="0"/>
          <w:marBottom w:val="0"/>
          <w:divBdr>
            <w:top w:val="none" w:sz="0" w:space="0" w:color="auto"/>
            <w:left w:val="none" w:sz="0" w:space="0" w:color="auto"/>
            <w:bottom w:val="none" w:sz="0" w:space="0" w:color="auto"/>
            <w:right w:val="none" w:sz="0" w:space="0" w:color="auto"/>
          </w:divBdr>
          <w:divsChild>
            <w:div w:id="2034189724">
              <w:marLeft w:val="0"/>
              <w:marRight w:val="0"/>
              <w:marTop w:val="0"/>
              <w:marBottom w:val="0"/>
              <w:divBdr>
                <w:top w:val="none" w:sz="0" w:space="0" w:color="auto"/>
                <w:left w:val="none" w:sz="0" w:space="0" w:color="auto"/>
                <w:bottom w:val="none" w:sz="0" w:space="0" w:color="auto"/>
                <w:right w:val="none" w:sz="0" w:space="0" w:color="auto"/>
              </w:divBdr>
            </w:div>
            <w:div w:id="1578513864">
              <w:marLeft w:val="0"/>
              <w:marRight w:val="0"/>
              <w:marTop w:val="0"/>
              <w:marBottom w:val="0"/>
              <w:divBdr>
                <w:top w:val="none" w:sz="0" w:space="0" w:color="auto"/>
                <w:left w:val="none" w:sz="0" w:space="0" w:color="auto"/>
                <w:bottom w:val="none" w:sz="0" w:space="0" w:color="auto"/>
                <w:right w:val="none" w:sz="0" w:space="0" w:color="auto"/>
              </w:divBdr>
              <w:divsChild>
                <w:div w:id="1203462">
                  <w:marLeft w:val="0"/>
                  <w:marRight w:val="0"/>
                  <w:marTop w:val="0"/>
                  <w:marBottom w:val="0"/>
                  <w:divBdr>
                    <w:top w:val="none" w:sz="0" w:space="0" w:color="auto"/>
                    <w:left w:val="none" w:sz="0" w:space="0" w:color="auto"/>
                    <w:bottom w:val="none" w:sz="0" w:space="0" w:color="auto"/>
                    <w:right w:val="none" w:sz="0" w:space="0" w:color="auto"/>
                  </w:divBdr>
                  <w:divsChild>
                    <w:div w:id="5042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872594">
      <w:bodyDiv w:val="1"/>
      <w:marLeft w:val="0"/>
      <w:marRight w:val="0"/>
      <w:marTop w:val="0"/>
      <w:marBottom w:val="0"/>
      <w:divBdr>
        <w:top w:val="none" w:sz="0" w:space="0" w:color="auto"/>
        <w:left w:val="none" w:sz="0" w:space="0" w:color="auto"/>
        <w:bottom w:val="none" w:sz="0" w:space="0" w:color="auto"/>
        <w:right w:val="none" w:sz="0" w:space="0" w:color="auto"/>
      </w:divBdr>
      <w:divsChild>
        <w:div w:id="582952367">
          <w:marLeft w:val="0"/>
          <w:marRight w:val="0"/>
          <w:marTop w:val="0"/>
          <w:marBottom w:val="0"/>
          <w:divBdr>
            <w:top w:val="none" w:sz="0" w:space="0" w:color="auto"/>
            <w:left w:val="none" w:sz="0" w:space="0" w:color="auto"/>
            <w:bottom w:val="none" w:sz="0" w:space="0" w:color="auto"/>
            <w:right w:val="none" w:sz="0" w:space="0" w:color="auto"/>
          </w:divBdr>
        </w:div>
      </w:divsChild>
    </w:div>
    <w:div w:id="1470587324">
      <w:bodyDiv w:val="1"/>
      <w:marLeft w:val="0"/>
      <w:marRight w:val="0"/>
      <w:marTop w:val="0"/>
      <w:marBottom w:val="0"/>
      <w:divBdr>
        <w:top w:val="none" w:sz="0" w:space="0" w:color="auto"/>
        <w:left w:val="none" w:sz="0" w:space="0" w:color="auto"/>
        <w:bottom w:val="none" w:sz="0" w:space="0" w:color="auto"/>
        <w:right w:val="none" w:sz="0" w:space="0" w:color="auto"/>
      </w:divBdr>
      <w:divsChild>
        <w:div w:id="2023166352">
          <w:marLeft w:val="0"/>
          <w:marRight w:val="0"/>
          <w:marTop w:val="0"/>
          <w:marBottom w:val="0"/>
          <w:divBdr>
            <w:top w:val="none" w:sz="0" w:space="0" w:color="auto"/>
            <w:left w:val="none" w:sz="0" w:space="0" w:color="auto"/>
            <w:bottom w:val="none" w:sz="0" w:space="0" w:color="auto"/>
            <w:right w:val="none" w:sz="0" w:space="0" w:color="auto"/>
          </w:divBdr>
          <w:divsChild>
            <w:div w:id="1394236719">
              <w:marLeft w:val="0"/>
              <w:marRight w:val="0"/>
              <w:marTop w:val="0"/>
              <w:marBottom w:val="0"/>
              <w:divBdr>
                <w:top w:val="none" w:sz="0" w:space="0" w:color="auto"/>
                <w:left w:val="none" w:sz="0" w:space="0" w:color="auto"/>
                <w:bottom w:val="none" w:sz="0" w:space="0" w:color="auto"/>
                <w:right w:val="none" w:sz="0" w:space="0" w:color="auto"/>
              </w:divBdr>
              <w:divsChild>
                <w:div w:id="1017388478">
                  <w:marLeft w:val="0"/>
                  <w:marRight w:val="0"/>
                  <w:marTop w:val="0"/>
                  <w:marBottom w:val="0"/>
                  <w:divBdr>
                    <w:top w:val="none" w:sz="0" w:space="0" w:color="auto"/>
                    <w:left w:val="none" w:sz="0" w:space="0" w:color="auto"/>
                    <w:bottom w:val="none" w:sz="0" w:space="0" w:color="auto"/>
                    <w:right w:val="none" w:sz="0" w:space="0" w:color="auto"/>
                  </w:divBdr>
                  <w:divsChild>
                    <w:div w:id="165902006">
                      <w:marLeft w:val="0"/>
                      <w:marRight w:val="0"/>
                      <w:marTop w:val="0"/>
                      <w:marBottom w:val="0"/>
                      <w:divBdr>
                        <w:top w:val="none" w:sz="0" w:space="0" w:color="auto"/>
                        <w:left w:val="none" w:sz="0" w:space="0" w:color="auto"/>
                        <w:bottom w:val="none" w:sz="0" w:space="0" w:color="auto"/>
                        <w:right w:val="none" w:sz="0" w:space="0" w:color="auto"/>
                      </w:divBdr>
                      <w:divsChild>
                        <w:div w:id="10446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09369">
                  <w:marLeft w:val="0"/>
                  <w:marRight w:val="0"/>
                  <w:marTop w:val="0"/>
                  <w:marBottom w:val="0"/>
                  <w:divBdr>
                    <w:top w:val="none" w:sz="0" w:space="0" w:color="auto"/>
                    <w:left w:val="none" w:sz="0" w:space="0" w:color="auto"/>
                    <w:bottom w:val="none" w:sz="0" w:space="0" w:color="auto"/>
                    <w:right w:val="none" w:sz="0" w:space="0" w:color="auto"/>
                  </w:divBdr>
                  <w:divsChild>
                    <w:div w:id="707141479">
                      <w:marLeft w:val="0"/>
                      <w:marRight w:val="0"/>
                      <w:marTop w:val="0"/>
                      <w:marBottom w:val="0"/>
                      <w:divBdr>
                        <w:top w:val="none" w:sz="0" w:space="0" w:color="auto"/>
                        <w:left w:val="none" w:sz="0" w:space="0" w:color="auto"/>
                        <w:bottom w:val="none" w:sz="0" w:space="0" w:color="auto"/>
                        <w:right w:val="none" w:sz="0" w:space="0" w:color="auto"/>
                      </w:divBdr>
                      <w:divsChild>
                        <w:div w:id="3284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799452">
      <w:bodyDiv w:val="1"/>
      <w:marLeft w:val="0"/>
      <w:marRight w:val="0"/>
      <w:marTop w:val="0"/>
      <w:marBottom w:val="0"/>
      <w:divBdr>
        <w:top w:val="none" w:sz="0" w:space="0" w:color="auto"/>
        <w:left w:val="none" w:sz="0" w:space="0" w:color="auto"/>
        <w:bottom w:val="none" w:sz="0" w:space="0" w:color="auto"/>
        <w:right w:val="none" w:sz="0" w:space="0" w:color="auto"/>
      </w:divBdr>
      <w:divsChild>
        <w:div w:id="15119942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5C8F1E-29F8-4B43-B61F-4BC415D22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7</Pages>
  <Words>14463</Words>
  <Characters>8244</Characters>
  <Application>Microsoft Office Word</Application>
  <DocSecurity>0</DocSecurity>
  <Lines>68</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Aurimas Salapėta</cp:lastModifiedBy>
  <cp:revision>16</cp:revision>
  <cp:lastPrinted>2017-02-15T12:56:00Z</cp:lastPrinted>
  <dcterms:created xsi:type="dcterms:W3CDTF">2020-03-06T09:56:00Z</dcterms:created>
  <dcterms:modified xsi:type="dcterms:W3CDTF">2020-07-09T11:07:00Z</dcterms:modified>
</cp:coreProperties>
</file>