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C2F8E" w14:textId="55B37F58" w:rsidR="00A0572B" w:rsidRPr="00972C0E" w:rsidRDefault="00A0572B" w:rsidP="00972C0E">
      <w:pPr>
        <w:pStyle w:val="Betarp"/>
        <w:jc w:val="center"/>
        <w:rPr>
          <w:rFonts w:ascii="Times New Roman" w:hAnsi="Times New Roman" w:cs="Times New Roman"/>
          <w:b/>
          <w:color w:val="0070C0"/>
        </w:rPr>
      </w:pPr>
      <w:r w:rsidRPr="00972C0E">
        <w:rPr>
          <w:rFonts w:ascii="Times New Roman" w:hAnsi="Times New Roman" w:cs="Times New Roman"/>
          <w:b/>
          <w:color w:val="0070C0"/>
        </w:rPr>
        <w:t>DERINIMO PAŽYMA</w:t>
      </w:r>
    </w:p>
    <w:tbl>
      <w:tblPr>
        <w:tblStyle w:val="Lentelstinklelis"/>
        <w:tblW w:w="15026" w:type="dxa"/>
        <w:tblInd w:w="-5" w:type="dxa"/>
        <w:tblLayout w:type="fixed"/>
        <w:tblLook w:val="04A0" w:firstRow="1" w:lastRow="0" w:firstColumn="1" w:lastColumn="0" w:noHBand="0" w:noVBand="1"/>
      </w:tblPr>
      <w:tblGrid>
        <w:gridCol w:w="709"/>
        <w:gridCol w:w="2552"/>
        <w:gridCol w:w="7654"/>
        <w:gridCol w:w="4111"/>
      </w:tblGrid>
      <w:tr w:rsidR="003A092F" w:rsidRPr="00972C0E" w14:paraId="21CBC6D4" w14:textId="77777777" w:rsidTr="00680FB8">
        <w:tc>
          <w:tcPr>
            <w:tcW w:w="709" w:type="dxa"/>
            <w:shd w:val="clear" w:color="auto" w:fill="A6A6A6" w:themeFill="background1" w:themeFillShade="A6"/>
          </w:tcPr>
          <w:p w14:paraId="26D84329" w14:textId="77777777" w:rsidR="003A092F" w:rsidRPr="00972C0E" w:rsidRDefault="003A092F" w:rsidP="00972C0E">
            <w:pPr>
              <w:pStyle w:val="Betarp"/>
              <w:jc w:val="center"/>
              <w:rPr>
                <w:rFonts w:ascii="Times New Roman" w:hAnsi="Times New Roman" w:cs="Times New Roman"/>
                <w:i/>
              </w:rPr>
            </w:pPr>
            <w:r w:rsidRPr="00972C0E">
              <w:rPr>
                <w:rFonts w:ascii="Times New Roman" w:hAnsi="Times New Roman" w:cs="Times New Roman"/>
                <w:b/>
                <w:i/>
              </w:rPr>
              <w:t>Nr</w:t>
            </w:r>
            <w:r w:rsidRPr="00972C0E">
              <w:rPr>
                <w:rFonts w:ascii="Times New Roman" w:hAnsi="Times New Roman" w:cs="Times New Roman"/>
                <w:i/>
              </w:rPr>
              <w:t>.</w:t>
            </w:r>
          </w:p>
        </w:tc>
        <w:tc>
          <w:tcPr>
            <w:tcW w:w="2552" w:type="dxa"/>
            <w:shd w:val="clear" w:color="auto" w:fill="A6A6A6" w:themeFill="background1" w:themeFillShade="A6"/>
          </w:tcPr>
          <w:p w14:paraId="519534C4" w14:textId="77777777" w:rsidR="003A092F" w:rsidRPr="00972C0E" w:rsidRDefault="003A092F" w:rsidP="00972C0E">
            <w:pPr>
              <w:pStyle w:val="Betarp"/>
              <w:jc w:val="center"/>
              <w:rPr>
                <w:rFonts w:ascii="Times New Roman" w:hAnsi="Times New Roman" w:cs="Times New Roman"/>
                <w:b/>
                <w:i/>
              </w:rPr>
            </w:pPr>
            <w:r w:rsidRPr="00972C0E">
              <w:rPr>
                <w:rFonts w:ascii="Times New Roman" w:hAnsi="Times New Roman" w:cs="Times New Roman"/>
                <w:b/>
                <w:i/>
              </w:rPr>
              <w:t>Institucija</w:t>
            </w:r>
          </w:p>
        </w:tc>
        <w:tc>
          <w:tcPr>
            <w:tcW w:w="7654" w:type="dxa"/>
            <w:shd w:val="clear" w:color="auto" w:fill="A6A6A6" w:themeFill="background1" w:themeFillShade="A6"/>
          </w:tcPr>
          <w:p w14:paraId="641617DF" w14:textId="6579B8AF" w:rsidR="003A092F" w:rsidRPr="00972C0E" w:rsidRDefault="003A092F" w:rsidP="00972C0E">
            <w:pPr>
              <w:pStyle w:val="Betarp"/>
              <w:jc w:val="center"/>
              <w:rPr>
                <w:rFonts w:ascii="Times New Roman" w:hAnsi="Times New Roman" w:cs="Times New Roman"/>
                <w:b/>
                <w:i/>
              </w:rPr>
            </w:pPr>
            <w:r w:rsidRPr="00972C0E">
              <w:rPr>
                <w:rFonts w:ascii="Times New Roman" w:hAnsi="Times New Roman" w:cs="Times New Roman"/>
                <w:b/>
                <w:i/>
              </w:rPr>
              <w:t>Pastabos</w:t>
            </w:r>
            <w:r w:rsidR="000C67BF" w:rsidRPr="00972C0E">
              <w:rPr>
                <w:rFonts w:ascii="Times New Roman" w:hAnsi="Times New Roman" w:cs="Times New Roman"/>
                <w:b/>
                <w:i/>
              </w:rPr>
              <w:t>, gautos</w:t>
            </w:r>
            <w:r w:rsidRPr="00972C0E">
              <w:rPr>
                <w:rFonts w:ascii="Times New Roman" w:hAnsi="Times New Roman" w:cs="Times New Roman"/>
                <w:b/>
                <w:i/>
              </w:rPr>
              <w:t xml:space="preserve"> </w:t>
            </w:r>
            <w:r w:rsidR="000C67BF" w:rsidRPr="00972C0E">
              <w:rPr>
                <w:rFonts w:ascii="Times New Roman" w:hAnsi="Times New Roman" w:cs="Times New Roman"/>
                <w:b/>
                <w:i/>
              </w:rPr>
              <w:t xml:space="preserve">pakartotinio </w:t>
            </w:r>
            <w:r w:rsidRPr="00972C0E">
              <w:rPr>
                <w:rFonts w:ascii="Times New Roman" w:hAnsi="Times New Roman" w:cs="Times New Roman"/>
                <w:b/>
                <w:i/>
              </w:rPr>
              <w:t>derinim</w:t>
            </w:r>
            <w:r w:rsidR="000C67BF" w:rsidRPr="00972C0E">
              <w:rPr>
                <w:rFonts w:ascii="Times New Roman" w:hAnsi="Times New Roman" w:cs="Times New Roman"/>
                <w:b/>
                <w:i/>
              </w:rPr>
              <w:t>o metu</w:t>
            </w:r>
          </w:p>
          <w:p w14:paraId="3E9EA998" w14:textId="77777777" w:rsidR="003A092F" w:rsidRPr="00972C0E" w:rsidRDefault="003A092F" w:rsidP="00972C0E">
            <w:pPr>
              <w:pStyle w:val="Betarp"/>
              <w:jc w:val="center"/>
              <w:rPr>
                <w:rFonts w:ascii="Times New Roman" w:hAnsi="Times New Roman" w:cs="Times New Roman"/>
                <w:b/>
                <w:i/>
              </w:rPr>
            </w:pPr>
          </w:p>
        </w:tc>
        <w:tc>
          <w:tcPr>
            <w:tcW w:w="4111" w:type="dxa"/>
            <w:shd w:val="clear" w:color="auto" w:fill="A6A6A6" w:themeFill="background1" w:themeFillShade="A6"/>
          </w:tcPr>
          <w:p w14:paraId="67DCEF0D" w14:textId="11BF1444" w:rsidR="003A092F" w:rsidRPr="00972C0E" w:rsidRDefault="000C67BF" w:rsidP="00972C0E">
            <w:pPr>
              <w:pStyle w:val="Betarp"/>
              <w:jc w:val="center"/>
              <w:rPr>
                <w:rFonts w:ascii="Times New Roman" w:hAnsi="Times New Roman" w:cs="Times New Roman"/>
                <w:b/>
                <w:i/>
              </w:rPr>
            </w:pPr>
            <w:r w:rsidRPr="00972C0E">
              <w:rPr>
                <w:rFonts w:ascii="Times New Roman" w:hAnsi="Times New Roman" w:cs="Times New Roman"/>
                <w:b/>
                <w:i/>
              </w:rPr>
              <w:t>Lietuvos Respublikos Vyriausybės kanceliarijos komentaras</w:t>
            </w:r>
          </w:p>
        </w:tc>
      </w:tr>
      <w:tr w:rsidR="0085465B" w:rsidRPr="00972C0E" w14:paraId="0FEBE104" w14:textId="77777777" w:rsidTr="00680FB8">
        <w:tc>
          <w:tcPr>
            <w:tcW w:w="709" w:type="dxa"/>
          </w:tcPr>
          <w:p w14:paraId="369AA2CB" w14:textId="5317CA84" w:rsidR="0085465B" w:rsidRPr="00972C0E" w:rsidRDefault="006134C8" w:rsidP="00972C0E">
            <w:pPr>
              <w:pStyle w:val="Betarp"/>
              <w:jc w:val="center"/>
              <w:rPr>
                <w:rFonts w:ascii="Times New Roman" w:hAnsi="Times New Roman" w:cs="Times New Roman"/>
                <w:lang w:val="en-GB"/>
              </w:rPr>
            </w:pPr>
            <w:r w:rsidRPr="00972C0E">
              <w:rPr>
                <w:rFonts w:ascii="Times New Roman" w:hAnsi="Times New Roman" w:cs="Times New Roman"/>
                <w:lang w:val="en-GB"/>
              </w:rPr>
              <w:t>1</w:t>
            </w:r>
          </w:p>
        </w:tc>
        <w:tc>
          <w:tcPr>
            <w:tcW w:w="2552" w:type="dxa"/>
          </w:tcPr>
          <w:p w14:paraId="2D67EEC2" w14:textId="23C302E7" w:rsidR="0085465B" w:rsidRPr="00972C0E" w:rsidRDefault="0085465B" w:rsidP="00972C0E">
            <w:pPr>
              <w:pStyle w:val="Betarp"/>
              <w:rPr>
                <w:rFonts w:ascii="Times New Roman" w:hAnsi="Times New Roman" w:cs="Times New Roman"/>
                <w:b/>
              </w:rPr>
            </w:pPr>
            <w:r w:rsidRPr="00972C0E">
              <w:rPr>
                <w:rFonts w:ascii="Times New Roman" w:hAnsi="Times New Roman" w:cs="Times New Roman"/>
                <w:b/>
              </w:rPr>
              <w:t>Lietuvos Respublikos valstybės saugumo departamentas</w:t>
            </w:r>
          </w:p>
          <w:p w14:paraId="642690FE" w14:textId="77777777" w:rsidR="00524278" w:rsidRPr="00972C0E" w:rsidRDefault="00524278" w:rsidP="00972C0E">
            <w:pPr>
              <w:pStyle w:val="Betarp"/>
              <w:rPr>
                <w:rFonts w:ascii="Times New Roman" w:hAnsi="Times New Roman" w:cs="Times New Roman"/>
                <w:b/>
              </w:rPr>
            </w:pPr>
          </w:p>
          <w:p w14:paraId="3A56B10B" w14:textId="7AE2A6D1" w:rsidR="00C40E1B" w:rsidRPr="00972C0E" w:rsidRDefault="00C40E1B" w:rsidP="00972C0E">
            <w:pPr>
              <w:pStyle w:val="Betarp"/>
              <w:rPr>
                <w:rFonts w:ascii="Times New Roman" w:hAnsi="Times New Roman" w:cs="Times New Roman"/>
                <w:b/>
              </w:rPr>
            </w:pPr>
            <w:r w:rsidRPr="00972C0E">
              <w:rPr>
                <w:rFonts w:ascii="Times New Roman" w:hAnsi="Times New Roman" w:cs="Times New Roman"/>
                <w:b/>
              </w:rPr>
              <w:t>Valstybinė energetikos reguliavimo tarnyba</w:t>
            </w:r>
          </w:p>
          <w:p w14:paraId="1672F5BE" w14:textId="77777777" w:rsidR="00524278" w:rsidRPr="00972C0E" w:rsidRDefault="00524278" w:rsidP="00972C0E">
            <w:pPr>
              <w:pStyle w:val="Betarp"/>
              <w:rPr>
                <w:rFonts w:ascii="Times New Roman" w:hAnsi="Times New Roman" w:cs="Times New Roman"/>
                <w:b/>
              </w:rPr>
            </w:pPr>
          </w:p>
          <w:p w14:paraId="23218114" w14:textId="36953DDC" w:rsidR="005C44FA" w:rsidRPr="00972C0E" w:rsidRDefault="005C44FA" w:rsidP="00972C0E">
            <w:pPr>
              <w:pStyle w:val="Betarp"/>
              <w:rPr>
                <w:rFonts w:ascii="Times New Roman" w:hAnsi="Times New Roman" w:cs="Times New Roman"/>
                <w:b/>
              </w:rPr>
            </w:pPr>
            <w:r w:rsidRPr="00972C0E">
              <w:rPr>
                <w:rFonts w:ascii="Times New Roman" w:hAnsi="Times New Roman" w:cs="Times New Roman"/>
                <w:b/>
              </w:rPr>
              <w:t>Viešųjų pirkimų tarnyba</w:t>
            </w:r>
          </w:p>
          <w:p w14:paraId="634CB04E" w14:textId="77777777" w:rsidR="00524278" w:rsidRPr="00972C0E" w:rsidRDefault="00524278" w:rsidP="00972C0E">
            <w:pPr>
              <w:pStyle w:val="Betarp"/>
              <w:rPr>
                <w:rFonts w:ascii="Times New Roman" w:hAnsi="Times New Roman" w:cs="Times New Roman"/>
                <w:b/>
              </w:rPr>
            </w:pPr>
          </w:p>
          <w:p w14:paraId="3198AA81" w14:textId="534A452D" w:rsidR="00F43D74" w:rsidRPr="00972C0E" w:rsidRDefault="00F43D74" w:rsidP="00972C0E">
            <w:pPr>
              <w:pStyle w:val="Betarp"/>
              <w:rPr>
                <w:rFonts w:ascii="Times New Roman" w:hAnsi="Times New Roman" w:cs="Times New Roman"/>
                <w:b/>
              </w:rPr>
            </w:pPr>
            <w:r w:rsidRPr="00972C0E">
              <w:rPr>
                <w:rFonts w:ascii="Times New Roman" w:hAnsi="Times New Roman" w:cs="Times New Roman"/>
                <w:b/>
              </w:rPr>
              <w:t>Valstybinė duomenų apsaugos inspekcija</w:t>
            </w:r>
          </w:p>
          <w:p w14:paraId="7CDF1F2C" w14:textId="77777777" w:rsidR="00524278" w:rsidRPr="00972C0E" w:rsidRDefault="00524278" w:rsidP="00972C0E">
            <w:pPr>
              <w:pStyle w:val="Betarp"/>
              <w:rPr>
                <w:rFonts w:ascii="Times New Roman" w:hAnsi="Times New Roman" w:cs="Times New Roman"/>
                <w:b/>
              </w:rPr>
            </w:pPr>
          </w:p>
          <w:p w14:paraId="0E194D86" w14:textId="50196F65" w:rsidR="00424598" w:rsidRDefault="00424598" w:rsidP="00972C0E">
            <w:pPr>
              <w:pStyle w:val="Betarp"/>
              <w:rPr>
                <w:rFonts w:ascii="Times New Roman" w:hAnsi="Times New Roman" w:cs="Times New Roman"/>
                <w:b/>
              </w:rPr>
            </w:pPr>
            <w:r w:rsidRPr="00972C0E">
              <w:rPr>
                <w:rFonts w:ascii="Times New Roman" w:hAnsi="Times New Roman" w:cs="Times New Roman"/>
                <w:b/>
              </w:rPr>
              <w:t xml:space="preserve">Lietuvos Respublikos ryšių reguliavimo tarnyba </w:t>
            </w:r>
          </w:p>
          <w:p w14:paraId="7AD3597E" w14:textId="77777777" w:rsidR="00DB638A" w:rsidRPr="00972C0E" w:rsidRDefault="00DB638A" w:rsidP="00972C0E">
            <w:pPr>
              <w:pStyle w:val="Betarp"/>
              <w:rPr>
                <w:rFonts w:ascii="Times New Roman" w:hAnsi="Times New Roman" w:cs="Times New Roman"/>
                <w:b/>
              </w:rPr>
            </w:pPr>
          </w:p>
          <w:p w14:paraId="65641C70" w14:textId="5B9A78CE" w:rsidR="00E6165D" w:rsidRPr="00972C0E" w:rsidRDefault="00E6165D" w:rsidP="00972C0E">
            <w:pPr>
              <w:pStyle w:val="Betarp"/>
              <w:rPr>
                <w:rFonts w:ascii="Times New Roman" w:hAnsi="Times New Roman" w:cs="Times New Roman"/>
                <w:b/>
              </w:rPr>
            </w:pPr>
            <w:r w:rsidRPr="00972C0E">
              <w:rPr>
                <w:rFonts w:ascii="Times New Roman" w:hAnsi="Times New Roman" w:cs="Times New Roman"/>
                <w:b/>
              </w:rPr>
              <w:t xml:space="preserve">Nacionalinė teismų administracija </w:t>
            </w:r>
          </w:p>
        </w:tc>
        <w:tc>
          <w:tcPr>
            <w:tcW w:w="7654" w:type="dxa"/>
          </w:tcPr>
          <w:p w14:paraId="2F752E09" w14:textId="77777777" w:rsidR="0085465B" w:rsidRPr="00972C0E" w:rsidRDefault="00FD6E2B" w:rsidP="00972C0E">
            <w:pPr>
              <w:pStyle w:val="Sraopastraipa"/>
              <w:keepNext/>
              <w:tabs>
                <w:tab w:val="left" w:pos="993"/>
              </w:tabs>
              <w:spacing w:after="0" w:line="240" w:lineRule="auto"/>
              <w:ind w:left="0"/>
              <w:jc w:val="both"/>
              <w:rPr>
                <w:rFonts w:ascii="Times New Roman" w:hAnsi="Times New Roman"/>
              </w:rPr>
            </w:pPr>
            <w:r w:rsidRPr="00972C0E">
              <w:rPr>
                <w:rFonts w:ascii="Times New Roman" w:hAnsi="Times New Roman"/>
              </w:rPr>
              <w:t>Įstatymo projekto 3 straipsnio 3 dalyje yra įtvirtinta, kad valstybės veiklos sritis ir joms priskirtas institucijas ir įstaigas, kurių vadovai yra valstybės biudžeto asignavimų valdytojai, nustato Vyriausybė. Vadovaujantis šia nuostata, Vyriausybei turėtų būtų pavesta nustatyti valstybės veiklos sritis ir joms priskirti institucijas, įstaigas, kurių vadovai yra valstybės biudžeto asignavimų valdytojai, nepriklausomai ar valstybės biudžeto asignavimų valdytojas yra priskirtas vykdomajai valdžiai, pavaldus Vyriausybei, ar ne. Atkreiptinas dėmesys, kad toks siūlomas teisinis reglamentavimas galimai neatitiktų Konstitucijos 94 straipsnyje apibrėžtų Lietuvos Respublikos Vyriausybės įgaliojimų, kurių vienas iš jų – koordinuoti ministerijų ir kitų Vyriausybės įstaigų veiklą, tačiau nesuteikia teisės koordinuoti Vyriausybei nepavaldžių institucijų veiklos. Platesnis aiškinimas dėl tokio siūlomo ydingo reglamentavimo buvo išdėstytas Valstybės saugumo departamento 2019 m. balandžio 19 d. rašte Nr. 18-3356.</w:t>
            </w:r>
          </w:p>
          <w:p w14:paraId="340773DA" w14:textId="77777777" w:rsidR="00C40E1B" w:rsidRPr="00972C0E" w:rsidRDefault="00C40E1B" w:rsidP="00972C0E">
            <w:pPr>
              <w:keepNext/>
              <w:tabs>
                <w:tab w:val="left" w:pos="993"/>
              </w:tabs>
              <w:jc w:val="both"/>
              <w:rPr>
                <w:rFonts w:ascii="Times New Roman" w:hAnsi="Times New Roman" w:cs="Times New Roman"/>
              </w:rPr>
            </w:pPr>
            <w:r w:rsidRPr="00972C0E">
              <w:rPr>
                <w:rFonts w:ascii="Times New Roman" w:hAnsi="Times New Roman" w:cs="Times New Roman"/>
              </w:rPr>
              <w:t>Projektuose siūlomo teisinio reglamentavimo įtaka nepriklausomumo statusą turinčioms institucijoms nėra aptarta ir kartu su projektais teikiamame aiškinamajame rašte. Be kita ko, minėtų teisės aktų pagrindu vėliau bus keičiama Strateginio planavimo metodika, t. y. vienas iš SVĮ ir BSĮ projektus įgyvendinančiųjų teisės aktų. Nesant SVĮ ir BSĮ projektų įgyvendinančiųjų teisės aktų visumos sudėtinga įvertinti, ar įgyvendinančiuosiuose teisės aktuose bus nustatytas tinkamas reglamentavimas nepriklausomumo statusą turinčioms institucijoms.</w:t>
            </w:r>
          </w:p>
          <w:p w14:paraId="4CA3D498" w14:textId="1CF44A50" w:rsidR="00C40E1B" w:rsidRPr="00972C0E" w:rsidRDefault="00C40E1B" w:rsidP="00972C0E">
            <w:pPr>
              <w:pStyle w:val="Sraopastraipa"/>
              <w:keepNext/>
              <w:tabs>
                <w:tab w:val="left" w:pos="993"/>
              </w:tabs>
              <w:spacing w:after="0" w:line="240" w:lineRule="auto"/>
              <w:ind w:left="0"/>
              <w:jc w:val="both"/>
              <w:rPr>
                <w:rFonts w:ascii="Times New Roman" w:hAnsi="Times New Roman"/>
              </w:rPr>
            </w:pPr>
            <w:r w:rsidRPr="00972C0E">
              <w:rPr>
                <w:rFonts w:ascii="Times New Roman" w:hAnsi="Times New Roman"/>
              </w:rPr>
              <w:t>Atsižvelgdami į tai, siūlome įstatymų projektuose numatyti aiškų mechanizmą, užtikrinantį atitinkamų institucijų nepriklausomumą ir savarankiškumą, kurių pamatiniai principai įtvirtinti Europos Sąjungos direktyvose ir nacionaliniuose teisės aktuose.</w:t>
            </w:r>
          </w:p>
        </w:tc>
        <w:tc>
          <w:tcPr>
            <w:tcW w:w="4111" w:type="dxa"/>
          </w:tcPr>
          <w:p w14:paraId="5AFF8B51" w14:textId="3288C1E4" w:rsidR="00C32706" w:rsidRPr="00972C0E" w:rsidRDefault="00704366" w:rsidP="00972C0E">
            <w:pPr>
              <w:pStyle w:val="Betarp"/>
              <w:jc w:val="both"/>
              <w:rPr>
                <w:rFonts w:ascii="Times New Roman" w:hAnsi="Times New Roman" w:cs="Times New Roman"/>
              </w:rPr>
            </w:pPr>
            <w:r w:rsidRPr="00972C0E">
              <w:rPr>
                <w:rFonts w:ascii="Times New Roman" w:hAnsi="Times New Roman" w:cs="Times New Roman"/>
              </w:rPr>
              <w:t xml:space="preserve">2019 m. lapkričio </w:t>
            </w:r>
            <w:r w:rsidRPr="00972C0E">
              <w:rPr>
                <w:rFonts w:ascii="Times New Roman" w:hAnsi="Times New Roman" w:cs="Times New Roman"/>
                <w:lang w:val="en-GB"/>
              </w:rPr>
              <w:t>13 d.</w:t>
            </w:r>
            <w:r w:rsidRPr="00972C0E">
              <w:rPr>
                <w:rFonts w:ascii="Times New Roman" w:hAnsi="Times New Roman" w:cs="Times New Roman"/>
              </w:rPr>
              <w:t xml:space="preserve"> vykusių tarpinstitucinių pasitarimų metu SVĮ projekto pastaboms aptarti metu buvo pateiktas paaiškinimas ir sutarta, kad </w:t>
            </w:r>
            <w:r w:rsidR="00C32706" w:rsidRPr="00972C0E">
              <w:rPr>
                <w:rFonts w:ascii="Times New Roman" w:hAnsi="Times New Roman" w:cs="Times New Roman"/>
              </w:rPr>
              <w:t xml:space="preserve">BSĮ </w:t>
            </w:r>
            <w:r w:rsidRPr="00972C0E">
              <w:rPr>
                <w:rFonts w:ascii="Times New Roman" w:hAnsi="Times New Roman" w:cs="Times New Roman"/>
              </w:rPr>
              <w:t xml:space="preserve">projekte bus </w:t>
            </w:r>
            <w:r w:rsidR="00C32706" w:rsidRPr="00972C0E">
              <w:rPr>
                <w:rFonts w:ascii="Times New Roman" w:hAnsi="Times New Roman" w:cs="Times New Roman"/>
              </w:rPr>
              <w:t>atliktas patikslinimas 14.1. str. pagal valstybės tarnybos įstatymą</w:t>
            </w:r>
            <w:r w:rsidRPr="00972C0E">
              <w:rPr>
                <w:rFonts w:ascii="Times New Roman" w:hAnsi="Times New Roman" w:cs="Times New Roman"/>
              </w:rPr>
              <w:t>, papildytas aiškinamasis raštas nurodant valstybės veiklos sričių išskyrimo tikslą ir pakeitimai atsiųsti derinti darbo tvarka</w:t>
            </w:r>
            <w:r w:rsidR="00C32706" w:rsidRPr="00972C0E">
              <w:rPr>
                <w:rFonts w:ascii="Times New Roman" w:hAnsi="Times New Roman" w:cs="Times New Roman"/>
              </w:rPr>
              <w:t>.</w:t>
            </w:r>
          </w:p>
          <w:p w14:paraId="7B772086" w14:textId="22BF01E6" w:rsidR="00704366" w:rsidRPr="00972C0E" w:rsidRDefault="00704366" w:rsidP="00972C0E">
            <w:pPr>
              <w:pStyle w:val="Betarp"/>
              <w:jc w:val="both"/>
              <w:rPr>
                <w:rFonts w:ascii="Times New Roman" w:hAnsi="Times New Roman" w:cs="Times New Roman"/>
              </w:rPr>
            </w:pPr>
            <w:r w:rsidRPr="00972C0E">
              <w:rPr>
                <w:rFonts w:ascii="Times New Roman" w:hAnsi="Times New Roman" w:cs="Times New Roman"/>
              </w:rPr>
              <w:t>Po derinimo pastabų projektui nebeturi Viešųjų pirkimų tarnyba, Valstybinė duomenų apsaugos inspekcija, Lietuvos Respublikos ryšių reguliavimo tarnyba</w:t>
            </w:r>
          </w:p>
          <w:p w14:paraId="197B54FE" w14:textId="77777777" w:rsidR="00C32706" w:rsidRPr="00972C0E" w:rsidRDefault="00C32706" w:rsidP="00972C0E">
            <w:pPr>
              <w:pStyle w:val="Betarp"/>
              <w:rPr>
                <w:rFonts w:ascii="Times New Roman" w:hAnsi="Times New Roman" w:cs="Times New Roman"/>
              </w:rPr>
            </w:pPr>
          </w:p>
          <w:p w14:paraId="1DD57207" w14:textId="7F1310E0" w:rsidR="0085465B" w:rsidRPr="00972C0E" w:rsidRDefault="006C0FE0" w:rsidP="00972C0E">
            <w:pPr>
              <w:pStyle w:val="Betarp"/>
              <w:rPr>
                <w:rFonts w:ascii="Times New Roman" w:hAnsi="Times New Roman" w:cs="Times New Roman"/>
              </w:rPr>
            </w:pPr>
            <w:r w:rsidRPr="00972C0E">
              <w:rPr>
                <w:rFonts w:ascii="Times New Roman" w:hAnsi="Times New Roman" w:cs="Times New Roman"/>
              </w:rPr>
              <w:t xml:space="preserve">Pateiktas paaiškinimas. </w:t>
            </w:r>
          </w:p>
          <w:p w14:paraId="5203F826" w14:textId="77777777" w:rsidR="006C0FE0" w:rsidRPr="00972C0E" w:rsidRDefault="00C405A4" w:rsidP="00972C0E">
            <w:pPr>
              <w:pStyle w:val="Betarp"/>
              <w:jc w:val="both"/>
              <w:rPr>
                <w:rFonts w:ascii="Times New Roman" w:hAnsi="Times New Roman" w:cs="Times New Roman"/>
              </w:rPr>
            </w:pPr>
            <w:r w:rsidRPr="00972C0E">
              <w:rPr>
                <w:rFonts w:ascii="Times New Roman" w:hAnsi="Times New Roman" w:cs="Times New Roman"/>
              </w:rPr>
              <w:t>Konstitucijos 94 straipsnyje yra nurodyta, kad Vyriausybė „1) tvarko krašto reikalus, saugo Lietuvos Respublikos teritorijos neliečiamybę, garantuoja valstybės saugumą ir viešąją tvarką;“ ir „4) rengia valstybės biudžeto projektą ir teikia jį Seimui; vykdo valstybės biudžetą, teikia Seimui biudžeto įvykdymo apyskaitą;“.</w:t>
            </w:r>
          </w:p>
          <w:p w14:paraId="778B1454" w14:textId="77777777" w:rsidR="00C405A4" w:rsidRPr="00972C0E" w:rsidRDefault="00C405A4" w:rsidP="00972C0E">
            <w:pPr>
              <w:pStyle w:val="Betarp"/>
              <w:jc w:val="both"/>
              <w:rPr>
                <w:rFonts w:ascii="Times New Roman" w:hAnsi="Times New Roman" w:cs="Times New Roman"/>
              </w:rPr>
            </w:pPr>
            <w:r w:rsidRPr="00972C0E">
              <w:rPr>
                <w:rFonts w:ascii="Times New Roman" w:hAnsi="Times New Roman" w:cs="Times New Roman"/>
              </w:rPr>
              <w:t>Norime pabrėžti, kad valstybės veiklos sričių išskyrimo tikslas yra ne koordinuoti Vyriausybei nepavaldžių institucijų veiklą, o aiškiai ir visuomenei priimtinu būdu atskleisti, kokiose valstybės veiklos srityse veikia valstybės institucijos, finansuojamos iš valstybės biudžeto, kiek kiekvienai valstybės veiklos sričiai numatoma skirti valstybės biudžeto asignavimų atitinkamais biudžetiniais metais.</w:t>
            </w:r>
          </w:p>
          <w:p w14:paraId="090BE906" w14:textId="56B78963" w:rsidR="00C405A4" w:rsidRPr="00972C0E" w:rsidRDefault="00C405A4" w:rsidP="00972C0E">
            <w:pPr>
              <w:pStyle w:val="Betarp"/>
              <w:rPr>
                <w:rFonts w:ascii="Times New Roman" w:hAnsi="Times New Roman" w:cs="Times New Roman"/>
              </w:rPr>
            </w:pPr>
            <w:r w:rsidRPr="00972C0E">
              <w:rPr>
                <w:rFonts w:ascii="Times New Roman" w:hAnsi="Times New Roman" w:cs="Times New Roman"/>
              </w:rPr>
              <w:t>Toks išskyrimas nesuteikia teisės Vyriausybei koordinuoti Vyriausybei nepavaldžių institucijų veiklą.</w:t>
            </w:r>
          </w:p>
          <w:p w14:paraId="0A415C14" w14:textId="77777777" w:rsidR="00C405A4" w:rsidRPr="00972C0E" w:rsidRDefault="00C405A4" w:rsidP="00972C0E">
            <w:pPr>
              <w:pStyle w:val="Betarp"/>
              <w:jc w:val="both"/>
              <w:rPr>
                <w:rFonts w:ascii="Times New Roman" w:hAnsi="Times New Roman" w:cs="Times New Roman"/>
                <w:b/>
                <w:i/>
              </w:rPr>
            </w:pPr>
            <w:r w:rsidRPr="00972C0E">
              <w:rPr>
                <w:rFonts w:ascii="Times New Roman" w:hAnsi="Times New Roman" w:cs="Times New Roman"/>
                <w:b/>
                <w:i/>
              </w:rPr>
              <w:lastRenderedPageBreak/>
              <w:t>Tokiu paaiškinimu galime papildyti aiškinamąjį raštą.</w:t>
            </w:r>
          </w:p>
          <w:p w14:paraId="441FB83D" w14:textId="68FE54F1" w:rsidR="00345F96" w:rsidRPr="00972C0E" w:rsidRDefault="00345F96" w:rsidP="00972C0E">
            <w:pPr>
              <w:pStyle w:val="Betarp"/>
              <w:jc w:val="both"/>
              <w:rPr>
                <w:rFonts w:ascii="Times New Roman" w:hAnsi="Times New Roman" w:cs="Times New Roman"/>
              </w:rPr>
            </w:pPr>
            <w:r w:rsidRPr="00972C0E">
              <w:rPr>
                <w:rFonts w:ascii="Times New Roman" w:hAnsi="Times New Roman" w:cs="Times New Roman"/>
              </w:rPr>
              <w:t>Be to, Viešojoje teisėje veikia bendrasis teisinio reguliavimo principas ,,galima tai, kas leista“ (viešosios teisės principas), pagal kurį viešosios teisės subjektai negali laisvai pasirinkti savo elgesio varianto, jie turi tik tokius įgalinimus, kurie jiems suteikti konkrečių įstatymų, ir savo veikloje negali peržengti šių įgalinimų ribų.</w:t>
            </w:r>
          </w:p>
        </w:tc>
      </w:tr>
      <w:tr w:rsidR="00045A3F" w:rsidRPr="00972C0E" w14:paraId="6D705D33" w14:textId="77777777" w:rsidTr="00680FB8">
        <w:tc>
          <w:tcPr>
            <w:tcW w:w="709" w:type="dxa"/>
          </w:tcPr>
          <w:p w14:paraId="56895544" w14:textId="1548B1A8" w:rsidR="00045A3F" w:rsidRPr="00972C0E" w:rsidRDefault="00E212FF" w:rsidP="00972C0E">
            <w:pPr>
              <w:pStyle w:val="Betarp"/>
              <w:rPr>
                <w:rFonts w:ascii="Times New Roman" w:hAnsi="Times New Roman" w:cs="Times New Roman"/>
                <w:lang w:val="en-GB"/>
              </w:rPr>
            </w:pPr>
            <w:r w:rsidRPr="00972C0E">
              <w:rPr>
                <w:rFonts w:ascii="Times New Roman" w:hAnsi="Times New Roman" w:cs="Times New Roman"/>
                <w:lang w:val="en-GB"/>
              </w:rPr>
              <w:lastRenderedPageBreak/>
              <w:t>2</w:t>
            </w:r>
          </w:p>
        </w:tc>
        <w:tc>
          <w:tcPr>
            <w:tcW w:w="2552" w:type="dxa"/>
          </w:tcPr>
          <w:p w14:paraId="3BDB99D1" w14:textId="77777777" w:rsidR="00045A3F" w:rsidRPr="00972C0E" w:rsidRDefault="00045A3F" w:rsidP="00972C0E">
            <w:pPr>
              <w:pStyle w:val="Betarp"/>
              <w:rPr>
                <w:rFonts w:ascii="Times New Roman" w:hAnsi="Times New Roman" w:cs="Times New Roman"/>
                <w:b/>
                <w:lang w:eastAsia="lt-LT"/>
              </w:rPr>
            </w:pPr>
            <w:r w:rsidRPr="00972C0E">
              <w:rPr>
                <w:rFonts w:ascii="Times New Roman" w:hAnsi="Times New Roman" w:cs="Times New Roman"/>
                <w:b/>
                <w:lang w:eastAsia="lt-LT"/>
              </w:rPr>
              <w:t>Valstybinė energetikos reguliavimo tarnyba</w:t>
            </w:r>
          </w:p>
          <w:p w14:paraId="517703F5" w14:textId="77777777" w:rsidR="00CA33FE" w:rsidRPr="00972C0E" w:rsidRDefault="00CA33FE" w:rsidP="00972C0E">
            <w:pPr>
              <w:pStyle w:val="Betarp"/>
              <w:rPr>
                <w:rFonts w:ascii="Times New Roman" w:hAnsi="Times New Roman" w:cs="Times New Roman"/>
                <w:b/>
              </w:rPr>
            </w:pPr>
          </w:p>
          <w:p w14:paraId="680E9CF3" w14:textId="77777777" w:rsidR="00CA33FE" w:rsidRPr="00972C0E" w:rsidRDefault="00CA33FE" w:rsidP="00972C0E">
            <w:pPr>
              <w:pStyle w:val="Betarp"/>
              <w:rPr>
                <w:rFonts w:ascii="Times New Roman" w:hAnsi="Times New Roman" w:cs="Times New Roman"/>
                <w:b/>
              </w:rPr>
            </w:pPr>
          </w:p>
          <w:p w14:paraId="197AD43B" w14:textId="5DDFA6CB" w:rsidR="00CA33FE" w:rsidRPr="00972C0E" w:rsidRDefault="00CA33FE" w:rsidP="00972C0E">
            <w:pPr>
              <w:pStyle w:val="Betarp"/>
              <w:rPr>
                <w:rFonts w:ascii="Times New Roman" w:hAnsi="Times New Roman" w:cs="Times New Roman"/>
                <w:b/>
                <w:lang w:eastAsia="lt-LT"/>
              </w:rPr>
            </w:pPr>
            <w:r w:rsidRPr="00972C0E">
              <w:rPr>
                <w:rFonts w:ascii="Times New Roman" w:hAnsi="Times New Roman" w:cs="Times New Roman"/>
                <w:b/>
              </w:rPr>
              <w:t>Lietuvos Respublikos konkurencijos tarnyba</w:t>
            </w:r>
          </w:p>
          <w:p w14:paraId="6D98E82B" w14:textId="069C7110" w:rsidR="00CA33FE" w:rsidRPr="00972C0E" w:rsidRDefault="00CA33FE" w:rsidP="00972C0E">
            <w:pPr>
              <w:pStyle w:val="Betarp"/>
              <w:rPr>
                <w:rFonts w:ascii="Times New Roman" w:hAnsi="Times New Roman" w:cs="Times New Roman"/>
                <w:b/>
              </w:rPr>
            </w:pPr>
            <w:bookmarkStart w:id="0" w:name="_GoBack"/>
            <w:bookmarkEnd w:id="0"/>
          </w:p>
        </w:tc>
        <w:tc>
          <w:tcPr>
            <w:tcW w:w="7654" w:type="dxa"/>
          </w:tcPr>
          <w:p w14:paraId="6700B469" w14:textId="77777777" w:rsidR="00045A3F" w:rsidRPr="00972C0E" w:rsidRDefault="00045A3F" w:rsidP="00972C0E">
            <w:pPr>
              <w:pStyle w:val="Betarp"/>
              <w:jc w:val="both"/>
              <w:rPr>
                <w:rFonts w:ascii="Times New Roman" w:hAnsi="Times New Roman" w:cs="Times New Roman"/>
              </w:rPr>
            </w:pPr>
            <w:r w:rsidRPr="00972C0E">
              <w:rPr>
                <w:rFonts w:ascii="Times New Roman" w:hAnsi="Times New Roman" w:cs="Times New Roman"/>
              </w:rPr>
              <w:t xml:space="preserve">BSĮ projekto 5 straipsniu keičiamo Biudžeto sandaros įstatymo 18 straipsnio 2 dalies 3 punkte numatyta, kad asignavimai asignavimų valdytojams skiriami išlaidoms, iš jų – darbo užmokesčiui, ir turtui įsigyti. Minėtu punktu įtvirtinama išimtis, kuria vadovaujantis žvalgybos institucijoms ir valstybinėms aukštosioms mokykloms asignavimai išlaidoms skiriami neišskiriant iš jų darbo užmokesčio. </w:t>
            </w:r>
          </w:p>
          <w:p w14:paraId="1E0FB674" w14:textId="21160586" w:rsidR="00045A3F" w:rsidRPr="00972C0E" w:rsidRDefault="00045A3F" w:rsidP="00972C0E">
            <w:pPr>
              <w:pStyle w:val="naispant"/>
              <w:tabs>
                <w:tab w:val="left" w:pos="709"/>
                <w:tab w:val="left" w:pos="1134"/>
              </w:tabs>
              <w:spacing w:before="0" w:after="0"/>
              <w:ind w:left="0" w:firstLine="0"/>
              <w:rPr>
                <w:b w:val="0"/>
                <w:sz w:val="22"/>
                <w:szCs w:val="22"/>
                <w:lang w:val="lt-LT"/>
              </w:rPr>
            </w:pPr>
            <w:r w:rsidRPr="00972C0E">
              <w:rPr>
                <w:b w:val="0"/>
                <w:sz w:val="22"/>
                <w:szCs w:val="22"/>
              </w:rPr>
              <w:t>Siūlome tobulinti keičiamą Biudžeto sandaros įstatymo 18 straipsnio 2 dalies 3 punktą, numatant, kad asignavimai išlaidoms, neišskiriant iš jų darbo užmokesčio fondo, skiriami ne tik žvalgybos institucijoms ir valstybinėms aukštosioms mokykloms, bet ir rinkos priežiūrą vykdančioms nepriklausomoms valstybės institucijoms. Siūlomas pakeitimas užtikrintų, kad reguliavimo funkcijas atliekančios institucijos, (pvz., Taryba, Ryšių reguliavimo tarnyba, Lietuvos Respublikos konkurencijos taryba), savarankiškai įgyvendintų joms skirtą biudžetą, nepriklausomai nuo kitų valdžios institucijų savarankiškai planuotų asignavimus ir, esant poreikiui, juos perskirstytų. Be to, siūlomu pakeitimu būtų užtikrintas iš Europos Sąjungos teisės kylantis Tarybos nepriklausomumo principas, numatantis valstybių narių pareigą užtikrinti, kad nacionalinės reguliavimo institucijos galėtų priimti savarankiškus sprendimus, nepriklausomai nuo jokio politinio organo, taip pat savarankiškai įgyvendintų joms skirtą biudžetą ir turėtų pakankamai žmogiškųjų ir finansinių išteklių savo pareigoms vykdyti (Europos Sąjungos trečiojo energetikos paketo Direktyvos 2009/72/EB 35 straipsnio 4 dalies pirmasis sakinys, 35 straipsnio 4 dalies b punkto ii papunktis ir 35 straipsnio 5 dalies a punktas; Direktyvos 2009/73/EB 39 straipsnio 4 dalies pirmasis sakinys, 39 straipsnio 4 dalies b punkto ii papunktis ir 35 straipsnio 5 dalies a punktas).</w:t>
            </w:r>
          </w:p>
        </w:tc>
        <w:tc>
          <w:tcPr>
            <w:tcW w:w="4111" w:type="dxa"/>
          </w:tcPr>
          <w:p w14:paraId="64DEB64D" w14:textId="77777777" w:rsidR="00045A3F" w:rsidRPr="00972C0E" w:rsidRDefault="00045A3F" w:rsidP="00972C0E">
            <w:pPr>
              <w:pStyle w:val="Betarp"/>
              <w:jc w:val="both"/>
              <w:rPr>
                <w:rFonts w:ascii="Times New Roman" w:hAnsi="Times New Roman" w:cs="Times New Roman"/>
                <w:b/>
              </w:rPr>
            </w:pPr>
            <w:r w:rsidRPr="00972C0E">
              <w:rPr>
                <w:rFonts w:ascii="Times New Roman" w:hAnsi="Times New Roman" w:cs="Times New Roman"/>
                <w:b/>
              </w:rPr>
              <w:t>Neatsižvelgta.</w:t>
            </w:r>
          </w:p>
          <w:p w14:paraId="4F0492E5" w14:textId="77777777" w:rsidR="00045A3F" w:rsidRPr="00972C0E" w:rsidRDefault="00045A3F" w:rsidP="00972C0E">
            <w:pPr>
              <w:pStyle w:val="Betarp"/>
              <w:jc w:val="both"/>
              <w:rPr>
                <w:rFonts w:ascii="Times New Roman" w:hAnsi="Times New Roman" w:cs="Times New Roman"/>
              </w:rPr>
            </w:pPr>
            <w:r w:rsidRPr="00972C0E">
              <w:rPr>
                <w:rFonts w:ascii="Times New Roman" w:hAnsi="Times New Roman" w:cs="Times New Roman"/>
              </w:rPr>
              <w:t>Biudžeto sandaros įstatymo pakeitimo projekto 18 straipsnio 2 dalies pakeitimas dėl išimties papildymo žvalgybos institucijoms skiriant asignavimus išlaidoms, neišskirti iš jų darbo užmokesčio, pasiūlytas atsižvelgiant į Lietuvos Respublikos valstybės tarnybos ir tarnybos paslapčių įstatymą, kuriame numatyta, kad žvalgybos institucijos kiekybinė ir personalinė sudėtis sudaro tarnybos paslaptį, todėl šį informacija nėra laisvai disponuojama. Atkreipiame dėmesį, kad pakeitimo pasiūlymo priežastis yra nesudaryti sąlygų atskleisti informacijos, kuri sudaro tarnybos paslaptį.</w:t>
            </w:r>
          </w:p>
          <w:p w14:paraId="2F87DFFB" w14:textId="77777777" w:rsidR="00045A3F" w:rsidRPr="00972C0E" w:rsidRDefault="00045A3F" w:rsidP="00972C0E">
            <w:pPr>
              <w:pStyle w:val="Betarp"/>
              <w:jc w:val="both"/>
              <w:rPr>
                <w:rFonts w:ascii="Times New Roman" w:hAnsi="Times New Roman" w:cs="Times New Roman"/>
              </w:rPr>
            </w:pPr>
            <w:r w:rsidRPr="00972C0E">
              <w:rPr>
                <w:rFonts w:ascii="Times New Roman" w:hAnsi="Times New Roman" w:cs="Times New Roman"/>
              </w:rPr>
              <w:t>Kiti valstybės biudžeto asignavimų valdytojai, įvertindami atitinkamais metais galimas patirti išlaidas ir kitus veiksnius, planuoja atitinkamų metų asignavimų paskirstymą išlaidoms (iš jų – darbo užmokesčiui) ir turtui įsigyti bei sprendžia dėl šių asignavimų panaudojimo neviršijant Seimo patvirtintų asignavimų sumų.</w:t>
            </w:r>
          </w:p>
          <w:p w14:paraId="7BE54F48" w14:textId="77777777" w:rsidR="00CA33FE" w:rsidRPr="00972C0E" w:rsidRDefault="00CA33FE" w:rsidP="00972C0E">
            <w:pPr>
              <w:pStyle w:val="Betarp"/>
              <w:jc w:val="both"/>
              <w:rPr>
                <w:rFonts w:ascii="Times New Roman" w:hAnsi="Times New Roman" w:cs="Times New Roman"/>
              </w:rPr>
            </w:pPr>
          </w:p>
          <w:p w14:paraId="5BD74B4B" w14:textId="3E6C6105" w:rsidR="00CA33FE" w:rsidRPr="00972C0E" w:rsidRDefault="00CA33FE" w:rsidP="00972C0E">
            <w:pPr>
              <w:pStyle w:val="Betarp"/>
              <w:jc w:val="both"/>
              <w:rPr>
                <w:rFonts w:ascii="Times New Roman" w:hAnsi="Times New Roman" w:cs="Times New Roman"/>
                <w:b/>
              </w:rPr>
            </w:pPr>
            <w:r w:rsidRPr="00972C0E">
              <w:rPr>
                <w:rFonts w:ascii="Times New Roman" w:hAnsi="Times New Roman" w:cs="Times New Roman"/>
              </w:rPr>
              <w:t xml:space="preserve">2019 m. lapkričio </w:t>
            </w:r>
            <w:r w:rsidRPr="00972C0E">
              <w:rPr>
                <w:rFonts w:ascii="Times New Roman" w:hAnsi="Times New Roman" w:cs="Times New Roman"/>
                <w:lang w:val="en-GB"/>
              </w:rPr>
              <w:t>13 d.</w:t>
            </w:r>
            <w:r w:rsidRPr="00972C0E">
              <w:rPr>
                <w:rFonts w:ascii="Times New Roman" w:hAnsi="Times New Roman" w:cs="Times New Roman"/>
              </w:rPr>
              <w:t xml:space="preserve"> vykusių tarpinstitucinių pasitarimų metu SVĮ projekto pastaboms aptarti metu buvo pateiktas paaiškinimas ir sutarta, kad šį siūlymą reikėtų peržiūrėti ateityje </w:t>
            </w:r>
            <w:r w:rsidRPr="00972C0E">
              <w:rPr>
                <w:rFonts w:ascii="Times New Roman" w:hAnsi="Times New Roman" w:cs="Times New Roman"/>
              </w:rPr>
              <w:lastRenderedPageBreak/>
              <w:t>sistemiškai, tačiau šiuo metu tam matome tam tikras rizikas, galimai ribojančias visuomenės teisę žinoti kaip tvarkomi viešieji finansai.</w:t>
            </w:r>
          </w:p>
        </w:tc>
      </w:tr>
      <w:tr w:rsidR="00456FC5" w:rsidRPr="00972C0E" w14:paraId="2128AD68" w14:textId="77777777" w:rsidTr="00680FB8">
        <w:tc>
          <w:tcPr>
            <w:tcW w:w="709" w:type="dxa"/>
          </w:tcPr>
          <w:p w14:paraId="612DB58B" w14:textId="07F0D9BF" w:rsidR="00456FC5" w:rsidRPr="00972C0E" w:rsidRDefault="00E212FF" w:rsidP="00972C0E">
            <w:pPr>
              <w:pStyle w:val="Betarp"/>
              <w:rPr>
                <w:rFonts w:ascii="Times New Roman" w:hAnsi="Times New Roman" w:cs="Times New Roman"/>
              </w:rPr>
            </w:pPr>
            <w:r w:rsidRPr="00972C0E">
              <w:rPr>
                <w:rFonts w:ascii="Times New Roman" w:hAnsi="Times New Roman" w:cs="Times New Roman"/>
              </w:rPr>
              <w:lastRenderedPageBreak/>
              <w:t>3</w:t>
            </w:r>
          </w:p>
        </w:tc>
        <w:tc>
          <w:tcPr>
            <w:tcW w:w="2552" w:type="dxa"/>
          </w:tcPr>
          <w:p w14:paraId="319A82F8" w14:textId="77777777" w:rsidR="00456FC5" w:rsidRPr="00972C0E" w:rsidRDefault="00456FC5" w:rsidP="00972C0E">
            <w:pPr>
              <w:pStyle w:val="Betarp"/>
              <w:rPr>
                <w:rFonts w:ascii="Times New Roman" w:hAnsi="Times New Roman" w:cs="Times New Roman"/>
                <w:b/>
              </w:rPr>
            </w:pPr>
            <w:r w:rsidRPr="00972C0E">
              <w:rPr>
                <w:rFonts w:ascii="Times New Roman" w:hAnsi="Times New Roman" w:cs="Times New Roman"/>
                <w:b/>
              </w:rPr>
              <w:t>Lietuvos Respublikos Valstybės kontrolė</w:t>
            </w:r>
          </w:p>
        </w:tc>
        <w:tc>
          <w:tcPr>
            <w:tcW w:w="7654" w:type="dxa"/>
          </w:tcPr>
          <w:p w14:paraId="0F9F2609" w14:textId="77777777" w:rsidR="00456FC5" w:rsidRPr="00972C0E" w:rsidRDefault="00456FC5" w:rsidP="00972C0E">
            <w:pPr>
              <w:pStyle w:val="Betarp"/>
              <w:jc w:val="both"/>
              <w:rPr>
                <w:rFonts w:ascii="Times New Roman" w:hAnsi="Times New Roman" w:cs="Times New Roman"/>
              </w:rPr>
            </w:pPr>
            <w:r w:rsidRPr="00972C0E">
              <w:rPr>
                <w:rFonts w:ascii="Times New Roman" w:hAnsi="Times New Roman" w:cs="Times New Roman"/>
              </w:rPr>
              <w:t>Valstybės kontrolė 2019-04-18 raštu SD-(4-1.8 E)-230 Nr. „Dėl Biudžeto sandaros įstatymo NR. I-430 2, 18, 35 straipsnių pakeitimo ir įstatymo papildymo 141 straipsniu įstatymo projekto“, atsižvelgdama į 2016 m. spalio 3 d. valstybinio audito ataskaitoje Nr. FA-P-60-6-10-1 „2015 metų valstybės konsoliduotųjų ir biudžeto vykdymo ataskaitų rinkinių teisingumas ir valstybės biudžeto vykdymo vertinimas“ pateiktas rekomendacijas, teikė siūlymą įstatymo projektą papildyti nuostata, kad atitinkamų metų valstybės biudžeto ir savivaldybių biudžetų finansinių rodiklių patvirtinimo įstatyme Seimo patvirtintus rodiklius gali keisti tik pats Seimas. Tokiu būdu būtų atsisakyta iki šiol galiojusios praktikos (kai Vyriausybė ar asignavimų valdytojai, naudodamiesi atitinkamų metų valstybės biudžeto ir savivaldybių biudžetų finansinių rodiklių patvirtinimo įstatymu suteiktomis teisėmis, pakeičia Seimo įstatymu patvirtintus finansinius rodiklius), prieštaraujančios Konstitucijai (joje nustatyta, kad valstybės biudžeto projektą ir jo rodiklius patvirtinti ir juos keisti gali tik Seimas priimdamas įstatymą).</w:t>
            </w:r>
          </w:p>
        </w:tc>
        <w:tc>
          <w:tcPr>
            <w:tcW w:w="4111" w:type="dxa"/>
          </w:tcPr>
          <w:p w14:paraId="6782D4C0" w14:textId="77777777" w:rsidR="00456FC5" w:rsidRPr="00972C0E" w:rsidRDefault="00456FC5" w:rsidP="00972C0E">
            <w:pPr>
              <w:pStyle w:val="Betarp"/>
              <w:jc w:val="both"/>
              <w:rPr>
                <w:rFonts w:ascii="Times New Roman" w:hAnsi="Times New Roman" w:cs="Times New Roman"/>
                <w:b/>
              </w:rPr>
            </w:pPr>
            <w:r w:rsidRPr="00972C0E">
              <w:rPr>
                <w:rFonts w:ascii="Times New Roman" w:hAnsi="Times New Roman" w:cs="Times New Roman"/>
                <w:b/>
              </w:rPr>
              <w:t xml:space="preserve">Neatsižvelgta, </w:t>
            </w:r>
            <w:r w:rsidRPr="00972C0E">
              <w:rPr>
                <w:rFonts w:ascii="Times New Roman" w:hAnsi="Times New Roman" w:cs="Times New Roman"/>
              </w:rPr>
              <w:t>tačiau planuojama šį siūlymą įvertinti 2020 metais tikslinant Biudžeto sandaros įstatymo nuostatas dėl vidutinės trukmės biudžeto sudarymo, jo valdymo taisyklių.</w:t>
            </w:r>
          </w:p>
        </w:tc>
      </w:tr>
      <w:tr w:rsidR="00E212FF" w:rsidRPr="00972C0E" w14:paraId="28326B70" w14:textId="77777777" w:rsidTr="00250E45">
        <w:tc>
          <w:tcPr>
            <w:tcW w:w="709" w:type="dxa"/>
          </w:tcPr>
          <w:p w14:paraId="348624CC" w14:textId="4B309D06" w:rsidR="00E212FF" w:rsidRPr="00972C0E" w:rsidRDefault="00E212FF" w:rsidP="00972C0E">
            <w:pPr>
              <w:pStyle w:val="Betarp"/>
              <w:rPr>
                <w:rFonts w:ascii="Times New Roman" w:hAnsi="Times New Roman" w:cs="Times New Roman"/>
              </w:rPr>
            </w:pPr>
            <w:r w:rsidRPr="00972C0E">
              <w:rPr>
                <w:rFonts w:ascii="Times New Roman" w:hAnsi="Times New Roman" w:cs="Times New Roman"/>
              </w:rPr>
              <w:t>4</w:t>
            </w:r>
          </w:p>
        </w:tc>
        <w:tc>
          <w:tcPr>
            <w:tcW w:w="2552" w:type="dxa"/>
          </w:tcPr>
          <w:p w14:paraId="193E68E0" w14:textId="77777777" w:rsidR="00E212FF" w:rsidRPr="00972C0E" w:rsidRDefault="00E212FF" w:rsidP="00972C0E">
            <w:pPr>
              <w:pStyle w:val="Betarp"/>
              <w:rPr>
                <w:rFonts w:ascii="Times New Roman" w:hAnsi="Times New Roman" w:cs="Times New Roman"/>
                <w:b/>
              </w:rPr>
            </w:pPr>
            <w:r w:rsidRPr="00972C0E">
              <w:rPr>
                <w:rFonts w:ascii="Times New Roman" w:hAnsi="Times New Roman" w:cs="Times New Roman"/>
                <w:b/>
              </w:rPr>
              <w:t>Narkotikų, tabako ir alkoholio kontrolės departamentas</w:t>
            </w:r>
          </w:p>
        </w:tc>
        <w:tc>
          <w:tcPr>
            <w:tcW w:w="7654" w:type="dxa"/>
          </w:tcPr>
          <w:p w14:paraId="0A4A06C9" w14:textId="77777777" w:rsidR="00E212FF" w:rsidRPr="00972C0E" w:rsidRDefault="00E212FF" w:rsidP="00972C0E">
            <w:pPr>
              <w:pStyle w:val="Betarp"/>
              <w:jc w:val="both"/>
              <w:rPr>
                <w:rFonts w:ascii="Times New Roman" w:hAnsi="Times New Roman" w:cs="Times New Roman"/>
              </w:rPr>
            </w:pPr>
            <w:r w:rsidRPr="00972C0E">
              <w:rPr>
                <w:rFonts w:ascii="Times New Roman" w:hAnsi="Times New Roman" w:cs="Times New Roman"/>
              </w:rPr>
              <w:t>Departamentas nepritaria Projekto 7 straipsnio 1 punkto nuostatai, jog viena nacionalinės plėtros programa gali būti rengiama ne daugiau kaip vienai valstybės veiklos sričiai. Departamento nuomone, tokia nuostata nesprendžia klausimo, kai kylančioms problemoms spręsti yra būtinas kelių veiklos sričių įtraukimas ir koordinuotas veikimas, siekiant bendro(ų) tikslo(ų) strateginio ir programavimo lygmens planavimo dokumentuose.&lt;....&gt;</w:t>
            </w:r>
          </w:p>
          <w:p w14:paraId="54F30357" w14:textId="77777777" w:rsidR="00E212FF" w:rsidRPr="00972C0E" w:rsidRDefault="00E212FF" w:rsidP="00972C0E">
            <w:pPr>
              <w:pStyle w:val="Betarp"/>
              <w:jc w:val="both"/>
              <w:rPr>
                <w:rFonts w:ascii="Times New Roman" w:hAnsi="Times New Roman" w:cs="Times New Roman"/>
              </w:rPr>
            </w:pPr>
            <w:r w:rsidRPr="00972C0E">
              <w:rPr>
                <w:rFonts w:ascii="Times New Roman" w:hAnsi="Times New Roman" w:cs="Times New Roman"/>
              </w:rPr>
              <w:t>Koordinuojant institucijų veiksmus horizontaliame lygmenyje būtų išvengta priemonių pasikartojimo asignavimų valdytojų veiklos lygmens planavimo dokumentuose, pagerintų tikslingą lėšų įsisavinimą, orientuojantis į efektyvesnės planavimo ir stebėsenos sistemos kūrimą.</w:t>
            </w:r>
          </w:p>
        </w:tc>
        <w:tc>
          <w:tcPr>
            <w:tcW w:w="4111" w:type="dxa"/>
            <w:shd w:val="clear" w:color="auto" w:fill="auto"/>
          </w:tcPr>
          <w:p w14:paraId="09D414E6" w14:textId="16F1FD87" w:rsidR="00E212FF" w:rsidRPr="00250E45" w:rsidRDefault="00E212FF" w:rsidP="002A32CA">
            <w:pPr>
              <w:pStyle w:val="Betarp"/>
              <w:jc w:val="both"/>
              <w:rPr>
                <w:rFonts w:ascii="Times New Roman" w:hAnsi="Times New Roman" w:cs="Times New Roman"/>
              </w:rPr>
            </w:pPr>
            <w:r w:rsidRPr="00250E45">
              <w:rPr>
                <w:rFonts w:ascii="Times New Roman" w:hAnsi="Times New Roman" w:cs="Times New Roman"/>
                <w:b/>
              </w:rPr>
              <w:t>Neatsižvelgta.</w:t>
            </w:r>
            <w:r w:rsidRPr="00250E45">
              <w:rPr>
                <w:rFonts w:ascii="Times New Roman" w:hAnsi="Times New Roman" w:cs="Times New Roman"/>
              </w:rPr>
              <w:t xml:space="preserve"> </w:t>
            </w:r>
            <w:r w:rsidR="002A32CA" w:rsidRPr="00250E45">
              <w:rPr>
                <w:rFonts w:ascii="Times New Roman" w:hAnsi="Times New Roman" w:cs="Times New Roman"/>
              </w:rPr>
              <w:t xml:space="preserve">Numatyta, kad strateginiai tikslai gali būti horizontalūs (t. y. jie gali apimti kelias skirtingas valstybės valdymo sritis). Tuo tarpu uždaviniai ir </w:t>
            </w:r>
            <w:r w:rsidR="00250E45" w:rsidRPr="00250E45">
              <w:rPr>
                <w:rFonts w:ascii="Times New Roman" w:hAnsi="Times New Roman" w:cs="Times New Roman"/>
              </w:rPr>
              <w:t xml:space="preserve">nacionalinės </w:t>
            </w:r>
            <w:r w:rsidR="002A32CA" w:rsidRPr="00250E45">
              <w:rPr>
                <w:rFonts w:ascii="Times New Roman" w:hAnsi="Times New Roman" w:cs="Times New Roman"/>
              </w:rPr>
              <w:t>plėtros programos turi būti orientuot</w:t>
            </w:r>
            <w:r w:rsidR="00250E45" w:rsidRPr="00250E45">
              <w:rPr>
                <w:rFonts w:ascii="Times New Roman" w:hAnsi="Times New Roman" w:cs="Times New Roman"/>
              </w:rPr>
              <w:t>os</w:t>
            </w:r>
            <w:r w:rsidR="002A32CA" w:rsidRPr="00250E45">
              <w:rPr>
                <w:rFonts w:ascii="Times New Roman" w:hAnsi="Times New Roman" w:cs="Times New Roman"/>
              </w:rPr>
              <w:t xml:space="preserve"> į konkrečią valstybės valdymo sritį. Jei įgyvendinant </w:t>
            </w:r>
            <w:r w:rsidR="00250E45" w:rsidRPr="00250E45">
              <w:rPr>
                <w:rFonts w:ascii="Times New Roman" w:hAnsi="Times New Roman" w:cs="Times New Roman"/>
              </w:rPr>
              <w:t xml:space="preserve">nacionalinę </w:t>
            </w:r>
            <w:r w:rsidR="002A32CA" w:rsidRPr="00250E45">
              <w:rPr>
                <w:rFonts w:ascii="Times New Roman" w:hAnsi="Times New Roman" w:cs="Times New Roman"/>
              </w:rPr>
              <w:t xml:space="preserve">plėtros programą, yra poreikis, kad jos įgyvendinime dalyvautų kita ministerija, kaip </w:t>
            </w:r>
            <w:r w:rsidR="00250E45" w:rsidRPr="00250E45">
              <w:rPr>
                <w:rFonts w:ascii="Times New Roman" w:hAnsi="Times New Roman" w:cs="Times New Roman"/>
              </w:rPr>
              <w:t xml:space="preserve">priemonės ar </w:t>
            </w:r>
            <w:r w:rsidR="002A32CA" w:rsidRPr="00250E45">
              <w:rPr>
                <w:rFonts w:ascii="Times New Roman" w:hAnsi="Times New Roman" w:cs="Times New Roman"/>
              </w:rPr>
              <w:t xml:space="preserve">projekto vykdytojas iš </w:t>
            </w:r>
            <w:r w:rsidR="00250E45">
              <w:rPr>
                <w:rFonts w:ascii="Times New Roman" w:hAnsi="Times New Roman" w:cs="Times New Roman"/>
              </w:rPr>
              <w:t xml:space="preserve">nacionalinės </w:t>
            </w:r>
            <w:r w:rsidR="002A32CA" w:rsidRPr="00250E45">
              <w:rPr>
                <w:rFonts w:ascii="Times New Roman" w:hAnsi="Times New Roman" w:cs="Times New Roman"/>
              </w:rPr>
              <w:t xml:space="preserve">plėtros programos valdytojo asignavimų. Skirtingų sričių plėtros programų suderinamumą ir atitikimą Nacionaliniame pažangos plane nustatytiems strateginiams tikslams ir </w:t>
            </w:r>
            <w:r w:rsidR="00250E45">
              <w:rPr>
                <w:rFonts w:ascii="Times New Roman" w:hAnsi="Times New Roman" w:cs="Times New Roman"/>
              </w:rPr>
              <w:t xml:space="preserve">pažangos </w:t>
            </w:r>
            <w:r w:rsidR="002A32CA" w:rsidRPr="00250E45">
              <w:rPr>
                <w:rFonts w:ascii="Times New Roman" w:hAnsi="Times New Roman" w:cs="Times New Roman"/>
              </w:rPr>
              <w:t xml:space="preserve">uždaviniams turės užtikrinti </w:t>
            </w:r>
            <w:r w:rsidR="00250E45">
              <w:rPr>
                <w:rFonts w:ascii="Times New Roman" w:hAnsi="Times New Roman" w:cs="Times New Roman"/>
              </w:rPr>
              <w:t>nacionalinių p</w:t>
            </w:r>
            <w:r w:rsidR="002A32CA" w:rsidRPr="00250E45">
              <w:rPr>
                <w:rFonts w:ascii="Times New Roman" w:hAnsi="Times New Roman" w:cs="Times New Roman"/>
              </w:rPr>
              <w:t>lėtros programų portfelio valdytojas</w:t>
            </w:r>
            <w:r w:rsidR="00250E45">
              <w:rPr>
                <w:rFonts w:ascii="Times New Roman" w:hAnsi="Times New Roman" w:cs="Times New Roman"/>
              </w:rPr>
              <w:t>. Be to, planuojama, kad horizontalumą padės užtikrinti ir atnaujinta Strateginio valdymo informacinė sistema.</w:t>
            </w:r>
          </w:p>
        </w:tc>
      </w:tr>
      <w:tr w:rsidR="0078261F" w:rsidRPr="00972C0E" w14:paraId="27C6F3C3" w14:textId="77777777" w:rsidTr="00250E45">
        <w:tc>
          <w:tcPr>
            <w:tcW w:w="709" w:type="dxa"/>
          </w:tcPr>
          <w:p w14:paraId="0AB46F62" w14:textId="59A98FB6" w:rsidR="0078261F" w:rsidRPr="0078261F" w:rsidRDefault="0078261F" w:rsidP="0078261F">
            <w:pPr>
              <w:pStyle w:val="Betarp"/>
              <w:rPr>
                <w:rFonts w:ascii="Times New Roman" w:hAnsi="Times New Roman" w:cs="Times New Roman"/>
                <w:lang w:val="en-GB"/>
              </w:rPr>
            </w:pPr>
            <w:r>
              <w:rPr>
                <w:rFonts w:ascii="Times New Roman" w:hAnsi="Times New Roman" w:cs="Times New Roman"/>
                <w:lang w:val="en-GB"/>
              </w:rPr>
              <w:t>5, 6</w:t>
            </w:r>
          </w:p>
        </w:tc>
        <w:tc>
          <w:tcPr>
            <w:tcW w:w="2552" w:type="dxa"/>
          </w:tcPr>
          <w:p w14:paraId="0A20F78B" w14:textId="77777777" w:rsidR="0078261F" w:rsidRPr="00972C0E" w:rsidRDefault="0078261F" w:rsidP="0078261F">
            <w:pPr>
              <w:pStyle w:val="Betarp"/>
              <w:rPr>
                <w:rFonts w:ascii="Times New Roman" w:hAnsi="Times New Roman" w:cs="Times New Roman"/>
                <w:b/>
              </w:rPr>
            </w:pPr>
            <w:r w:rsidRPr="00972C0E">
              <w:rPr>
                <w:rFonts w:ascii="Times New Roman" w:hAnsi="Times New Roman" w:cs="Times New Roman"/>
                <w:b/>
              </w:rPr>
              <w:t>Lietuvos Respublikos specialiųjų tyrimų tarnyba</w:t>
            </w:r>
          </w:p>
          <w:p w14:paraId="4721ADD6" w14:textId="77777777" w:rsidR="0078261F" w:rsidRPr="00972C0E" w:rsidRDefault="0078261F" w:rsidP="0078261F">
            <w:pPr>
              <w:pStyle w:val="Betarp"/>
              <w:rPr>
                <w:rFonts w:ascii="Times New Roman" w:hAnsi="Times New Roman" w:cs="Times New Roman"/>
                <w:b/>
              </w:rPr>
            </w:pPr>
          </w:p>
        </w:tc>
        <w:tc>
          <w:tcPr>
            <w:tcW w:w="7654" w:type="dxa"/>
          </w:tcPr>
          <w:p w14:paraId="2DC545E5" w14:textId="77777777" w:rsidR="0078261F" w:rsidRPr="00972C0E" w:rsidRDefault="0078261F" w:rsidP="0078261F">
            <w:pPr>
              <w:pStyle w:val="Betarp"/>
              <w:numPr>
                <w:ilvl w:val="0"/>
                <w:numId w:val="12"/>
              </w:numPr>
              <w:tabs>
                <w:tab w:val="left" w:pos="319"/>
              </w:tabs>
              <w:ind w:left="0" w:firstLine="0"/>
              <w:jc w:val="both"/>
              <w:rPr>
                <w:rFonts w:ascii="Times New Roman" w:hAnsi="Times New Roman" w:cs="Times New Roman"/>
              </w:rPr>
            </w:pPr>
            <w:r w:rsidRPr="00972C0E">
              <w:rPr>
                <w:rFonts w:ascii="Times New Roman" w:hAnsi="Times New Roman" w:cs="Times New Roman"/>
              </w:rPr>
              <w:lastRenderedPageBreak/>
              <w:t xml:space="preserve">SVĮ projekto 6 str. 4 p. nurodyta, kad Nacionalinė darbotvarkė būtų įgyvendinama per Nacionalinį pažangos planą (toliau – NPP) ir strateginius veiklos planus. Lietuvos Respublikos Vyriausybės kanceliarijos 2019-10-23 lydraštyje nurodoma, kad NPP </w:t>
            </w:r>
            <w:r w:rsidRPr="00972C0E">
              <w:rPr>
                <w:rFonts w:ascii="Times New Roman" w:hAnsi="Times New Roman" w:cs="Times New Roman"/>
              </w:rPr>
              <w:lastRenderedPageBreak/>
              <w:t>šiuo metu tik rengiamas. Kaip NPP bus atspindėti ir ar bus atspindėti su korupcijos prevencija susiję tikslai ir uždaviniai, nėra žinoma ir aišku.</w:t>
            </w:r>
          </w:p>
          <w:p w14:paraId="04173717" w14:textId="77777777" w:rsidR="0078261F" w:rsidRPr="0078261F" w:rsidRDefault="0078261F" w:rsidP="0078261F">
            <w:pPr>
              <w:pStyle w:val="Betarp"/>
              <w:numPr>
                <w:ilvl w:val="0"/>
                <w:numId w:val="12"/>
              </w:numPr>
              <w:tabs>
                <w:tab w:val="left" w:pos="319"/>
              </w:tabs>
              <w:ind w:left="0" w:firstLine="0"/>
              <w:jc w:val="both"/>
              <w:rPr>
                <w:rFonts w:ascii="Times New Roman" w:hAnsi="Times New Roman" w:cs="Times New Roman"/>
              </w:rPr>
            </w:pPr>
            <w:r w:rsidRPr="00972C0E">
              <w:rPr>
                <w:rFonts w:ascii="Times New Roman" w:hAnsi="Times New Roman" w:cs="Times New Roman"/>
              </w:rPr>
              <w:t xml:space="preserve">Kadangi, kaip nuodyta lydraštyje, šiuo metu yra rengiamas NPP, atkreipiame dėmesį, kad su korupcijos prevencija susiję strateginiai tikslai, uždaviniai ir poveikio rodikliai turi būti siejami su nacionalinį saugumą </w:t>
            </w:r>
            <w:r w:rsidRPr="0078261F">
              <w:rPr>
                <w:rFonts w:ascii="Times New Roman" w:hAnsi="Times New Roman" w:cs="Times New Roman"/>
              </w:rPr>
              <w:t xml:space="preserve">užtikrinančiais tikslais ir uždaviniais. </w:t>
            </w:r>
          </w:p>
          <w:p w14:paraId="7216BD29" w14:textId="09A9191E" w:rsidR="0078261F" w:rsidRPr="00972C0E" w:rsidRDefault="0078261F" w:rsidP="0078261F">
            <w:pPr>
              <w:pStyle w:val="naispant"/>
              <w:tabs>
                <w:tab w:val="left" w:pos="709"/>
                <w:tab w:val="left" w:pos="1134"/>
              </w:tabs>
              <w:spacing w:before="0" w:after="0"/>
              <w:ind w:left="0" w:firstLine="0"/>
              <w:rPr>
                <w:b w:val="0"/>
                <w:sz w:val="22"/>
                <w:szCs w:val="22"/>
                <w:lang w:val="lt-LT"/>
              </w:rPr>
            </w:pPr>
            <w:r w:rsidRPr="0078261F">
              <w:rPr>
                <w:b w:val="0"/>
                <w:sz w:val="22"/>
                <w:szCs w:val="22"/>
              </w:rPr>
              <w:t>Nacionalinė kovos su korupcija programa yra ilgalaikė valstybinė saugumo stiprinimo programa, įgyvendinanti Nacionalinio saugumo strategijoje įtvirtintus valstybės nacionalinio saugumo sistemos plėtros, užsienio, gynybos ir vidaus politikos prioritetus bei ilgalaikius uždavinius ir tai, manome, turėtų būti atspindėta šiuo metu rengiamame NPP.</w:t>
            </w:r>
          </w:p>
        </w:tc>
        <w:tc>
          <w:tcPr>
            <w:tcW w:w="4111" w:type="dxa"/>
            <w:shd w:val="clear" w:color="auto" w:fill="auto"/>
          </w:tcPr>
          <w:p w14:paraId="37354A5F" w14:textId="77777777" w:rsidR="0078261F" w:rsidRPr="00250E45" w:rsidRDefault="0078261F" w:rsidP="0078261F">
            <w:pPr>
              <w:pStyle w:val="Betarp"/>
              <w:jc w:val="both"/>
              <w:rPr>
                <w:rFonts w:ascii="Times New Roman" w:hAnsi="Times New Roman" w:cs="Times New Roman"/>
              </w:rPr>
            </w:pPr>
            <w:r w:rsidRPr="00250E45">
              <w:rPr>
                <w:rFonts w:ascii="Times New Roman" w:hAnsi="Times New Roman" w:cs="Times New Roman"/>
              </w:rPr>
              <w:lastRenderedPageBreak/>
              <w:t xml:space="preserve">NPP yra numatytas uždavinys „Tobulinti korupcijos prevencijos sistemą“ ir jis priskirtas strateginiam tikslui „Didinti teisės </w:t>
            </w:r>
            <w:r w:rsidRPr="00250E45">
              <w:rPr>
                <w:rFonts w:ascii="Times New Roman" w:hAnsi="Times New Roman" w:cs="Times New Roman"/>
              </w:rPr>
              <w:lastRenderedPageBreak/>
              <w:t>sistemos ir viešojo valdymo veiksmingumą“.</w:t>
            </w:r>
          </w:p>
          <w:p w14:paraId="1272FA60" w14:textId="77777777" w:rsidR="0078261F" w:rsidRPr="00250E45" w:rsidRDefault="0078261F" w:rsidP="0078261F">
            <w:pPr>
              <w:pStyle w:val="Betarp"/>
              <w:jc w:val="both"/>
              <w:rPr>
                <w:rFonts w:ascii="Times New Roman" w:hAnsi="Times New Roman" w:cs="Times New Roman"/>
              </w:rPr>
            </w:pPr>
            <w:r w:rsidRPr="00250E45">
              <w:rPr>
                <w:rFonts w:ascii="Times New Roman" w:hAnsi="Times New Roman" w:cs="Times New Roman"/>
              </w:rPr>
              <w:t xml:space="preserve">Priskirtas šiam, nes, remiantis korupcijos apibrėžtimi (elgesys, neatitinkantis suteiktų įgaliojimų ar teisės aktuose nustatytų elgesio standartų) tiesiogiai sietinas su teisės sistemos veiksmingumu, </w:t>
            </w:r>
            <w:proofErr w:type="spellStart"/>
            <w:r w:rsidRPr="00250E45">
              <w:rPr>
                <w:rFonts w:ascii="Times New Roman" w:hAnsi="Times New Roman" w:cs="Times New Roman"/>
              </w:rPr>
              <w:t>t.y</w:t>
            </w:r>
            <w:proofErr w:type="spellEnd"/>
            <w:r w:rsidRPr="00250E45">
              <w:rPr>
                <w:rFonts w:ascii="Times New Roman" w:hAnsi="Times New Roman" w:cs="Times New Roman"/>
              </w:rPr>
              <w:t xml:space="preserve">. teisės normų laikymusi. Sutinkame, kad uždavinys prisideda ir prie nacionalinio saugumo. Ir tam neprieštarauja NPP, kuri remiasi papildomumo principu, </w:t>
            </w:r>
            <w:proofErr w:type="spellStart"/>
            <w:r w:rsidRPr="00250E45">
              <w:rPr>
                <w:rFonts w:ascii="Times New Roman" w:hAnsi="Times New Roman" w:cs="Times New Roman"/>
              </w:rPr>
              <w:t>t.y</w:t>
            </w:r>
            <w:proofErr w:type="spellEnd"/>
            <w:r w:rsidRPr="00250E45">
              <w:rPr>
                <w:rFonts w:ascii="Times New Roman" w:hAnsi="Times New Roman" w:cs="Times New Roman"/>
              </w:rPr>
              <w:t>. nuostata, kad NPP tikslai nėra visiškai savarankiški, „izoliuoti“, o vienas kitą papildo.</w:t>
            </w:r>
          </w:p>
          <w:p w14:paraId="6D63C69A" w14:textId="5FFC02E0" w:rsidR="0078261F" w:rsidRPr="00250E45" w:rsidRDefault="0078261F" w:rsidP="0078261F">
            <w:pPr>
              <w:pStyle w:val="Betarp"/>
              <w:jc w:val="both"/>
              <w:rPr>
                <w:rFonts w:ascii="Times New Roman" w:hAnsi="Times New Roman" w:cs="Times New Roman"/>
              </w:rPr>
            </w:pPr>
            <w:r w:rsidRPr="00250E45">
              <w:rPr>
                <w:rFonts w:ascii="Times New Roman" w:hAnsi="Times New Roman" w:cs="Times New Roman"/>
              </w:rPr>
              <w:t xml:space="preserve">Nacionalinio saugumo strategijoje nacionalinis saugumas traktuojamas plačiai ir apima daugelį valstybės veiklos sričių, įskaitant tokias kaip skurdo, demografines, visuomenės senėjimo problemas. Kaip ir korupcijos prevencijos uždavinys, šie uždaviniai priskiriami ir tiesiogiai sietini su kitu tikslu (Socialinės gerovės, </w:t>
            </w:r>
            <w:proofErr w:type="spellStart"/>
            <w:r w:rsidRPr="00250E45">
              <w:rPr>
                <w:rFonts w:ascii="Times New Roman" w:hAnsi="Times New Roman" w:cs="Times New Roman"/>
              </w:rPr>
              <w:t>įtraukties</w:t>
            </w:r>
            <w:proofErr w:type="spellEnd"/>
            <w:r w:rsidRPr="00250E45">
              <w:rPr>
                <w:rFonts w:ascii="Times New Roman" w:hAnsi="Times New Roman" w:cs="Times New Roman"/>
              </w:rPr>
              <w:t>, sveikatos ir demografijos), tačiau taip pat prisideda ir prie nacionalinio saugumo stiprinimo.</w:t>
            </w:r>
          </w:p>
        </w:tc>
      </w:tr>
      <w:tr w:rsidR="0078261F" w:rsidRPr="00972C0E" w14:paraId="2BEF8385" w14:textId="77777777" w:rsidTr="00680FB8">
        <w:tc>
          <w:tcPr>
            <w:tcW w:w="709" w:type="dxa"/>
          </w:tcPr>
          <w:p w14:paraId="16825663" w14:textId="210916B8" w:rsidR="0078261F" w:rsidRPr="00972C0E" w:rsidRDefault="0078261F" w:rsidP="0078261F">
            <w:pPr>
              <w:pStyle w:val="Betarp"/>
              <w:rPr>
                <w:rFonts w:ascii="Times New Roman" w:hAnsi="Times New Roman" w:cs="Times New Roman"/>
              </w:rPr>
            </w:pPr>
            <w:r>
              <w:rPr>
                <w:rFonts w:ascii="Times New Roman" w:hAnsi="Times New Roman" w:cs="Times New Roman"/>
              </w:rPr>
              <w:lastRenderedPageBreak/>
              <w:t>7</w:t>
            </w:r>
          </w:p>
        </w:tc>
        <w:tc>
          <w:tcPr>
            <w:tcW w:w="2552" w:type="dxa"/>
          </w:tcPr>
          <w:p w14:paraId="2138BF93" w14:textId="77777777" w:rsidR="0078261F" w:rsidRPr="00972C0E" w:rsidRDefault="0078261F" w:rsidP="0078261F">
            <w:pPr>
              <w:pStyle w:val="Betarp"/>
              <w:rPr>
                <w:rFonts w:ascii="Times New Roman" w:hAnsi="Times New Roman" w:cs="Times New Roman"/>
                <w:b/>
              </w:rPr>
            </w:pPr>
          </w:p>
        </w:tc>
        <w:tc>
          <w:tcPr>
            <w:tcW w:w="7654" w:type="dxa"/>
          </w:tcPr>
          <w:p w14:paraId="322D897B" w14:textId="77777777" w:rsidR="0078261F" w:rsidRPr="0078261F" w:rsidRDefault="0078261F" w:rsidP="0078261F">
            <w:pPr>
              <w:pStyle w:val="Betarp"/>
              <w:jc w:val="both"/>
              <w:rPr>
                <w:rFonts w:ascii="Times New Roman" w:hAnsi="Times New Roman" w:cs="Times New Roman"/>
              </w:rPr>
            </w:pPr>
            <w:r w:rsidRPr="0078261F">
              <w:rPr>
                <w:rFonts w:ascii="Times New Roman" w:hAnsi="Times New Roman" w:cs="Times New Roman"/>
              </w:rPr>
              <w:t xml:space="preserve">3. Iš pateikto SVĮ projekto nėra aišku kas būtų SVI projekto 13 str. 2 d. numatytu Nacionalinės darbotvarkės koordinatoriumi, kokie santykiai tarp Nacionalinės darbotvarkės koordinatoriaus su NPP tikslus ir uždavinius įgyvendinančiomis institucijomis ir SVĮ projekto 13 str. 3 d. numatyta Vyriausybės įgaliota institucija rengiančia NPP bei su SVI projekto 13 str. 5 d. numatyta Vyriausybės įgaliota institucija atliekančia NPP stebėseną, rengiančia ataskaitas bei organizuojančia vertinimus. </w:t>
            </w:r>
          </w:p>
          <w:p w14:paraId="191A394E" w14:textId="17FFFF10" w:rsidR="0078261F" w:rsidRPr="0078261F" w:rsidRDefault="0078261F" w:rsidP="0078261F">
            <w:pPr>
              <w:pStyle w:val="naispant"/>
              <w:tabs>
                <w:tab w:val="left" w:pos="709"/>
                <w:tab w:val="left" w:pos="1134"/>
              </w:tabs>
              <w:spacing w:before="0" w:after="0"/>
              <w:ind w:left="0" w:firstLine="0"/>
              <w:rPr>
                <w:b w:val="0"/>
                <w:sz w:val="22"/>
                <w:szCs w:val="22"/>
                <w:lang w:val="lt-LT"/>
              </w:rPr>
            </w:pPr>
            <w:r w:rsidRPr="0078261F">
              <w:rPr>
                <w:b w:val="0"/>
                <w:sz w:val="22"/>
                <w:szCs w:val="22"/>
              </w:rPr>
              <w:t>SVĮ projekto 13 str. 5 d. nurodoma, kad Strateginio lygmens planavimo dokumentų įgyvendinimą koordinuoja Vyriausybė. NPP įgyvendinimo stebėseną atlieka, ataskaitas rengia, pažangos vertinimus organizuoja Vyriausybės įgaliota institucija. Nėra aišku kas surinks, susistemins ir atliks duomenų analizę, kuri reikalinga stebėsenai, taip pat neaišku kokia institucija atsakinga už NPP numatytus tikslus ir uždavinius, kuriais bus įgyvendinama Nacionalinė darbotvarkė.</w:t>
            </w:r>
          </w:p>
        </w:tc>
        <w:tc>
          <w:tcPr>
            <w:tcW w:w="4111" w:type="dxa"/>
          </w:tcPr>
          <w:p w14:paraId="52E8D850" w14:textId="77777777" w:rsidR="0078261F" w:rsidRPr="00972C0E" w:rsidRDefault="0078261F" w:rsidP="0078261F">
            <w:pPr>
              <w:pStyle w:val="Betarp"/>
              <w:jc w:val="both"/>
              <w:rPr>
                <w:rFonts w:ascii="Times New Roman" w:hAnsi="Times New Roman" w:cs="Times New Roman"/>
              </w:rPr>
            </w:pPr>
            <w:r w:rsidRPr="00972C0E">
              <w:rPr>
                <w:rFonts w:ascii="Times New Roman" w:hAnsi="Times New Roman" w:cs="Times New Roman"/>
              </w:rPr>
              <w:t xml:space="preserve">Įstatyme yra vengiama nurodyti konkrečias institucijas, išskyrus atvejus kaip jų nurodymas būtinas, siekiant užtikrinti finansavimą ar kitų įstatymų laikymąsi. </w:t>
            </w:r>
          </w:p>
          <w:p w14:paraId="1E152314" w14:textId="49BF4430" w:rsidR="0078261F" w:rsidRPr="00972C0E" w:rsidRDefault="0078261F" w:rsidP="0078261F">
            <w:pPr>
              <w:pStyle w:val="Betarp"/>
              <w:jc w:val="both"/>
              <w:rPr>
                <w:rFonts w:ascii="Times New Roman" w:hAnsi="Times New Roman" w:cs="Times New Roman"/>
                <w:b/>
              </w:rPr>
            </w:pPr>
            <w:r w:rsidRPr="00972C0E">
              <w:rPr>
                <w:rFonts w:ascii="Times New Roman" w:hAnsi="Times New Roman" w:cs="Times New Roman"/>
              </w:rPr>
              <w:t xml:space="preserve">Dokumento koordinatoriai yra paskiriami pačiame dokumente, darbotvarkėje. Joje numatoma ir stebėsenos, vertinimo ir atsiskaitymo tvarka. Tokia praktika taikoma ir dabar. </w:t>
            </w:r>
          </w:p>
        </w:tc>
      </w:tr>
      <w:tr w:rsidR="0078261F" w:rsidRPr="00972C0E" w14:paraId="2C6D7ABB" w14:textId="77777777" w:rsidTr="00680FB8">
        <w:tc>
          <w:tcPr>
            <w:tcW w:w="709" w:type="dxa"/>
          </w:tcPr>
          <w:p w14:paraId="61951A99" w14:textId="74B95780" w:rsidR="0078261F" w:rsidRPr="00972C0E" w:rsidRDefault="0078261F" w:rsidP="0078261F">
            <w:pPr>
              <w:pStyle w:val="Betarp"/>
              <w:rPr>
                <w:rFonts w:ascii="Times New Roman" w:hAnsi="Times New Roman" w:cs="Times New Roman"/>
              </w:rPr>
            </w:pPr>
            <w:r>
              <w:rPr>
                <w:rFonts w:ascii="Times New Roman" w:hAnsi="Times New Roman" w:cs="Times New Roman"/>
              </w:rPr>
              <w:t>8</w:t>
            </w:r>
          </w:p>
        </w:tc>
        <w:tc>
          <w:tcPr>
            <w:tcW w:w="2552" w:type="dxa"/>
          </w:tcPr>
          <w:p w14:paraId="302A3F57" w14:textId="77777777" w:rsidR="0078261F" w:rsidRPr="00972C0E" w:rsidRDefault="0078261F" w:rsidP="0078261F">
            <w:pPr>
              <w:pStyle w:val="Betarp"/>
              <w:rPr>
                <w:rFonts w:ascii="Times New Roman" w:hAnsi="Times New Roman" w:cs="Times New Roman"/>
                <w:b/>
              </w:rPr>
            </w:pPr>
          </w:p>
        </w:tc>
        <w:tc>
          <w:tcPr>
            <w:tcW w:w="7654" w:type="dxa"/>
          </w:tcPr>
          <w:p w14:paraId="5FCCCBB0" w14:textId="49A7B815" w:rsidR="0078261F" w:rsidRPr="0078261F" w:rsidRDefault="0078261F" w:rsidP="0078261F">
            <w:pPr>
              <w:pStyle w:val="naispant"/>
              <w:tabs>
                <w:tab w:val="left" w:pos="709"/>
                <w:tab w:val="left" w:pos="1134"/>
              </w:tabs>
              <w:spacing w:before="0" w:after="0"/>
              <w:ind w:left="0" w:firstLine="0"/>
              <w:rPr>
                <w:b w:val="0"/>
                <w:sz w:val="22"/>
                <w:szCs w:val="22"/>
                <w:lang w:val="lt-LT"/>
              </w:rPr>
            </w:pPr>
            <w:r w:rsidRPr="0078261F">
              <w:rPr>
                <w:b w:val="0"/>
                <w:sz w:val="22"/>
                <w:szCs w:val="22"/>
              </w:rPr>
              <w:t xml:space="preserve">4. Manome, kad dekonstruojant dabartinį korupcijos prevencijos politikos įgyvendinimo strategijos modelį ir atsisakius tarpinstitucinio veiklos koordinavimo modelio (tarpinstitucinio veiklos plano), kyla antikorupcinės politikos įgyvendinimo </w:t>
            </w:r>
            <w:r w:rsidRPr="0078261F">
              <w:rPr>
                <w:b w:val="0"/>
                <w:sz w:val="22"/>
                <w:szCs w:val="22"/>
              </w:rPr>
              <w:lastRenderedPageBreak/>
              <w:t>fragmentiškumo ir tuo pačiu mažesnio veiksmingumo rizika, mažėja korupcijos prevenciją įgyvendinančių subjektų sąveikos galimybės.</w:t>
            </w:r>
          </w:p>
        </w:tc>
        <w:tc>
          <w:tcPr>
            <w:tcW w:w="4111" w:type="dxa"/>
          </w:tcPr>
          <w:p w14:paraId="4EAF0C08" w14:textId="424DE4E1" w:rsidR="0078261F" w:rsidRPr="00972C0E" w:rsidRDefault="0078261F" w:rsidP="0078261F">
            <w:pPr>
              <w:pStyle w:val="Betarp"/>
              <w:jc w:val="both"/>
              <w:rPr>
                <w:rFonts w:ascii="Times New Roman" w:hAnsi="Times New Roman" w:cs="Times New Roman"/>
                <w:b/>
              </w:rPr>
            </w:pPr>
            <w:r w:rsidRPr="00972C0E">
              <w:rPr>
                <w:rFonts w:ascii="Times New Roman" w:hAnsi="Times New Roman" w:cs="Times New Roman"/>
              </w:rPr>
              <w:lastRenderedPageBreak/>
              <w:t xml:space="preserve">Sąveiką ir veiksmingumą turi užtikrinti korupcijos prevencijos koordinatorius ir TVP yra tik administracinė, mūsų požiūriu </w:t>
            </w:r>
            <w:r w:rsidRPr="00972C0E">
              <w:rPr>
                <w:rFonts w:ascii="Times New Roman" w:hAnsi="Times New Roman" w:cs="Times New Roman"/>
              </w:rPr>
              <w:lastRenderedPageBreak/>
              <w:t xml:space="preserve">neveiksminga ir administracinę naštą sukelianti formali priemonė, kurią veiksmingiau gali pakeisti tarpinstitucinis bendradarbiavimas ir bendravimas, nuolatinė pagalba institucijoms užtikrinant antikorupcines priemones, kurios </w:t>
            </w:r>
            <w:proofErr w:type="spellStart"/>
            <w:r w:rsidRPr="00972C0E">
              <w:rPr>
                <w:rFonts w:ascii="Times New Roman" w:hAnsi="Times New Roman" w:cs="Times New Roman"/>
              </w:rPr>
              <w:t>intitucijos</w:t>
            </w:r>
            <w:proofErr w:type="spellEnd"/>
            <w:r w:rsidRPr="00972C0E">
              <w:rPr>
                <w:rFonts w:ascii="Times New Roman" w:hAnsi="Times New Roman" w:cs="Times New Roman"/>
              </w:rPr>
              <w:t xml:space="preserve"> pasigenda, o TVP to neužtikrina.</w:t>
            </w:r>
          </w:p>
        </w:tc>
      </w:tr>
      <w:tr w:rsidR="0078261F" w:rsidRPr="00972C0E" w14:paraId="327E2371" w14:textId="77777777" w:rsidTr="00680FB8">
        <w:tc>
          <w:tcPr>
            <w:tcW w:w="709" w:type="dxa"/>
          </w:tcPr>
          <w:p w14:paraId="4F7DCB8C" w14:textId="055EAE5B" w:rsidR="0078261F" w:rsidRPr="00972C0E" w:rsidRDefault="0078261F" w:rsidP="0078261F">
            <w:pPr>
              <w:pStyle w:val="Betarp"/>
              <w:rPr>
                <w:rFonts w:ascii="Times New Roman" w:hAnsi="Times New Roman" w:cs="Times New Roman"/>
              </w:rPr>
            </w:pPr>
            <w:r>
              <w:rPr>
                <w:rFonts w:ascii="Times New Roman" w:hAnsi="Times New Roman" w:cs="Times New Roman"/>
              </w:rPr>
              <w:lastRenderedPageBreak/>
              <w:t>9</w:t>
            </w:r>
          </w:p>
        </w:tc>
        <w:tc>
          <w:tcPr>
            <w:tcW w:w="2552" w:type="dxa"/>
          </w:tcPr>
          <w:p w14:paraId="27F68CCF" w14:textId="77777777" w:rsidR="0078261F" w:rsidRPr="00972C0E" w:rsidRDefault="0078261F" w:rsidP="0078261F">
            <w:pPr>
              <w:pStyle w:val="Betarp"/>
              <w:rPr>
                <w:rFonts w:ascii="Times New Roman" w:hAnsi="Times New Roman" w:cs="Times New Roman"/>
                <w:b/>
              </w:rPr>
            </w:pPr>
          </w:p>
        </w:tc>
        <w:tc>
          <w:tcPr>
            <w:tcW w:w="7654" w:type="dxa"/>
          </w:tcPr>
          <w:p w14:paraId="4152711E" w14:textId="77777777" w:rsidR="0078261F" w:rsidRPr="00972C0E" w:rsidRDefault="0078261F" w:rsidP="0078261F">
            <w:pPr>
              <w:pStyle w:val="Betarp"/>
              <w:jc w:val="both"/>
              <w:rPr>
                <w:rFonts w:ascii="Times New Roman" w:hAnsi="Times New Roman" w:cs="Times New Roman"/>
              </w:rPr>
            </w:pPr>
            <w:r w:rsidRPr="00972C0E">
              <w:rPr>
                <w:rFonts w:ascii="Times New Roman" w:hAnsi="Times New Roman" w:cs="Times New Roman"/>
              </w:rPr>
              <w:t>5. Siūlome neatsisakyti pasiteisinusio ir veikiančio antikorupcinės veiklos planavimo modelio, kurį sudaro aiškiais hierarchiniais ryšiais susiję Nacionalinio saugumo strategija, Nacionalinė kovos su korupcija programa ir Nacionalinės kovos su korupcija programos įgyvendinimo tarpinstitucinis veiklos planas.</w:t>
            </w:r>
          </w:p>
          <w:p w14:paraId="38849799" w14:textId="12CA5C86" w:rsidR="0078261F" w:rsidRPr="0078261F" w:rsidRDefault="0078261F" w:rsidP="0078261F">
            <w:pPr>
              <w:pStyle w:val="naispant"/>
              <w:tabs>
                <w:tab w:val="left" w:pos="709"/>
                <w:tab w:val="left" w:pos="1134"/>
              </w:tabs>
              <w:spacing w:before="0" w:after="0"/>
              <w:ind w:left="0" w:firstLine="0"/>
              <w:rPr>
                <w:b w:val="0"/>
                <w:sz w:val="22"/>
                <w:szCs w:val="22"/>
                <w:lang w:val="lt-LT"/>
              </w:rPr>
            </w:pPr>
            <w:r w:rsidRPr="0078261F">
              <w:rPr>
                <w:b w:val="0"/>
                <w:sz w:val="22"/>
                <w:szCs w:val="22"/>
              </w:rPr>
              <w:t>Tuo atveju, jei vis dėlto būtų nutarta atsisakyti tokios planavimo dokumentų rūšies kaip tarpinstitucinis veiklos planas, siūlytume svarstyti galimybę tvirtinti Nacionalinę darbotvarkę kartu su jos įgyvendinimo priedu tam tikram laikotarpiui. Nacionalinėje darbotvarkėje numatyti ir jos priede detalizuoti tikslai ir uždaviniai galėtų atsispindėti NPP, o Nacionalinę darbotvarkę įgyvendinančios priemonės patvirtintos priede – institucijos numatytų savo strateginiuose veiklos planuose.</w:t>
            </w:r>
          </w:p>
        </w:tc>
        <w:tc>
          <w:tcPr>
            <w:tcW w:w="4111" w:type="dxa"/>
          </w:tcPr>
          <w:p w14:paraId="51B89D7A" w14:textId="784C453C" w:rsidR="0078261F" w:rsidRPr="00972C0E" w:rsidRDefault="0078261F" w:rsidP="0078261F">
            <w:pPr>
              <w:pStyle w:val="Betarp"/>
              <w:jc w:val="both"/>
              <w:rPr>
                <w:rFonts w:ascii="Times New Roman" w:hAnsi="Times New Roman" w:cs="Times New Roman"/>
                <w:b/>
              </w:rPr>
            </w:pPr>
            <w:r w:rsidRPr="00972C0E">
              <w:rPr>
                <w:rFonts w:ascii="Times New Roman" w:hAnsi="Times New Roman" w:cs="Times New Roman"/>
              </w:rPr>
              <w:t>Manome, kad nauja forma kai Nacionalinio saugumo užtikrinimui bus rengiama Nacionalinė korupcijos prevencijos (ar kovos su korupcija) darbotvarkė nesuardys esamo antikorupcinės veiklos modelio, tik sutrumpins jį, atsisakant tarpinstitucinio veiklos plano ir įjungiant jo elementus į nacionalinę darbotvarkę, bei užtikrinant efektyvią stebėseną patobulinus Stebėsenos informacinę sistemą.</w:t>
            </w:r>
          </w:p>
        </w:tc>
      </w:tr>
      <w:tr w:rsidR="00502C36" w:rsidRPr="00972C0E" w14:paraId="5E1AE821" w14:textId="77777777" w:rsidTr="00680FB8">
        <w:tc>
          <w:tcPr>
            <w:tcW w:w="709" w:type="dxa"/>
          </w:tcPr>
          <w:p w14:paraId="2EE984C0" w14:textId="1F7D5385" w:rsidR="00502C36" w:rsidRPr="00972C0E" w:rsidRDefault="001A60EF" w:rsidP="00502C36">
            <w:pPr>
              <w:pStyle w:val="Betarp"/>
              <w:rPr>
                <w:rFonts w:ascii="Times New Roman" w:hAnsi="Times New Roman" w:cs="Times New Roman"/>
              </w:rPr>
            </w:pPr>
            <w:r>
              <w:rPr>
                <w:rFonts w:ascii="Times New Roman" w:hAnsi="Times New Roman" w:cs="Times New Roman"/>
              </w:rPr>
              <w:t>10</w:t>
            </w:r>
          </w:p>
        </w:tc>
        <w:tc>
          <w:tcPr>
            <w:tcW w:w="2552" w:type="dxa"/>
          </w:tcPr>
          <w:p w14:paraId="4F9682CE" w14:textId="172FA2DF" w:rsidR="00502C36" w:rsidRPr="00972C0E" w:rsidRDefault="00502C36" w:rsidP="00502C36">
            <w:pPr>
              <w:pStyle w:val="Betarp"/>
              <w:rPr>
                <w:rFonts w:ascii="Times New Roman" w:hAnsi="Times New Roman" w:cs="Times New Roman"/>
                <w:b/>
              </w:rPr>
            </w:pPr>
            <w:r w:rsidRPr="00972C0E">
              <w:rPr>
                <w:rFonts w:ascii="Times New Roman" w:hAnsi="Times New Roman" w:cs="Times New Roman"/>
                <w:b/>
              </w:rPr>
              <w:t>Nacionalinė teismų administracija</w:t>
            </w:r>
          </w:p>
        </w:tc>
        <w:tc>
          <w:tcPr>
            <w:tcW w:w="7654" w:type="dxa"/>
          </w:tcPr>
          <w:p w14:paraId="19880A2C" w14:textId="77777777" w:rsidR="00502C36" w:rsidRPr="001A60EF" w:rsidRDefault="00502C36" w:rsidP="00502C36">
            <w:pPr>
              <w:pStyle w:val="Betarp"/>
              <w:jc w:val="both"/>
              <w:rPr>
                <w:rFonts w:ascii="Times New Roman" w:hAnsi="Times New Roman" w:cs="Times New Roman"/>
              </w:rPr>
            </w:pPr>
            <w:r w:rsidRPr="00972C0E">
              <w:rPr>
                <w:rFonts w:ascii="Times New Roman" w:hAnsi="Times New Roman" w:cs="Times New Roman"/>
              </w:rPr>
              <w:t xml:space="preserve">Vadovaujantis Lietuvos Respublikos teismų įstatymo (toliau – Teismų įstatymas) 128 straipsnio 2 dalimi, Valstybės investicijų programoje numatytų investicijų, skirtų teismams, asignavimų valdytoja yra Administracija; Administracija rengia teismų investicijų projektus, teikia juos Teisėjų tarybai derinti ir siūlo juos įtraukti į Valstybės investicijų programą. Vadovaujantis Teismų įstatymo 124 straipsnio 2 dalies 5 punktu ir 128 straipsnio 1 dalimi, Administracija įpareigota organizuoti ir užtikrinti centralizuotą </w:t>
            </w:r>
            <w:r w:rsidRPr="001A60EF">
              <w:rPr>
                <w:rFonts w:ascii="Times New Roman" w:hAnsi="Times New Roman" w:cs="Times New Roman"/>
              </w:rPr>
              <w:t xml:space="preserve">teismų materialinį techninį aprūpinimą reikiamu ilgalaikiu turtu. Administracija, vadovaudamasi Lietuvos Respublikos nacionalinės teismų administracijos įstatymo 2 straipsnio 22 punktu, organizuoja informacinių sistemų kūrimą ir diegimą teismuose, administruoja teismų informacines sistemas ir jas tobulina. Tiek rengiami ir įgyvendinami valstybės investicijų projektai, tiek centralizuotai perkamas visai teismų sistemai turtas, tiek teismų informacinių sistemų kūrimas ir tobulinimas rodo, kad Administracija vykdo pažangos veiklas. </w:t>
            </w:r>
          </w:p>
          <w:p w14:paraId="5C24F67F" w14:textId="12FB0690" w:rsidR="00502C36" w:rsidRPr="00972C0E" w:rsidRDefault="00502C36" w:rsidP="00502C36">
            <w:pPr>
              <w:pStyle w:val="naispant"/>
              <w:tabs>
                <w:tab w:val="left" w:pos="709"/>
                <w:tab w:val="left" w:pos="1134"/>
              </w:tabs>
              <w:spacing w:before="0" w:after="0"/>
              <w:ind w:left="0" w:firstLine="0"/>
              <w:rPr>
                <w:b w:val="0"/>
                <w:sz w:val="22"/>
                <w:szCs w:val="22"/>
                <w:lang w:val="lt-LT"/>
              </w:rPr>
            </w:pPr>
            <w:r w:rsidRPr="001A60EF">
              <w:rPr>
                <w:b w:val="0"/>
                <w:sz w:val="22"/>
                <w:szCs w:val="22"/>
              </w:rPr>
              <w:t xml:space="preserve">Š. m. liepos mėn. Lietuvos Respublikos Vyriausybės kanceliarijos patalpose organizuoto susitikimo dėl SVĮ projekto metu pateikus pavyzdžių, kad teismų sistema 2018 m. įvykdė esminę reformą, kai iš 62 teismų – juridinių asmenų liko 22, buvo elektronizuota byla, įdiegtas elektroninių paslaugų portalas (e.teismas) ir pan., buvo atsakyta, kad tai būtų tęstinė veikla įgyvendinant įstatymus. Tačiau kartu su Projektais teikiamame aiškinamajame rašte yra pateiktas pavyzdys, jog „Pavyzdžiui, Strateginio valdymo sistemos sukūrimas gali būti pažangos priemonė, kurią sudaro kelios pažangos veiklos: Strateginio valdymo įstatymo parengimas, strateginio valdymo metodikos parengimas, Strateginio valdymo informacinės sistemos (toliau – SVIS) sukūrimas. Pastarajai veiklai reikalingos pažangos lėšos. Kai tik SVIS bus </w:t>
            </w:r>
            <w:r w:rsidRPr="001A60EF">
              <w:rPr>
                <w:b w:val="0"/>
                <w:sz w:val="22"/>
                <w:szCs w:val="22"/>
              </w:rPr>
              <w:lastRenderedPageBreak/>
              <w:t>sukurta, pažangos veikla bus baigta. SVIS palaikymas, neesminiai atnaujinimai, aptarnavimas ir naudojimasis ja bus tęstinė veikla“. Nesuprantama, kodėl e.teismai portalo, kuris teikia ženklią naudą visuomenei, sukūrimas būtų tęstinė veikla, o SVIS sukūrimas jau būtų pažangos veikla. Tokiu būdu sukuriami dvigubi strateginio planavimo ir valstybės lėšų valdymo standartai, priklausomai nuo to, ar institucija priklauso ar nepriklauso vykdomajai valdžiai. Bandant eliminuoti Lietuvos Respublikos Vyriausybei nepavaldžias ir neatskaitingas institucijas iš pažangos, pokyčių vykdymo, dalis IT sistemų diegimo, pastatų statybų ir rekonstrukcijos investicijų projektų taptų tęstine veikla, tačiau tuomet reikalinga taisyti SVĮ projekte numatytą projekto sąvoką.</w:t>
            </w:r>
          </w:p>
        </w:tc>
        <w:tc>
          <w:tcPr>
            <w:tcW w:w="4111" w:type="dxa"/>
          </w:tcPr>
          <w:p w14:paraId="43378E37" w14:textId="77777777" w:rsidR="00502C36" w:rsidRDefault="00502C36" w:rsidP="00502C36">
            <w:pPr>
              <w:pStyle w:val="Betarp"/>
              <w:jc w:val="both"/>
              <w:rPr>
                <w:rFonts w:ascii="Times New Roman" w:hAnsi="Times New Roman" w:cs="Times New Roman"/>
              </w:rPr>
            </w:pPr>
            <w:r w:rsidRPr="00645D06">
              <w:rPr>
                <w:rFonts w:ascii="Times New Roman" w:hAnsi="Times New Roman" w:cs="Times New Roman"/>
              </w:rPr>
              <w:lastRenderedPageBreak/>
              <w:t>2019 m. lapkričio 13 d. vykusi</w:t>
            </w:r>
            <w:r>
              <w:rPr>
                <w:rFonts w:ascii="Times New Roman" w:hAnsi="Times New Roman" w:cs="Times New Roman"/>
              </w:rPr>
              <w:t>o</w:t>
            </w:r>
            <w:r w:rsidRPr="00645D06">
              <w:rPr>
                <w:rFonts w:ascii="Times New Roman" w:hAnsi="Times New Roman" w:cs="Times New Roman"/>
              </w:rPr>
              <w:t xml:space="preserve"> tarpinstitucini</w:t>
            </w:r>
            <w:r>
              <w:rPr>
                <w:rFonts w:ascii="Times New Roman" w:hAnsi="Times New Roman" w:cs="Times New Roman"/>
              </w:rPr>
              <w:t>o</w:t>
            </w:r>
            <w:r w:rsidRPr="00645D06">
              <w:rPr>
                <w:rFonts w:ascii="Times New Roman" w:hAnsi="Times New Roman" w:cs="Times New Roman"/>
              </w:rPr>
              <w:t xml:space="preserve"> pasitarim</w:t>
            </w:r>
            <w:r>
              <w:rPr>
                <w:rFonts w:ascii="Times New Roman" w:hAnsi="Times New Roman" w:cs="Times New Roman"/>
              </w:rPr>
              <w:t>o</w:t>
            </w:r>
            <w:r w:rsidRPr="00645D06">
              <w:rPr>
                <w:rFonts w:ascii="Times New Roman" w:hAnsi="Times New Roman" w:cs="Times New Roman"/>
              </w:rPr>
              <w:t xml:space="preserve"> metu SVĮ projekto pastaboms aptarti metu buvo pateiktas paaiškinimas ir sutarta</w:t>
            </w:r>
            <w:r>
              <w:rPr>
                <w:rFonts w:ascii="Times New Roman" w:hAnsi="Times New Roman" w:cs="Times New Roman"/>
              </w:rPr>
              <w:t>:</w:t>
            </w:r>
          </w:p>
          <w:p w14:paraId="4557ADE5" w14:textId="77777777" w:rsidR="00502C36" w:rsidRDefault="00502C36" w:rsidP="00502C36">
            <w:pPr>
              <w:pStyle w:val="Betarp"/>
              <w:tabs>
                <w:tab w:val="left" w:pos="465"/>
              </w:tabs>
              <w:jc w:val="both"/>
              <w:rPr>
                <w:rFonts w:ascii="Times New Roman" w:hAnsi="Times New Roman" w:cs="Times New Roman"/>
              </w:rPr>
            </w:pPr>
            <w:r w:rsidRPr="00645D06">
              <w:rPr>
                <w:rFonts w:ascii="Times New Roman" w:hAnsi="Times New Roman" w:cs="Times New Roman"/>
              </w:rPr>
              <w:t xml:space="preserve"> </w:t>
            </w:r>
            <w:r w:rsidRPr="00972C0E">
              <w:rPr>
                <w:rFonts w:ascii="Times New Roman" w:hAnsi="Times New Roman" w:cs="Times New Roman"/>
              </w:rPr>
              <w:t xml:space="preserve">1. </w:t>
            </w:r>
            <w:r>
              <w:rPr>
                <w:rFonts w:ascii="Times New Roman" w:hAnsi="Times New Roman" w:cs="Times New Roman"/>
              </w:rPr>
              <w:t xml:space="preserve">Lietuvos Respublikos Vyriausybei nepavaldžios ir neatskaitingos institucijos </w:t>
            </w:r>
            <w:r w:rsidRPr="00972C0E">
              <w:rPr>
                <w:rFonts w:ascii="Times New Roman" w:hAnsi="Times New Roman" w:cs="Times New Roman"/>
              </w:rPr>
              <w:t>gali dalyvauti</w:t>
            </w:r>
            <w:r>
              <w:rPr>
                <w:rFonts w:ascii="Times New Roman" w:hAnsi="Times New Roman" w:cs="Times New Roman"/>
              </w:rPr>
              <w:t xml:space="preserve"> vykdant pažangos veiklas</w:t>
            </w:r>
            <w:r w:rsidRPr="00972C0E">
              <w:rPr>
                <w:rFonts w:ascii="Times New Roman" w:hAnsi="Times New Roman" w:cs="Times New Roman"/>
              </w:rPr>
              <w:t>, taip yra nustatyta ir įstatymo projekte ir aiškinamajame rašte, kuo ir reikėtų remtis</w:t>
            </w:r>
            <w:r>
              <w:rPr>
                <w:rFonts w:ascii="Times New Roman" w:hAnsi="Times New Roman" w:cs="Times New Roman"/>
              </w:rPr>
              <w:t>.</w:t>
            </w:r>
          </w:p>
          <w:p w14:paraId="4FB702D5" w14:textId="77777777" w:rsidR="00502C36" w:rsidRPr="00972C0E" w:rsidRDefault="00502C36" w:rsidP="00502C36">
            <w:pPr>
              <w:pStyle w:val="Betarp"/>
              <w:jc w:val="both"/>
              <w:rPr>
                <w:rFonts w:ascii="Times New Roman" w:hAnsi="Times New Roman" w:cs="Times New Roman"/>
              </w:rPr>
            </w:pPr>
            <w:r>
              <w:rPr>
                <w:rFonts w:ascii="Times New Roman" w:hAnsi="Times New Roman" w:cs="Times New Roman"/>
                <w:lang w:val="en-GB"/>
              </w:rPr>
              <w:t xml:space="preserve">2. </w:t>
            </w:r>
            <w:r w:rsidRPr="00972C0E">
              <w:rPr>
                <w:rFonts w:ascii="Times New Roman" w:hAnsi="Times New Roman" w:cs="Times New Roman"/>
              </w:rPr>
              <w:t xml:space="preserve">Konstatuota, kad su Teismų administracija yra nederinama NPP. Teismų administracijos dalyvavimas </w:t>
            </w:r>
            <w:r>
              <w:rPr>
                <w:rFonts w:ascii="Times New Roman" w:hAnsi="Times New Roman" w:cs="Times New Roman"/>
              </w:rPr>
              <w:t xml:space="preserve">ateityje panašiuose procesuose </w:t>
            </w:r>
            <w:r w:rsidRPr="00972C0E">
              <w:rPr>
                <w:rFonts w:ascii="Times New Roman" w:hAnsi="Times New Roman" w:cs="Times New Roman"/>
              </w:rPr>
              <w:t>sutartas</w:t>
            </w:r>
            <w:r>
              <w:rPr>
                <w:rFonts w:ascii="Times New Roman" w:hAnsi="Times New Roman" w:cs="Times New Roman"/>
              </w:rPr>
              <w:t>, koreguotas SVĮ projektas</w:t>
            </w:r>
            <w:r w:rsidRPr="00972C0E">
              <w:rPr>
                <w:rFonts w:ascii="Times New Roman" w:hAnsi="Times New Roman" w:cs="Times New Roman"/>
              </w:rPr>
              <w:t>.</w:t>
            </w:r>
          </w:p>
          <w:p w14:paraId="3AF47AA6" w14:textId="77777777" w:rsidR="00502C36" w:rsidRPr="00972C0E" w:rsidRDefault="00502C36" w:rsidP="00502C36">
            <w:pPr>
              <w:pStyle w:val="Betarp"/>
              <w:jc w:val="both"/>
              <w:rPr>
                <w:rFonts w:ascii="Times New Roman" w:hAnsi="Times New Roman" w:cs="Times New Roman"/>
              </w:rPr>
            </w:pPr>
            <w:r>
              <w:rPr>
                <w:rFonts w:ascii="Times New Roman" w:hAnsi="Times New Roman" w:cs="Times New Roman"/>
              </w:rPr>
              <w:t xml:space="preserve">3. </w:t>
            </w:r>
            <w:r w:rsidRPr="00972C0E">
              <w:rPr>
                <w:rFonts w:ascii="Times New Roman" w:hAnsi="Times New Roman" w:cs="Times New Roman"/>
              </w:rPr>
              <w:t>Projekto sąvok</w:t>
            </w:r>
            <w:r>
              <w:rPr>
                <w:rFonts w:ascii="Times New Roman" w:hAnsi="Times New Roman" w:cs="Times New Roman"/>
              </w:rPr>
              <w:t>a</w:t>
            </w:r>
            <w:r w:rsidRPr="00972C0E">
              <w:rPr>
                <w:rFonts w:ascii="Times New Roman" w:hAnsi="Times New Roman" w:cs="Times New Roman"/>
              </w:rPr>
              <w:t xml:space="preserve"> paaiškinama aiškinamajame rašte.</w:t>
            </w:r>
          </w:p>
          <w:p w14:paraId="111141ED" w14:textId="77777777" w:rsidR="00502C36" w:rsidRPr="00972C0E" w:rsidRDefault="00502C36" w:rsidP="00502C36">
            <w:pPr>
              <w:pStyle w:val="Betarp"/>
              <w:jc w:val="both"/>
              <w:rPr>
                <w:rFonts w:ascii="Times New Roman" w:hAnsi="Times New Roman" w:cs="Times New Roman"/>
                <w:b/>
              </w:rPr>
            </w:pPr>
          </w:p>
        </w:tc>
      </w:tr>
      <w:tr w:rsidR="00502C36" w:rsidRPr="00972C0E" w14:paraId="1A931B38" w14:textId="77777777" w:rsidTr="00680FB8">
        <w:tc>
          <w:tcPr>
            <w:tcW w:w="709" w:type="dxa"/>
          </w:tcPr>
          <w:p w14:paraId="5EC5AB87" w14:textId="7D25B8BA" w:rsidR="00502C36" w:rsidRPr="00972C0E" w:rsidRDefault="00CF2197" w:rsidP="00502C36">
            <w:pPr>
              <w:pStyle w:val="Betarp"/>
              <w:rPr>
                <w:rFonts w:ascii="Times New Roman" w:hAnsi="Times New Roman" w:cs="Times New Roman"/>
              </w:rPr>
            </w:pPr>
            <w:r>
              <w:rPr>
                <w:rFonts w:ascii="Times New Roman" w:hAnsi="Times New Roman" w:cs="Times New Roman"/>
              </w:rPr>
              <w:t>11</w:t>
            </w:r>
          </w:p>
        </w:tc>
        <w:tc>
          <w:tcPr>
            <w:tcW w:w="2552" w:type="dxa"/>
          </w:tcPr>
          <w:p w14:paraId="60524437" w14:textId="11D5533F" w:rsidR="00502C36" w:rsidRPr="00972C0E" w:rsidRDefault="00502C36" w:rsidP="00502C36">
            <w:pPr>
              <w:pStyle w:val="Betarp"/>
              <w:rPr>
                <w:rFonts w:ascii="Times New Roman" w:hAnsi="Times New Roman" w:cs="Times New Roman"/>
                <w:b/>
              </w:rPr>
            </w:pPr>
            <w:r w:rsidRPr="00972C0E">
              <w:rPr>
                <w:rFonts w:ascii="Times New Roman" w:hAnsi="Times New Roman" w:cs="Times New Roman"/>
                <w:b/>
              </w:rPr>
              <w:t>VšĮ Lietuvos verslo paramos agentūra</w:t>
            </w:r>
          </w:p>
        </w:tc>
        <w:tc>
          <w:tcPr>
            <w:tcW w:w="7654" w:type="dxa"/>
          </w:tcPr>
          <w:p w14:paraId="478816DE" w14:textId="46568EFF" w:rsidR="00502C36" w:rsidRPr="00972C0E" w:rsidRDefault="00502C36" w:rsidP="00502C36">
            <w:pPr>
              <w:pStyle w:val="naispant"/>
              <w:tabs>
                <w:tab w:val="left" w:pos="709"/>
                <w:tab w:val="left" w:pos="1134"/>
              </w:tabs>
              <w:spacing w:before="0" w:after="0"/>
              <w:ind w:left="0" w:firstLine="0"/>
              <w:rPr>
                <w:sz w:val="22"/>
                <w:szCs w:val="22"/>
                <w:lang w:val="lt-LT"/>
              </w:rPr>
            </w:pPr>
            <w:r w:rsidRPr="00972C0E">
              <w:rPr>
                <w:b w:val="0"/>
                <w:sz w:val="22"/>
                <w:szCs w:val="22"/>
                <w:lang w:val="lt-LT"/>
              </w:rPr>
              <w:t>Siūlome papildyti sąvok</w:t>
            </w:r>
            <w:r>
              <w:rPr>
                <w:b w:val="0"/>
                <w:sz w:val="22"/>
                <w:szCs w:val="22"/>
                <w:lang w:val="lt-LT"/>
              </w:rPr>
              <w:t>as</w:t>
            </w:r>
            <w:r w:rsidRPr="00972C0E">
              <w:rPr>
                <w:b w:val="0"/>
                <w:sz w:val="22"/>
                <w:szCs w:val="22"/>
                <w:lang w:val="lt-LT"/>
              </w:rPr>
              <w:t>:</w:t>
            </w:r>
            <w:r w:rsidRPr="00972C0E">
              <w:rPr>
                <w:sz w:val="22"/>
                <w:szCs w:val="22"/>
                <w:lang w:val="lt-LT"/>
              </w:rPr>
              <w:t xml:space="preserve"> </w:t>
            </w:r>
          </w:p>
          <w:p w14:paraId="44DE2CF6" w14:textId="4BD017B1" w:rsidR="00502C36" w:rsidRPr="00972C0E" w:rsidRDefault="00502C36" w:rsidP="00502C36">
            <w:pPr>
              <w:pStyle w:val="naispant"/>
              <w:tabs>
                <w:tab w:val="left" w:pos="709"/>
                <w:tab w:val="left" w:pos="1134"/>
              </w:tabs>
              <w:spacing w:before="0" w:after="0"/>
              <w:ind w:left="0" w:firstLine="0"/>
              <w:rPr>
                <w:sz w:val="22"/>
                <w:szCs w:val="22"/>
                <w:lang w:val="lt-LT"/>
              </w:rPr>
            </w:pPr>
            <w:r w:rsidRPr="00972C0E">
              <w:rPr>
                <w:sz w:val="22"/>
                <w:szCs w:val="22"/>
                <w:lang w:val="lt-LT"/>
              </w:rPr>
              <w:t xml:space="preserve">„Pažangos veikla </w:t>
            </w:r>
            <w:r w:rsidRPr="00972C0E">
              <w:rPr>
                <w:b w:val="0"/>
                <w:sz w:val="22"/>
                <w:szCs w:val="22"/>
                <w:lang w:val="lt-LT"/>
              </w:rPr>
              <w:t>– trumpalaikė veikla, skirta sukurti naujam produktui</w:t>
            </w:r>
            <w:r w:rsidRPr="00972C0E">
              <w:rPr>
                <w:b w:val="0"/>
                <w:sz w:val="22"/>
                <w:szCs w:val="22"/>
                <w:u w:val="single"/>
                <w:lang w:val="lt-LT"/>
              </w:rPr>
              <w:t>, paslaugai ar rezultatui ir</w:t>
            </w:r>
            <w:r w:rsidRPr="00972C0E">
              <w:rPr>
                <w:b w:val="0"/>
                <w:sz w:val="22"/>
                <w:szCs w:val="22"/>
                <w:lang w:val="lt-LT"/>
              </w:rPr>
              <w:t xml:space="preserve"> geresnėms sąlygoms tęstinei veiklai vykdyti“. Siūlome papildyti sąvoką:</w:t>
            </w:r>
          </w:p>
          <w:p w14:paraId="3C61C5D8" w14:textId="77777777" w:rsidR="00502C36" w:rsidRDefault="00502C36" w:rsidP="00502C36">
            <w:pPr>
              <w:pStyle w:val="naispant"/>
              <w:tabs>
                <w:tab w:val="left" w:pos="709"/>
                <w:tab w:val="left" w:pos="1134"/>
              </w:tabs>
              <w:spacing w:before="0" w:after="0"/>
              <w:ind w:left="0" w:firstLine="0"/>
              <w:rPr>
                <w:b w:val="0"/>
                <w:sz w:val="22"/>
                <w:szCs w:val="22"/>
              </w:rPr>
            </w:pPr>
            <w:r w:rsidRPr="00972C0E">
              <w:rPr>
                <w:sz w:val="22"/>
                <w:szCs w:val="22"/>
              </w:rPr>
              <w:t xml:space="preserve">„Produkto rodiklis – </w:t>
            </w:r>
            <w:r w:rsidRPr="00335252">
              <w:rPr>
                <w:b w:val="0"/>
                <w:sz w:val="22"/>
                <w:szCs w:val="22"/>
              </w:rPr>
              <w:t>kiekybiškai išreikštas dydis, kuriuo matuojami vykdant pažangos ar tęstinės veiklos priemonę ir (arba) projektą sukurti produktai</w:t>
            </w:r>
            <w:r w:rsidRPr="00335252">
              <w:rPr>
                <w:b w:val="0"/>
                <w:sz w:val="22"/>
                <w:szCs w:val="22"/>
                <w:u w:val="single"/>
              </w:rPr>
              <w:t>, paslaugos ar rezultatas</w:t>
            </w:r>
            <w:r w:rsidRPr="00335252">
              <w:rPr>
                <w:b w:val="0"/>
                <w:sz w:val="22"/>
                <w:szCs w:val="22"/>
              </w:rPr>
              <w:t xml:space="preserve"> (jų kiekis, apimtis ir pan.)“.</w:t>
            </w:r>
          </w:p>
          <w:p w14:paraId="370219A2" w14:textId="77777777" w:rsidR="00502C36" w:rsidRPr="00972C0E" w:rsidRDefault="00502C36" w:rsidP="00502C36">
            <w:pPr>
              <w:pStyle w:val="naispant"/>
              <w:tabs>
                <w:tab w:val="left" w:pos="709"/>
                <w:tab w:val="left" w:pos="1134"/>
              </w:tabs>
              <w:spacing w:before="0" w:after="0"/>
              <w:ind w:left="0" w:firstLine="0"/>
              <w:rPr>
                <w:b w:val="0"/>
                <w:sz w:val="22"/>
                <w:szCs w:val="22"/>
                <w:lang w:val="lt-LT"/>
              </w:rPr>
            </w:pPr>
            <w:r w:rsidRPr="00972C0E">
              <w:rPr>
                <w:sz w:val="22"/>
                <w:szCs w:val="22"/>
                <w:lang w:val="lt-LT"/>
              </w:rPr>
              <w:t xml:space="preserve">„Projektas </w:t>
            </w:r>
            <w:r w:rsidRPr="00972C0E">
              <w:rPr>
                <w:b w:val="0"/>
                <w:sz w:val="22"/>
                <w:szCs w:val="22"/>
                <w:lang w:val="lt-LT"/>
              </w:rPr>
              <w:t>–</w:t>
            </w:r>
            <w:r w:rsidRPr="00972C0E">
              <w:rPr>
                <w:sz w:val="22"/>
                <w:szCs w:val="22"/>
                <w:lang w:val="lt-LT"/>
              </w:rPr>
              <w:t xml:space="preserve"> </w:t>
            </w:r>
            <w:r w:rsidRPr="00972C0E">
              <w:rPr>
                <w:b w:val="0"/>
                <w:sz w:val="22"/>
                <w:szCs w:val="22"/>
                <w:lang w:val="lt-LT"/>
              </w:rPr>
              <w:t>laikina, aiškią pradžią ir pabaigą bei ribotus išteklius turinti veikla, skirta naujam produktui</w:t>
            </w:r>
            <w:r w:rsidRPr="00972C0E">
              <w:rPr>
                <w:b w:val="0"/>
                <w:sz w:val="22"/>
                <w:szCs w:val="22"/>
                <w:u w:val="single"/>
                <w:lang w:val="lt-LT"/>
              </w:rPr>
              <w:t>, paslaugai ar rezultatui</w:t>
            </w:r>
            <w:r w:rsidRPr="00972C0E">
              <w:rPr>
                <w:b w:val="0"/>
                <w:sz w:val="22"/>
                <w:szCs w:val="22"/>
                <w:lang w:val="lt-LT"/>
              </w:rPr>
              <w:t xml:space="preserve"> sukurti, siekiant įgyvendinti strateginį tikslą ir pažangos uždavinį“. </w:t>
            </w:r>
          </w:p>
          <w:p w14:paraId="4F0FDA94" w14:textId="0FBE8F55" w:rsidR="00502C36" w:rsidRPr="00972C0E" w:rsidRDefault="00502C36" w:rsidP="00502C36">
            <w:pPr>
              <w:pStyle w:val="naispant"/>
              <w:tabs>
                <w:tab w:val="left" w:pos="709"/>
                <w:tab w:val="left" w:pos="1134"/>
              </w:tabs>
              <w:spacing w:before="0" w:after="0"/>
              <w:ind w:left="0" w:firstLine="0"/>
              <w:rPr>
                <w:b w:val="0"/>
                <w:sz w:val="22"/>
                <w:szCs w:val="22"/>
                <w:lang w:val="lt-LT"/>
              </w:rPr>
            </w:pPr>
            <w:r w:rsidRPr="00972C0E">
              <w:rPr>
                <w:sz w:val="22"/>
                <w:szCs w:val="22"/>
                <w:lang w:val="lt-LT"/>
              </w:rPr>
              <w:t xml:space="preserve">„Rezultato rodiklis </w:t>
            </w:r>
            <w:r w:rsidRPr="00972C0E">
              <w:rPr>
                <w:b w:val="0"/>
                <w:sz w:val="22"/>
                <w:szCs w:val="22"/>
                <w:lang w:val="lt-LT"/>
              </w:rPr>
              <w:t>–</w:t>
            </w:r>
            <w:r w:rsidRPr="00972C0E">
              <w:rPr>
                <w:sz w:val="22"/>
                <w:szCs w:val="22"/>
                <w:lang w:val="lt-LT"/>
              </w:rPr>
              <w:t xml:space="preserve"> </w:t>
            </w:r>
            <w:r w:rsidRPr="00972C0E">
              <w:rPr>
                <w:b w:val="0"/>
                <w:sz w:val="22"/>
                <w:szCs w:val="22"/>
                <w:lang w:val="lt-LT"/>
              </w:rPr>
              <w:t>kiekybiškai išreikštas dydis, kuriuo matuojama įgyvendinant pažangos ar tęstinės veiklos priemones ar projektus sukurtų produktų</w:t>
            </w:r>
            <w:r w:rsidRPr="00972C0E">
              <w:rPr>
                <w:b w:val="0"/>
                <w:sz w:val="22"/>
                <w:szCs w:val="22"/>
                <w:u w:val="single"/>
                <w:lang w:val="lt-LT"/>
              </w:rPr>
              <w:t>, paslaugų ar rezultatų</w:t>
            </w:r>
            <w:r w:rsidRPr="00972C0E">
              <w:rPr>
                <w:b w:val="0"/>
                <w:sz w:val="22"/>
                <w:szCs w:val="22"/>
                <w:lang w:val="lt-LT"/>
              </w:rPr>
              <w:t xml:space="preserve"> nauda tikslinei grupei, institucijai, sektoriaus ar teritorijos plėtrai ir pan., panaudojimo mastas ir (arba) kokybės pagerėjimas“. </w:t>
            </w:r>
          </w:p>
        </w:tc>
        <w:tc>
          <w:tcPr>
            <w:tcW w:w="4111" w:type="dxa"/>
          </w:tcPr>
          <w:p w14:paraId="2E414F7C" w14:textId="53289D94" w:rsidR="00502C36" w:rsidRPr="00972C0E" w:rsidRDefault="00502C36" w:rsidP="00502C36">
            <w:pPr>
              <w:pStyle w:val="Betarp"/>
              <w:jc w:val="both"/>
              <w:rPr>
                <w:rFonts w:ascii="Times New Roman" w:hAnsi="Times New Roman" w:cs="Times New Roman"/>
              </w:rPr>
            </w:pPr>
            <w:r w:rsidRPr="00972C0E">
              <w:rPr>
                <w:rFonts w:ascii="Times New Roman" w:hAnsi="Times New Roman" w:cs="Times New Roman"/>
                <w:b/>
              </w:rPr>
              <w:t>Neatsižvelgta.</w:t>
            </w:r>
            <w:r w:rsidRPr="00972C0E">
              <w:rPr>
                <w:rFonts w:ascii="Times New Roman" w:hAnsi="Times New Roman" w:cs="Times New Roman"/>
              </w:rPr>
              <w:t xml:space="preserve"> Pirminiame teisės akto projekte buvo taip praplėsta viena iš sąvokų. Žodžių „paslaugai ar rezultatui“ buvo atsisakyta po sąvokų derinimo Nacionalinėje kalbos komisijoje, nes žodis „produktas“ reiškia ir paslaugą ir bet kokį kitą rezultatą, gaunamą vykdant pažangos veiklą.</w:t>
            </w:r>
          </w:p>
        </w:tc>
      </w:tr>
      <w:tr w:rsidR="00502C36" w:rsidRPr="00972C0E" w14:paraId="4D7E3D89" w14:textId="77777777" w:rsidTr="00680FB8">
        <w:tc>
          <w:tcPr>
            <w:tcW w:w="709" w:type="dxa"/>
          </w:tcPr>
          <w:p w14:paraId="06A636BB" w14:textId="6C7C254B" w:rsidR="00502C36" w:rsidRPr="00972C0E" w:rsidRDefault="00CF2197" w:rsidP="00502C36">
            <w:pPr>
              <w:pStyle w:val="Betarp"/>
              <w:rPr>
                <w:rFonts w:ascii="Times New Roman" w:hAnsi="Times New Roman" w:cs="Times New Roman"/>
              </w:rPr>
            </w:pPr>
            <w:r>
              <w:rPr>
                <w:rFonts w:ascii="Times New Roman" w:hAnsi="Times New Roman" w:cs="Times New Roman"/>
              </w:rPr>
              <w:t>12</w:t>
            </w:r>
          </w:p>
        </w:tc>
        <w:tc>
          <w:tcPr>
            <w:tcW w:w="2552" w:type="dxa"/>
          </w:tcPr>
          <w:p w14:paraId="318E5F21" w14:textId="77777777" w:rsidR="00502C36" w:rsidRPr="00972C0E" w:rsidRDefault="00502C36" w:rsidP="00502C36">
            <w:pPr>
              <w:pStyle w:val="Betarp"/>
              <w:rPr>
                <w:rFonts w:ascii="Times New Roman" w:hAnsi="Times New Roman" w:cs="Times New Roman"/>
                <w:b/>
              </w:rPr>
            </w:pPr>
          </w:p>
        </w:tc>
        <w:tc>
          <w:tcPr>
            <w:tcW w:w="7654" w:type="dxa"/>
          </w:tcPr>
          <w:p w14:paraId="626296F0" w14:textId="77777777" w:rsidR="00502C36" w:rsidRPr="00972C0E" w:rsidRDefault="00502C36" w:rsidP="00502C36">
            <w:pPr>
              <w:pStyle w:val="naispant"/>
              <w:tabs>
                <w:tab w:val="left" w:pos="709"/>
                <w:tab w:val="left" w:pos="1134"/>
              </w:tabs>
              <w:spacing w:before="0" w:after="0"/>
              <w:ind w:left="0" w:firstLine="0"/>
              <w:rPr>
                <w:sz w:val="22"/>
                <w:szCs w:val="22"/>
                <w:lang w:val="lt-LT"/>
              </w:rPr>
            </w:pPr>
            <w:r w:rsidRPr="00972C0E">
              <w:rPr>
                <w:b w:val="0"/>
                <w:sz w:val="22"/>
                <w:szCs w:val="22"/>
                <w:lang w:val="lt-LT"/>
              </w:rPr>
              <w:t>Siūlome papildyti sąvoką:</w:t>
            </w:r>
            <w:r w:rsidRPr="00972C0E">
              <w:rPr>
                <w:sz w:val="22"/>
                <w:szCs w:val="22"/>
                <w:lang w:val="lt-LT"/>
              </w:rPr>
              <w:t xml:space="preserve"> </w:t>
            </w:r>
          </w:p>
          <w:p w14:paraId="7B456726" w14:textId="77777777" w:rsidR="00502C36" w:rsidRPr="00972C0E" w:rsidRDefault="00502C36" w:rsidP="00502C36">
            <w:pPr>
              <w:pStyle w:val="naispant"/>
              <w:tabs>
                <w:tab w:val="left" w:pos="709"/>
                <w:tab w:val="left" w:pos="1134"/>
              </w:tabs>
              <w:spacing w:before="0" w:after="0"/>
              <w:ind w:left="0" w:firstLine="0"/>
              <w:rPr>
                <w:b w:val="0"/>
                <w:strike/>
                <w:sz w:val="22"/>
                <w:szCs w:val="22"/>
                <w:u w:val="single"/>
                <w:lang w:val="lt-LT"/>
              </w:rPr>
            </w:pPr>
            <w:r w:rsidRPr="00972C0E">
              <w:rPr>
                <w:sz w:val="22"/>
                <w:szCs w:val="22"/>
                <w:lang w:val="lt-LT"/>
              </w:rPr>
              <w:t xml:space="preserve">„Pažangos priemonė </w:t>
            </w:r>
            <w:r w:rsidRPr="00972C0E">
              <w:rPr>
                <w:b w:val="0"/>
                <w:sz w:val="22"/>
                <w:szCs w:val="22"/>
                <w:lang w:val="lt-LT"/>
              </w:rPr>
              <w:t>–</w:t>
            </w:r>
            <w:r w:rsidRPr="00972C0E">
              <w:rPr>
                <w:sz w:val="22"/>
                <w:szCs w:val="22"/>
                <w:lang w:val="lt-LT"/>
              </w:rPr>
              <w:t xml:space="preserve"> </w:t>
            </w:r>
            <w:r w:rsidRPr="00972C0E">
              <w:rPr>
                <w:b w:val="0"/>
                <w:sz w:val="22"/>
                <w:szCs w:val="22"/>
                <w:lang w:val="lt-LT"/>
              </w:rPr>
              <w:t xml:space="preserve">kryptingas valstybės veiksmų, nustatant tam tikro strateginio tikslo ir pažangos uždavinio </w:t>
            </w:r>
            <w:r w:rsidRPr="00972C0E">
              <w:rPr>
                <w:b w:val="0"/>
                <w:sz w:val="22"/>
                <w:szCs w:val="22"/>
                <w:u w:val="single"/>
                <w:lang w:val="lt-LT"/>
              </w:rPr>
              <w:t>bei pažangos veiklos</w:t>
            </w:r>
            <w:r w:rsidRPr="00972C0E">
              <w:rPr>
                <w:b w:val="0"/>
                <w:sz w:val="22"/>
                <w:szCs w:val="22"/>
                <w:lang w:val="lt-LT"/>
              </w:rPr>
              <w:t xml:space="preserve"> įgyvendinimo būdą, rinkinys</w:t>
            </w:r>
            <w:r w:rsidRPr="00972C0E">
              <w:rPr>
                <w:b w:val="0"/>
                <w:sz w:val="22"/>
                <w:szCs w:val="22"/>
                <w:u w:val="single"/>
                <w:lang w:val="lt-LT"/>
              </w:rPr>
              <w:t>, skirtas užtikrinti teigiamą darnios plėtros principų poveikį dabarties ir ateities visuomenės poreikiams“.</w:t>
            </w:r>
          </w:p>
          <w:p w14:paraId="30932793" w14:textId="77777777" w:rsidR="00502C36" w:rsidRPr="00972C0E" w:rsidRDefault="00502C36" w:rsidP="00502C36">
            <w:pPr>
              <w:pStyle w:val="naispant"/>
              <w:tabs>
                <w:tab w:val="left" w:pos="709"/>
                <w:tab w:val="left" w:pos="1134"/>
              </w:tabs>
              <w:spacing w:before="0" w:after="0"/>
              <w:ind w:left="0" w:firstLine="0"/>
              <w:rPr>
                <w:b w:val="0"/>
                <w:sz w:val="22"/>
                <w:szCs w:val="22"/>
                <w:lang w:val="lt-LT"/>
              </w:rPr>
            </w:pPr>
            <w:r w:rsidRPr="00972C0E">
              <w:rPr>
                <w:b w:val="0"/>
                <w:sz w:val="22"/>
                <w:szCs w:val="22"/>
                <w:lang w:val="lt-LT"/>
              </w:rPr>
              <w:t>arba</w:t>
            </w:r>
          </w:p>
          <w:p w14:paraId="3DE43B7F" w14:textId="1861F52B" w:rsidR="00502C36" w:rsidRPr="00972C0E" w:rsidRDefault="00502C36" w:rsidP="00502C36">
            <w:pPr>
              <w:pStyle w:val="Betarp"/>
              <w:jc w:val="both"/>
              <w:rPr>
                <w:rFonts w:ascii="Times New Roman" w:hAnsi="Times New Roman" w:cs="Times New Roman"/>
                <w:lang w:val="en-GB"/>
              </w:rPr>
            </w:pPr>
            <w:r w:rsidRPr="00972C0E">
              <w:rPr>
                <w:rFonts w:ascii="Times New Roman" w:hAnsi="Times New Roman" w:cs="Times New Roman"/>
              </w:rPr>
              <w:t xml:space="preserve">„Pažangos priemonė – kryptingas valstybės veiksmų, nustatant tam tikro strateginio tikslo ir pažangos uždavinio </w:t>
            </w:r>
            <w:r w:rsidRPr="00972C0E">
              <w:rPr>
                <w:rFonts w:ascii="Times New Roman" w:hAnsi="Times New Roman" w:cs="Times New Roman"/>
                <w:u w:val="single"/>
              </w:rPr>
              <w:t>bei pažangos veiklos</w:t>
            </w:r>
            <w:r w:rsidRPr="00972C0E">
              <w:rPr>
                <w:rFonts w:ascii="Times New Roman" w:hAnsi="Times New Roman" w:cs="Times New Roman"/>
              </w:rPr>
              <w:t xml:space="preserve"> įgyvendinimo būdą, rinkinys</w:t>
            </w:r>
            <w:r w:rsidRPr="00972C0E">
              <w:rPr>
                <w:rFonts w:ascii="Times New Roman" w:hAnsi="Times New Roman" w:cs="Times New Roman"/>
                <w:u w:val="single"/>
              </w:rPr>
              <w:t>, skirtas užtikrinti teigiamą strateginio valdymo sistemos principų poveikį dabarties ir ateities visuomenės poreikių įgyvendinimui“.</w:t>
            </w:r>
          </w:p>
        </w:tc>
        <w:tc>
          <w:tcPr>
            <w:tcW w:w="4111" w:type="dxa"/>
          </w:tcPr>
          <w:p w14:paraId="07D3FE82" w14:textId="77777777" w:rsidR="00502C36" w:rsidRPr="00972C0E" w:rsidRDefault="00502C36" w:rsidP="00502C36">
            <w:pPr>
              <w:pStyle w:val="Betarp"/>
              <w:jc w:val="both"/>
              <w:rPr>
                <w:rFonts w:ascii="Times New Roman" w:hAnsi="Times New Roman" w:cs="Times New Roman"/>
              </w:rPr>
            </w:pPr>
            <w:r w:rsidRPr="00972C0E">
              <w:rPr>
                <w:rFonts w:ascii="Times New Roman" w:hAnsi="Times New Roman" w:cs="Times New Roman"/>
                <w:b/>
              </w:rPr>
              <w:t>Neatsižvelgta.</w:t>
            </w:r>
            <w:r w:rsidRPr="00972C0E">
              <w:rPr>
                <w:rFonts w:ascii="Times New Roman" w:hAnsi="Times New Roman" w:cs="Times New Roman"/>
              </w:rPr>
              <w:t xml:space="preserve"> Siūlomas papildymas tinka ir tęstinės veiklos apibrėžimui tad įneša daugiau painiavos nei atskyrimo tarp šių veiklų.</w:t>
            </w:r>
          </w:p>
          <w:p w14:paraId="77CB4E0D" w14:textId="097845A6" w:rsidR="00502C36" w:rsidRPr="00972C0E" w:rsidRDefault="00502C36" w:rsidP="00502C36">
            <w:pPr>
              <w:pStyle w:val="Betarp"/>
              <w:jc w:val="both"/>
              <w:rPr>
                <w:rFonts w:ascii="Times New Roman" w:hAnsi="Times New Roman" w:cs="Times New Roman"/>
              </w:rPr>
            </w:pPr>
            <w:r w:rsidRPr="00972C0E">
              <w:rPr>
                <w:rFonts w:ascii="Times New Roman" w:hAnsi="Times New Roman" w:cs="Times New Roman"/>
              </w:rPr>
              <w:t>Pažangos priemonė irgi yra pažangos veikla, todėl papildymas netinkamas.</w:t>
            </w:r>
          </w:p>
        </w:tc>
      </w:tr>
      <w:tr w:rsidR="00502C36" w:rsidRPr="00972C0E" w14:paraId="5E311518" w14:textId="77777777" w:rsidTr="00680FB8">
        <w:tc>
          <w:tcPr>
            <w:tcW w:w="709" w:type="dxa"/>
            <w:shd w:val="clear" w:color="auto" w:fill="C5E0B3" w:themeFill="accent6" w:themeFillTint="66"/>
          </w:tcPr>
          <w:p w14:paraId="4351D5F3" w14:textId="77777777" w:rsidR="00502C36" w:rsidRPr="00972C0E" w:rsidRDefault="00502C36" w:rsidP="00502C36">
            <w:pPr>
              <w:pStyle w:val="Betarp"/>
              <w:rPr>
                <w:rFonts w:ascii="Times New Roman" w:hAnsi="Times New Roman" w:cs="Times New Roman"/>
              </w:rPr>
            </w:pPr>
          </w:p>
        </w:tc>
        <w:tc>
          <w:tcPr>
            <w:tcW w:w="2552" w:type="dxa"/>
            <w:shd w:val="clear" w:color="auto" w:fill="C5E0B3" w:themeFill="accent6" w:themeFillTint="66"/>
          </w:tcPr>
          <w:p w14:paraId="35899934" w14:textId="622DD175" w:rsidR="00502C36" w:rsidRPr="00972C0E" w:rsidRDefault="00502C36" w:rsidP="00502C36">
            <w:pPr>
              <w:pStyle w:val="Betarp"/>
              <w:rPr>
                <w:rFonts w:ascii="Times New Roman" w:hAnsi="Times New Roman" w:cs="Times New Roman"/>
                <w:b/>
              </w:rPr>
            </w:pPr>
            <w:r w:rsidRPr="00972C0E">
              <w:rPr>
                <w:rFonts w:ascii="Times New Roman" w:hAnsi="Times New Roman" w:cs="Times New Roman"/>
                <w:b/>
              </w:rPr>
              <w:t>MINISTERIJOS</w:t>
            </w:r>
          </w:p>
        </w:tc>
        <w:tc>
          <w:tcPr>
            <w:tcW w:w="7654" w:type="dxa"/>
            <w:shd w:val="clear" w:color="auto" w:fill="C5E0B3" w:themeFill="accent6" w:themeFillTint="66"/>
          </w:tcPr>
          <w:p w14:paraId="7AC73621" w14:textId="77777777" w:rsidR="00502C36" w:rsidRPr="00972C0E" w:rsidRDefault="00502C36" w:rsidP="00502C36">
            <w:pPr>
              <w:pStyle w:val="Betarp"/>
              <w:rPr>
                <w:rFonts w:ascii="Times New Roman" w:hAnsi="Times New Roman" w:cs="Times New Roman"/>
              </w:rPr>
            </w:pPr>
          </w:p>
        </w:tc>
        <w:tc>
          <w:tcPr>
            <w:tcW w:w="4111" w:type="dxa"/>
            <w:shd w:val="clear" w:color="auto" w:fill="C5E0B3" w:themeFill="accent6" w:themeFillTint="66"/>
          </w:tcPr>
          <w:p w14:paraId="477492D0" w14:textId="77777777" w:rsidR="00502C36" w:rsidRPr="00972C0E" w:rsidRDefault="00502C36" w:rsidP="00502C36">
            <w:pPr>
              <w:pStyle w:val="Betarp"/>
              <w:rPr>
                <w:rFonts w:ascii="Times New Roman" w:hAnsi="Times New Roman" w:cs="Times New Roman"/>
              </w:rPr>
            </w:pPr>
          </w:p>
        </w:tc>
      </w:tr>
      <w:tr w:rsidR="00784B4F" w:rsidRPr="00972C0E" w14:paraId="47E958F2" w14:textId="77777777" w:rsidTr="00680FB8">
        <w:tc>
          <w:tcPr>
            <w:tcW w:w="709" w:type="dxa"/>
          </w:tcPr>
          <w:p w14:paraId="6F796196" w14:textId="29274E2D" w:rsidR="00784B4F" w:rsidRDefault="00784B4F" w:rsidP="00784B4F">
            <w:pPr>
              <w:pStyle w:val="Betarp"/>
              <w:rPr>
                <w:rFonts w:ascii="Times New Roman" w:hAnsi="Times New Roman" w:cs="Times New Roman"/>
              </w:rPr>
            </w:pPr>
            <w:r>
              <w:rPr>
                <w:rFonts w:ascii="Times New Roman" w:hAnsi="Times New Roman" w:cs="Times New Roman"/>
              </w:rPr>
              <w:t>13</w:t>
            </w:r>
          </w:p>
        </w:tc>
        <w:tc>
          <w:tcPr>
            <w:tcW w:w="2552" w:type="dxa"/>
          </w:tcPr>
          <w:p w14:paraId="1EA1BC7E" w14:textId="3751EA43" w:rsidR="00784B4F" w:rsidRPr="00972C0E" w:rsidRDefault="00784B4F" w:rsidP="00784B4F">
            <w:pPr>
              <w:pStyle w:val="Betarp"/>
              <w:rPr>
                <w:rFonts w:ascii="Times New Roman" w:hAnsi="Times New Roman" w:cs="Times New Roman"/>
                <w:b/>
              </w:rPr>
            </w:pPr>
            <w:r w:rsidRPr="00972C0E">
              <w:rPr>
                <w:rFonts w:ascii="Times New Roman" w:hAnsi="Times New Roman" w:cs="Times New Roman"/>
                <w:b/>
              </w:rPr>
              <w:t>Lietuvos Respublikos vidaus reikalų ministerija</w:t>
            </w:r>
          </w:p>
        </w:tc>
        <w:tc>
          <w:tcPr>
            <w:tcW w:w="7654" w:type="dxa"/>
          </w:tcPr>
          <w:p w14:paraId="3DC8F122" w14:textId="5C94E727" w:rsidR="00784B4F" w:rsidRPr="00972C0E" w:rsidRDefault="00784B4F" w:rsidP="00784B4F">
            <w:pPr>
              <w:pStyle w:val="Betarp"/>
              <w:tabs>
                <w:tab w:val="left" w:pos="315"/>
              </w:tabs>
              <w:jc w:val="both"/>
              <w:rPr>
                <w:rFonts w:ascii="Times New Roman" w:hAnsi="Times New Roman" w:cs="Times New Roman"/>
              </w:rPr>
            </w:pPr>
            <w:r w:rsidRPr="00972C0E">
              <w:rPr>
                <w:rFonts w:ascii="Times New Roman" w:hAnsi="Times New Roman" w:cs="Times New Roman"/>
              </w:rPr>
              <w:t xml:space="preserve">Pagal BSĮ projekto 2 straipsnyje dėstomo 141 straipsnio 1 dalį, ministerijai tvirtinami asignavimai gali būti priskiriami kelioms valstybės veiklos sritims pagal ministrui priskirtas valdymo sritis. Pažymėtina, kad nuostata nėra visiškai aiški – aiškinamajame rašte nurodyta, kad Vyriausybės nustatomose valstybės veiklos srityse atsispindės 16 pagrindinių valstybės veiklos sričių ir kad kiekviena įstaiga, kurios vadovas yra valstybės biudžeto asignavimų valdytojas, valstybės veiklos </w:t>
            </w:r>
            <w:r w:rsidRPr="00972C0E">
              <w:rPr>
                <w:rFonts w:ascii="Times New Roman" w:hAnsi="Times New Roman" w:cs="Times New Roman"/>
              </w:rPr>
              <w:lastRenderedPageBreak/>
              <w:t>sričiai būtų priskiriama atsižvelgiant į tai, prie kurios srities būtų priskiriama daugiausia šios įstaigos funkcijų ir jai numatytų asignavimų. Taigi, pagal BSĮ projektą ministerijos asignavimai valstybės veiklos sričiai būtų priskiriami pagal ministrui priskirtas valdymo sritis, o pagal aiškinamąjį raštą pati ministerija valstybės veiklos sričiai būtų priskirta pagal funkcijas ir jai numatytus asignavimus. Siūlome suderinti šias nuostatas.</w:t>
            </w:r>
          </w:p>
        </w:tc>
        <w:tc>
          <w:tcPr>
            <w:tcW w:w="4111" w:type="dxa"/>
          </w:tcPr>
          <w:p w14:paraId="5774A2B3" w14:textId="09C38615" w:rsidR="00784B4F" w:rsidRPr="00972C0E" w:rsidRDefault="00EE47A4" w:rsidP="00784B4F">
            <w:pPr>
              <w:jc w:val="both"/>
              <w:rPr>
                <w:rFonts w:ascii="Times New Roman" w:hAnsi="Times New Roman" w:cs="Times New Roman"/>
                <w:b/>
              </w:rPr>
            </w:pPr>
            <w:r>
              <w:rPr>
                <w:rFonts w:ascii="Times New Roman" w:hAnsi="Times New Roman" w:cs="Times New Roman"/>
                <w:b/>
              </w:rPr>
              <w:lastRenderedPageBreak/>
              <w:t>Pateiktas paaiškinimas</w:t>
            </w:r>
            <w:r w:rsidR="00784B4F" w:rsidRPr="00972C0E">
              <w:rPr>
                <w:rFonts w:ascii="Times New Roman" w:hAnsi="Times New Roman" w:cs="Times New Roman"/>
                <w:b/>
              </w:rPr>
              <w:t>.</w:t>
            </w:r>
          </w:p>
          <w:p w14:paraId="30929D92" w14:textId="77777777" w:rsidR="00784B4F" w:rsidRPr="00972C0E" w:rsidRDefault="00784B4F" w:rsidP="00784B4F">
            <w:pPr>
              <w:jc w:val="both"/>
              <w:rPr>
                <w:rFonts w:ascii="Times New Roman" w:hAnsi="Times New Roman" w:cs="Times New Roman"/>
              </w:rPr>
            </w:pPr>
            <w:r w:rsidRPr="00972C0E">
              <w:rPr>
                <w:rFonts w:ascii="Times New Roman" w:hAnsi="Times New Roman" w:cs="Times New Roman"/>
              </w:rPr>
              <w:t>Atkreipiame dėmesį, kad pagal siūlomas BSĮ nuostatas tik ministerijos gali būti priskiriamos kelioms valstybės veiklos sritims, todėl kaip aiškiausias šio priskyrimo kriterijus siūlomos ministrų valdymo sritys.</w:t>
            </w:r>
          </w:p>
          <w:p w14:paraId="60D78A81" w14:textId="03B3BD23" w:rsidR="00784B4F" w:rsidRPr="00972C0E" w:rsidRDefault="00784B4F" w:rsidP="00784B4F">
            <w:pPr>
              <w:pStyle w:val="Betarp"/>
              <w:rPr>
                <w:rFonts w:ascii="Times New Roman" w:hAnsi="Times New Roman" w:cs="Times New Roman"/>
                <w:b/>
              </w:rPr>
            </w:pPr>
            <w:r w:rsidRPr="00972C0E">
              <w:rPr>
                <w:rFonts w:ascii="Times New Roman" w:hAnsi="Times New Roman" w:cs="Times New Roman"/>
              </w:rPr>
              <w:lastRenderedPageBreak/>
              <w:t>Kitos institucijos ir įstaigos (tarp kurių yra ir Vyriausybei ir (arba) ministrams neatskaitingų institucijų, kurios nepriskiriamos ministrų valdymo sritims) atitinkamai valstybės veiklos sričiai būtų priskiriamos pagal didžiausią vykdomų funkcijų ir skiriamų asignavimų dalį.</w:t>
            </w:r>
          </w:p>
        </w:tc>
      </w:tr>
      <w:tr w:rsidR="002963B4" w:rsidRPr="00972C0E" w14:paraId="318B54E1" w14:textId="77777777" w:rsidTr="00680FB8">
        <w:tc>
          <w:tcPr>
            <w:tcW w:w="709" w:type="dxa"/>
          </w:tcPr>
          <w:p w14:paraId="000FDA76" w14:textId="4066333C" w:rsidR="002963B4" w:rsidRDefault="002963B4" w:rsidP="002963B4">
            <w:pPr>
              <w:pStyle w:val="Betarp"/>
              <w:rPr>
                <w:rFonts w:ascii="Times New Roman" w:hAnsi="Times New Roman" w:cs="Times New Roman"/>
              </w:rPr>
            </w:pPr>
            <w:r>
              <w:rPr>
                <w:rFonts w:ascii="Times New Roman" w:hAnsi="Times New Roman" w:cs="Times New Roman"/>
                <w:lang w:val="en-GB"/>
              </w:rPr>
              <w:lastRenderedPageBreak/>
              <w:t>1</w:t>
            </w:r>
            <w:r w:rsidRPr="00972C0E">
              <w:rPr>
                <w:rFonts w:ascii="Times New Roman" w:hAnsi="Times New Roman" w:cs="Times New Roman"/>
              </w:rPr>
              <w:t>4</w:t>
            </w:r>
          </w:p>
        </w:tc>
        <w:tc>
          <w:tcPr>
            <w:tcW w:w="2552" w:type="dxa"/>
          </w:tcPr>
          <w:p w14:paraId="7B3C9889" w14:textId="551CAFE3" w:rsidR="002963B4" w:rsidRPr="00972C0E" w:rsidRDefault="002963B4" w:rsidP="002963B4">
            <w:pPr>
              <w:pStyle w:val="Betarp"/>
              <w:rPr>
                <w:rFonts w:ascii="Times New Roman" w:hAnsi="Times New Roman" w:cs="Times New Roman"/>
                <w:b/>
              </w:rPr>
            </w:pPr>
            <w:r w:rsidRPr="00972C0E">
              <w:rPr>
                <w:rFonts w:ascii="Times New Roman" w:hAnsi="Times New Roman" w:cs="Times New Roman"/>
                <w:b/>
              </w:rPr>
              <w:t>Lietuvos Respublikos kultūros ministerija</w:t>
            </w:r>
          </w:p>
        </w:tc>
        <w:tc>
          <w:tcPr>
            <w:tcW w:w="7654" w:type="dxa"/>
          </w:tcPr>
          <w:p w14:paraId="5EB4BE66" w14:textId="489479D8" w:rsidR="002963B4" w:rsidRPr="00972C0E" w:rsidRDefault="002963B4" w:rsidP="002963B4">
            <w:pPr>
              <w:pStyle w:val="Betarp"/>
              <w:tabs>
                <w:tab w:val="left" w:pos="315"/>
              </w:tabs>
              <w:jc w:val="both"/>
              <w:rPr>
                <w:rFonts w:ascii="Times New Roman" w:hAnsi="Times New Roman" w:cs="Times New Roman"/>
              </w:rPr>
            </w:pPr>
            <w:r w:rsidRPr="00972C0E">
              <w:rPr>
                <w:rFonts w:ascii="Times New Roman" w:eastAsia="Times New Roman" w:hAnsi="Times New Roman" w:cs="Times New Roman"/>
                <w:bCs/>
              </w:rPr>
              <w:t>...trūksta aiškumo, kas pagal naująją strateginio valdymo sistemą numatomi pagrindiniais strateginio valdymo proceso šeimininkais: koks visgi Lietuvos Respublikos Vyriausybės kanceliarijos vaidmuo valdant/koordinuojant strateginio valdymo procesus, o koks – Finansų ministerijos bei kitų Vyriausybės numatomų įgalioti institucijų.</w:t>
            </w:r>
          </w:p>
        </w:tc>
        <w:tc>
          <w:tcPr>
            <w:tcW w:w="4111" w:type="dxa"/>
          </w:tcPr>
          <w:p w14:paraId="03134045" w14:textId="77777777" w:rsidR="002963B4" w:rsidRDefault="002963B4" w:rsidP="002963B4">
            <w:pPr>
              <w:pStyle w:val="Betarp"/>
              <w:jc w:val="both"/>
              <w:rPr>
                <w:rFonts w:ascii="Times New Roman" w:hAnsi="Times New Roman" w:cs="Times New Roman"/>
              </w:rPr>
            </w:pPr>
            <w:r>
              <w:rPr>
                <w:rFonts w:ascii="Times New Roman" w:hAnsi="Times New Roman" w:cs="Times New Roman"/>
              </w:rPr>
              <w:t xml:space="preserve">SVĮ projektas papildytas programinio valdymo sąvoka ir perdėliotos nuostatos, kurios įneš daugiau aiškumo. Be to papildytas aiškinamasis raštas. </w:t>
            </w:r>
          </w:p>
          <w:p w14:paraId="56F935A1" w14:textId="149540A8" w:rsidR="002963B4" w:rsidRPr="00972C0E" w:rsidRDefault="002963B4" w:rsidP="002963B4">
            <w:pPr>
              <w:pStyle w:val="Betarp"/>
              <w:jc w:val="both"/>
              <w:rPr>
                <w:rFonts w:ascii="Times New Roman" w:hAnsi="Times New Roman" w:cs="Times New Roman"/>
                <w:b/>
              </w:rPr>
            </w:pPr>
            <w:r>
              <w:rPr>
                <w:rFonts w:ascii="Times New Roman" w:hAnsi="Times New Roman" w:cs="Times New Roman"/>
              </w:rPr>
              <w:t xml:space="preserve">SVĮ projekte pakankamai aiškiai nurodyta, kad strateginio valdymo proceso šeimininkas yra Lietuvos Respublikos Vyriausybė, kuri nustato proceso taisykle tvirtindama strateginio valdymo metodiką, Vyriausybė koordinuoja Valstybės pažangos strategijos ir nacionalinio pažangos plano rengimą, ir visų strateginio lygmens planavimo dokumentų įgyvendinimą. Vyriausybė įgalioja nacionalinių plėtros programų portfelio valdytoją, kuris prižiūri, </w:t>
            </w:r>
            <w:r w:rsidRPr="00155FEA">
              <w:rPr>
                <w:rFonts w:ascii="Times New Roman" w:hAnsi="Times New Roman" w:cs="Times New Roman"/>
              </w:rPr>
              <w:t>kad planuojant ir vykdant nacionalines plėtros programas būtų nuosekliai, darniai ir efektyviai įgyvendinami Nacionaliniame pažangos plane nustatyti strateginiai tikslai ir pažangos uždaviniai</w:t>
            </w:r>
            <w:r>
              <w:rPr>
                <w:rFonts w:ascii="Times New Roman" w:hAnsi="Times New Roman" w:cs="Times New Roman"/>
              </w:rPr>
              <w:t xml:space="preserve"> ir apie tai teikia informaciją Vyriausybei Strateginio valdymo metodikoje nustatyta tvarka.</w:t>
            </w:r>
          </w:p>
        </w:tc>
      </w:tr>
      <w:tr w:rsidR="002963B4" w:rsidRPr="00972C0E" w14:paraId="462460E3" w14:textId="77777777" w:rsidTr="00680FB8">
        <w:tc>
          <w:tcPr>
            <w:tcW w:w="709" w:type="dxa"/>
          </w:tcPr>
          <w:p w14:paraId="1F076E9D" w14:textId="23EE114B" w:rsidR="002963B4" w:rsidRDefault="002963B4" w:rsidP="002963B4">
            <w:pPr>
              <w:pStyle w:val="Betarp"/>
              <w:rPr>
                <w:rFonts w:ascii="Times New Roman" w:hAnsi="Times New Roman" w:cs="Times New Roman"/>
              </w:rPr>
            </w:pPr>
            <w:r>
              <w:rPr>
                <w:rFonts w:ascii="Times New Roman" w:hAnsi="Times New Roman" w:cs="Times New Roman"/>
              </w:rPr>
              <w:t>15</w:t>
            </w:r>
          </w:p>
        </w:tc>
        <w:tc>
          <w:tcPr>
            <w:tcW w:w="2552" w:type="dxa"/>
          </w:tcPr>
          <w:p w14:paraId="7B2B2E8F" w14:textId="77777777" w:rsidR="002963B4" w:rsidRPr="00972C0E" w:rsidRDefault="002963B4" w:rsidP="002963B4">
            <w:pPr>
              <w:pStyle w:val="Betarp"/>
              <w:rPr>
                <w:rFonts w:ascii="Times New Roman" w:hAnsi="Times New Roman" w:cs="Times New Roman"/>
                <w:b/>
              </w:rPr>
            </w:pPr>
          </w:p>
        </w:tc>
        <w:tc>
          <w:tcPr>
            <w:tcW w:w="7654" w:type="dxa"/>
          </w:tcPr>
          <w:p w14:paraId="42A626A0" w14:textId="2F7B3073" w:rsidR="002963B4" w:rsidRPr="00972C0E" w:rsidRDefault="002963B4" w:rsidP="002963B4">
            <w:pPr>
              <w:pStyle w:val="Betarp"/>
              <w:tabs>
                <w:tab w:val="left" w:pos="315"/>
              </w:tabs>
              <w:jc w:val="both"/>
              <w:rPr>
                <w:rFonts w:ascii="Times New Roman" w:hAnsi="Times New Roman" w:cs="Times New Roman"/>
              </w:rPr>
            </w:pPr>
            <w:r w:rsidRPr="00972C0E">
              <w:rPr>
                <w:rFonts w:ascii="Times New Roman" w:eastAsia="Times New Roman" w:hAnsi="Times New Roman" w:cs="Times New Roman"/>
                <w:bCs/>
              </w:rPr>
              <w:t>SVĮ projekto 12 straipsnyje nurodyta, jog strateginio valdymo sistemos dalyvių teises ir pareigas nustato SVĮ, o detalizuoja Strateginio valdymo metodika, tačiau nėra reglamentuota bent minimalių nuostatų, susijusių su dalyvaujančių institucijų apibrėžtimi, teisėmis ir pareigomis rengiant, įgyvendinant kitų institucijų koordinuojamus planavimo dokumentus ir vykdant jų stebėseną.</w:t>
            </w:r>
            <w:r w:rsidRPr="00972C0E">
              <w:rPr>
                <w:rFonts w:ascii="Times New Roman" w:hAnsi="Times New Roman" w:cs="Times New Roman"/>
              </w:rPr>
              <w:t xml:space="preserve"> </w:t>
            </w:r>
            <w:r w:rsidRPr="00972C0E">
              <w:rPr>
                <w:rFonts w:ascii="Times New Roman" w:eastAsia="Times New Roman" w:hAnsi="Times New Roman" w:cs="Times New Roman"/>
                <w:bCs/>
              </w:rPr>
              <w:t>Taip pat tame pačiame straipsnyje minimi pažangos priemonių ir (arba) projektų finansinės, ekonominės ir socialinės naudos, efektyvumo vertinimai, tačiau nėra detalizuotos tokių vertinimų taikymo sąlygos ir apimtys, todėl sudėtinga įvertinti tokios nuostatos poveikį ir sukuriamą pridėtinę vertę bei kaip tai atsilieps administracinės naštos aspektu.</w:t>
            </w:r>
          </w:p>
        </w:tc>
        <w:tc>
          <w:tcPr>
            <w:tcW w:w="4111" w:type="dxa"/>
          </w:tcPr>
          <w:p w14:paraId="23FE65D9" w14:textId="77777777" w:rsidR="002963B4" w:rsidRPr="004D3D43" w:rsidRDefault="002963B4" w:rsidP="002963B4">
            <w:pPr>
              <w:pStyle w:val="Betarp"/>
              <w:jc w:val="both"/>
              <w:rPr>
                <w:rFonts w:ascii="Times New Roman" w:hAnsi="Times New Roman" w:cs="Times New Roman"/>
              </w:rPr>
            </w:pPr>
            <w:r w:rsidRPr="004D3D43">
              <w:rPr>
                <w:rFonts w:ascii="Times New Roman" w:hAnsi="Times New Roman" w:cs="Times New Roman"/>
              </w:rPr>
              <w:t xml:space="preserve">Nesutinkame su pastaba, nes SVĮ IV skyriuje nustatoma kurie strateginio valdymo dalyviai atsakingi už kiekvieno planavimo dokumento tipo rengimą, tvirtinimą, įgyvendinimą, stebėseną ir atsiskaitymą. </w:t>
            </w:r>
          </w:p>
          <w:p w14:paraId="7B249992" w14:textId="719606E7" w:rsidR="002963B4" w:rsidRPr="00972C0E" w:rsidRDefault="002963B4" w:rsidP="002963B4">
            <w:pPr>
              <w:pStyle w:val="Betarp"/>
              <w:jc w:val="both"/>
              <w:rPr>
                <w:rFonts w:ascii="Times New Roman" w:hAnsi="Times New Roman" w:cs="Times New Roman"/>
                <w:b/>
              </w:rPr>
            </w:pPr>
            <w:r w:rsidRPr="004D3D43">
              <w:rPr>
                <w:rFonts w:ascii="Times New Roman" w:hAnsi="Times New Roman" w:cs="Times New Roman"/>
              </w:rPr>
              <w:t xml:space="preserve">Sutinkame, kad detalių įstatyme nėra, bet įgyvendinimo detalės nėra įstatymo dalykas, o Strateginio valdymo metodikos aktualiausias dalis 2019-11-14 vykusiame tarpinstituciniame pasitarime pastaboms </w:t>
            </w:r>
            <w:r w:rsidRPr="004D3D43">
              <w:rPr>
                <w:rFonts w:ascii="Times New Roman" w:hAnsi="Times New Roman" w:cs="Times New Roman"/>
              </w:rPr>
              <w:lastRenderedPageBreak/>
              <w:t>SVĮ projektui aptarti Finansų ministerija žadėjo aptarti su institucijomis šių metų pabaigoje.</w:t>
            </w:r>
          </w:p>
        </w:tc>
      </w:tr>
      <w:tr w:rsidR="002963B4" w:rsidRPr="00972C0E" w14:paraId="3A16DB71" w14:textId="77777777" w:rsidTr="00680FB8">
        <w:tc>
          <w:tcPr>
            <w:tcW w:w="709" w:type="dxa"/>
          </w:tcPr>
          <w:p w14:paraId="6ED512D8" w14:textId="05FB8059" w:rsidR="002963B4" w:rsidRDefault="002963B4" w:rsidP="002963B4">
            <w:pPr>
              <w:pStyle w:val="Betarp"/>
              <w:rPr>
                <w:rFonts w:ascii="Times New Roman" w:hAnsi="Times New Roman" w:cs="Times New Roman"/>
              </w:rPr>
            </w:pPr>
            <w:r>
              <w:rPr>
                <w:rFonts w:ascii="Times New Roman" w:hAnsi="Times New Roman" w:cs="Times New Roman"/>
              </w:rPr>
              <w:lastRenderedPageBreak/>
              <w:t>16</w:t>
            </w:r>
          </w:p>
        </w:tc>
        <w:tc>
          <w:tcPr>
            <w:tcW w:w="2552" w:type="dxa"/>
          </w:tcPr>
          <w:p w14:paraId="7F40D736" w14:textId="77777777" w:rsidR="002963B4" w:rsidRPr="00972C0E" w:rsidRDefault="002963B4" w:rsidP="002963B4">
            <w:pPr>
              <w:pStyle w:val="Betarp"/>
              <w:rPr>
                <w:rFonts w:ascii="Times New Roman" w:hAnsi="Times New Roman" w:cs="Times New Roman"/>
                <w:b/>
              </w:rPr>
            </w:pPr>
          </w:p>
        </w:tc>
        <w:tc>
          <w:tcPr>
            <w:tcW w:w="7654" w:type="dxa"/>
          </w:tcPr>
          <w:p w14:paraId="758D1E70" w14:textId="755E71C9" w:rsidR="002963B4" w:rsidRPr="00972C0E" w:rsidRDefault="002963B4" w:rsidP="002963B4">
            <w:pPr>
              <w:pStyle w:val="Betarp"/>
              <w:tabs>
                <w:tab w:val="left" w:pos="315"/>
              </w:tabs>
              <w:jc w:val="both"/>
              <w:rPr>
                <w:rFonts w:ascii="Times New Roman" w:hAnsi="Times New Roman" w:cs="Times New Roman"/>
              </w:rPr>
            </w:pPr>
            <w:r w:rsidRPr="00972C0E">
              <w:rPr>
                <w:rFonts w:ascii="Times New Roman" w:eastAsia="Times New Roman" w:hAnsi="Times New Roman" w:cs="Times New Roman"/>
                <w:bCs/>
              </w:rPr>
              <w:t>Pažymėtina, kad SVĮ projekte nėra numatytas skirtingų viešosios politikos sričių intervencijų horizontalumo įgyvendinimo mechanizmas (kaip alternatyva šiuo metu esantiems tarpinstituciniams veiklos planams), kai viena viešosios politikos sritis prisideda įgyvendinant kitos viešosios politikos srities koordinuojamus ir įgyvendinamus strateginius tikslus ir uždavinius. Tokį poreikį matome ir atitinkami siūlytume tai numatyti SVĮ projekte.</w:t>
            </w:r>
          </w:p>
        </w:tc>
        <w:tc>
          <w:tcPr>
            <w:tcW w:w="4111" w:type="dxa"/>
          </w:tcPr>
          <w:p w14:paraId="41D59736" w14:textId="4340221B" w:rsidR="002963B4" w:rsidRPr="00972C0E" w:rsidRDefault="002963B4" w:rsidP="002963B4">
            <w:pPr>
              <w:pStyle w:val="Betarp"/>
              <w:jc w:val="both"/>
              <w:rPr>
                <w:rFonts w:ascii="Times New Roman" w:hAnsi="Times New Roman" w:cs="Times New Roman"/>
                <w:b/>
              </w:rPr>
            </w:pPr>
            <w:r w:rsidRPr="004D3D43">
              <w:rPr>
                <w:rFonts w:ascii="Times New Roman" w:hAnsi="Times New Roman" w:cs="Times New Roman"/>
              </w:rPr>
              <w:t>SVĮ projekto 14 straipsnyje nurodyti strateginio valdymo dalyviai, dalyvaujantys rengiant nacionalines plėtros programas. Nacionaliniame pažangos plane  kiekvieno uždavinio įgyvendinimui bus n</w:t>
            </w:r>
            <w:r>
              <w:rPr>
                <w:rFonts w:ascii="Times New Roman" w:hAnsi="Times New Roman" w:cs="Times New Roman"/>
              </w:rPr>
              <w:t>u</w:t>
            </w:r>
            <w:r w:rsidRPr="004D3D43">
              <w:rPr>
                <w:rFonts w:ascii="Times New Roman" w:hAnsi="Times New Roman" w:cs="Times New Roman"/>
              </w:rPr>
              <w:t>rodytos uždavinio įgyvendinime dalyvaujančios institucijos, kurių funkcijos ir atsakomybės bus nustatytos str</w:t>
            </w:r>
            <w:r>
              <w:rPr>
                <w:rFonts w:ascii="Times New Roman" w:hAnsi="Times New Roman" w:cs="Times New Roman"/>
              </w:rPr>
              <w:t>a</w:t>
            </w:r>
            <w:r w:rsidRPr="004D3D43">
              <w:rPr>
                <w:rFonts w:ascii="Times New Roman" w:hAnsi="Times New Roman" w:cs="Times New Roman"/>
              </w:rPr>
              <w:t>teginio valdymo metodikoje.</w:t>
            </w:r>
          </w:p>
        </w:tc>
      </w:tr>
      <w:tr w:rsidR="002963B4" w:rsidRPr="00972C0E" w14:paraId="11936826" w14:textId="77777777" w:rsidTr="00680FB8">
        <w:tc>
          <w:tcPr>
            <w:tcW w:w="709" w:type="dxa"/>
          </w:tcPr>
          <w:p w14:paraId="13DE66CB" w14:textId="3130B8E6" w:rsidR="002963B4" w:rsidRDefault="002963B4" w:rsidP="002963B4">
            <w:pPr>
              <w:pStyle w:val="Betarp"/>
              <w:rPr>
                <w:rFonts w:ascii="Times New Roman" w:hAnsi="Times New Roman" w:cs="Times New Roman"/>
              </w:rPr>
            </w:pPr>
            <w:r w:rsidRPr="00972C0E">
              <w:rPr>
                <w:rFonts w:ascii="Times New Roman" w:hAnsi="Times New Roman" w:cs="Times New Roman"/>
              </w:rPr>
              <w:t>1</w:t>
            </w:r>
            <w:r>
              <w:rPr>
                <w:rFonts w:ascii="Times New Roman" w:hAnsi="Times New Roman" w:cs="Times New Roman"/>
              </w:rPr>
              <w:t>7</w:t>
            </w:r>
          </w:p>
        </w:tc>
        <w:tc>
          <w:tcPr>
            <w:tcW w:w="2552" w:type="dxa"/>
          </w:tcPr>
          <w:p w14:paraId="561A2E1F" w14:textId="77777777" w:rsidR="002963B4" w:rsidRPr="00972C0E" w:rsidRDefault="002963B4" w:rsidP="002963B4">
            <w:pPr>
              <w:pStyle w:val="Betarp"/>
              <w:rPr>
                <w:rFonts w:ascii="Times New Roman" w:hAnsi="Times New Roman" w:cs="Times New Roman"/>
                <w:b/>
              </w:rPr>
            </w:pPr>
          </w:p>
        </w:tc>
        <w:tc>
          <w:tcPr>
            <w:tcW w:w="7654" w:type="dxa"/>
          </w:tcPr>
          <w:p w14:paraId="456833D4" w14:textId="78428363" w:rsidR="002963B4" w:rsidRPr="00972C0E" w:rsidRDefault="002963B4" w:rsidP="002963B4">
            <w:pPr>
              <w:pStyle w:val="Betarp"/>
              <w:tabs>
                <w:tab w:val="left" w:pos="315"/>
              </w:tabs>
              <w:jc w:val="both"/>
              <w:rPr>
                <w:rFonts w:ascii="Times New Roman" w:hAnsi="Times New Roman" w:cs="Times New Roman"/>
              </w:rPr>
            </w:pPr>
            <w:r w:rsidRPr="00972C0E">
              <w:rPr>
                <w:rFonts w:ascii="Times New Roman" w:eastAsia="Times New Roman" w:hAnsi="Times New Roman" w:cs="Times New Roman"/>
                <w:bCs/>
              </w:rPr>
              <w:t>Manytume, kad netikslinga įstatymo lygmeniu įtvirtinti, kas turi tvirtinti strateginius veiklos planus. Siūlytume likti prie dabar galiojančios tvarkos, kai Strateginio planavimo metodikoje nurodyta, kad ministras tvirtina jam atskaitingų institucijų (asignavimų valdytojų) strateginius veiklos planus, o tie asignavimų valdytojai, kurie nėra atskaitingi ministrui – patys tvirtinta savo vadovaujamų įstaigų strateginius veiklos planus. Kitu atveju, atsiranda poreikis keisti dalį sritinių įstatymų, kas, manytume, nėra geriausias sprendimas.</w:t>
            </w:r>
          </w:p>
        </w:tc>
        <w:tc>
          <w:tcPr>
            <w:tcW w:w="4111" w:type="dxa"/>
          </w:tcPr>
          <w:p w14:paraId="6FCF6771" w14:textId="5AF902C5" w:rsidR="00327724" w:rsidRDefault="00327724" w:rsidP="002963B4">
            <w:pPr>
              <w:pStyle w:val="Betarp"/>
              <w:jc w:val="both"/>
              <w:rPr>
                <w:rFonts w:ascii="Times New Roman" w:hAnsi="Times New Roman" w:cs="Times New Roman"/>
              </w:rPr>
            </w:pPr>
            <w:r>
              <w:rPr>
                <w:rFonts w:ascii="Times New Roman" w:hAnsi="Times New Roman" w:cs="Times New Roman"/>
              </w:rPr>
              <w:t>SVĮ projekte turi būti išlaikytas nuoseklumas, yra nurodomas kiekvieno planavimo dokumento tipo tvirtinimo tvarka, todėl strateginiams veiklos planams išimtis netaikytina</w:t>
            </w:r>
          </w:p>
          <w:p w14:paraId="49991A51" w14:textId="79D8089D" w:rsidR="002963B4" w:rsidRPr="004B6C05" w:rsidRDefault="00C72B67" w:rsidP="002963B4">
            <w:pPr>
              <w:pStyle w:val="Betarp"/>
              <w:jc w:val="both"/>
              <w:rPr>
                <w:rFonts w:ascii="Times New Roman" w:hAnsi="Times New Roman" w:cs="Times New Roman"/>
                <w:b/>
                <w:highlight w:val="yellow"/>
              </w:rPr>
            </w:pPr>
            <w:r w:rsidRPr="005132B0">
              <w:rPr>
                <w:rFonts w:ascii="Times New Roman" w:hAnsi="Times New Roman" w:cs="Times New Roman"/>
              </w:rPr>
              <w:t>SVĮ projekte siūloma</w:t>
            </w:r>
            <w:r w:rsidR="005132B0">
              <w:rPr>
                <w:rFonts w:ascii="Times New Roman" w:hAnsi="Times New Roman" w:cs="Times New Roman"/>
              </w:rPr>
              <w:t xml:space="preserve">, kad strateginiai veiklos planai būtų </w:t>
            </w:r>
            <w:r w:rsidRPr="005132B0">
              <w:rPr>
                <w:rFonts w:ascii="Times New Roman" w:hAnsi="Times New Roman" w:cs="Times New Roman"/>
              </w:rPr>
              <w:t>tvirtin</w:t>
            </w:r>
            <w:r w:rsidR="005132B0">
              <w:rPr>
                <w:rFonts w:ascii="Times New Roman" w:hAnsi="Times New Roman" w:cs="Times New Roman"/>
              </w:rPr>
              <w:t>am</w:t>
            </w:r>
            <w:r w:rsidRPr="005132B0">
              <w:rPr>
                <w:rFonts w:ascii="Times New Roman" w:hAnsi="Times New Roman" w:cs="Times New Roman"/>
              </w:rPr>
              <w:t>i</w:t>
            </w:r>
            <w:r w:rsidR="005132B0">
              <w:rPr>
                <w:rFonts w:ascii="Times New Roman" w:hAnsi="Times New Roman" w:cs="Times New Roman"/>
              </w:rPr>
              <w:t xml:space="preserve"> </w:t>
            </w:r>
            <w:r w:rsidRPr="005132B0">
              <w:rPr>
                <w:rFonts w:ascii="Times New Roman" w:hAnsi="Times New Roman" w:cs="Times New Roman"/>
              </w:rPr>
              <w:t>valstybės biudžeto asignavimų valdytojai ir savivaldybių tarybos, jeigu šių strateginio valdymo sistemos dalyvių veiklos sritį reglamentuojančiuose teisės aktuose nenurodyta kitaip</w:t>
            </w:r>
            <w:r w:rsidR="00327724">
              <w:rPr>
                <w:rFonts w:ascii="Times New Roman" w:hAnsi="Times New Roman" w:cs="Times New Roman"/>
              </w:rPr>
              <w:t>.</w:t>
            </w:r>
            <w:r w:rsidRPr="005132B0">
              <w:rPr>
                <w:rFonts w:ascii="Times New Roman" w:hAnsi="Times New Roman" w:cs="Times New Roman"/>
              </w:rPr>
              <w:t xml:space="preserve"> </w:t>
            </w:r>
            <w:r w:rsidR="00327724">
              <w:rPr>
                <w:rFonts w:ascii="Times New Roman" w:hAnsi="Times New Roman" w:cs="Times New Roman"/>
              </w:rPr>
              <w:t>Kadangi keičiamuose kultūros srityje SVĮ lydimuosiuose įstatymuose jokios strateginių veiklos planų tvirtinimo tvarkos nebuvo, todėl ją reikia nustatyti.</w:t>
            </w:r>
          </w:p>
        </w:tc>
      </w:tr>
      <w:tr w:rsidR="002963B4" w:rsidRPr="00972C0E" w14:paraId="7DC17287" w14:textId="77777777" w:rsidTr="00680FB8">
        <w:tc>
          <w:tcPr>
            <w:tcW w:w="709" w:type="dxa"/>
          </w:tcPr>
          <w:p w14:paraId="240E33CB" w14:textId="5DA4D94E" w:rsidR="002963B4" w:rsidRDefault="002963B4" w:rsidP="002963B4">
            <w:pPr>
              <w:pStyle w:val="Betarp"/>
              <w:rPr>
                <w:rFonts w:ascii="Times New Roman" w:hAnsi="Times New Roman" w:cs="Times New Roman"/>
              </w:rPr>
            </w:pPr>
            <w:r w:rsidRPr="00972C0E">
              <w:rPr>
                <w:rFonts w:ascii="Times New Roman" w:hAnsi="Times New Roman" w:cs="Times New Roman"/>
              </w:rPr>
              <w:t>1</w:t>
            </w:r>
            <w:r>
              <w:rPr>
                <w:rFonts w:ascii="Times New Roman" w:hAnsi="Times New Roman" w:cs="Times New Roman"/>
              </w:rPr>
              <w:t>8</w:t>
            </w:r>
          </w:p>
        </w:tc>
        <w:tc>
          <w:tcPr>
            <w:tcW w:w="2552" w:type="dxa"/>
          </w:tcPr>
          <w:p w14:paraId="4FE5AC11" w14:textId="77777777" w:rsidR="002963B4" w:rsidRPr="00972C0E" w:rsidRDefault="002963B4" w:rsidP="002963B4">
            <w:pPr>
              <w:pStyle w:val="Betarp"/>
              <w:rPr>
                <w:rFonts w:ascii="Times New Roman" w:hAnsi="Times New Roman" w:cs="Times New Roman"/>
                <w:b/>
              </w:rPr>
            </w:pPr>
          </w:p>
        </w:tc>
        <w:tc>
          <w:tcPr>
            <w:tcW w:w="7654" w:type="dxa"/>
          </w:tcPr>
          <w:p w14:paraId="3906E04B" w14:textId="1A125947" w:rsidR="002963B4" w:rsidRPr="00972C0E" w:rsidRDefault="002963B4" w:rsidP="002963B4">
            <w:pPr>
              <w:pStyle w:val="Betarp"/>
              <w:tabs>
                <w:tab w:val="left" w:pos="315"/>
              </w:tabs>
              <w:jc w:val="both"/>
              <w:rPr>
                <w:rFonts w:ascii="Times New Roman" w:hAnsi="Times New Roman" w:cs="Times New Roman"/>
              </w:rPr>
            </w:pPr>
            <w:r w:rsidRPr="00972C0E">
              <w:rPr>
                <w:rFonts w:ascii="Times New Roman" w:eastAsia="Times New Roman" w:hAnsi="Times New Roman" w:cs="Times New Roman"/>
                <w:bCs/>
              </w:rPr>
              <w:t>Taip pat manytume, kad tikslintini Muziejų, Bibliotekų, Dokumentų ir archyvų įstatymų pakeitimo projektai. Numatomus patikslinimus reikėtų formuluoti išlaikant vienodus principus ir reikalavimus straipsnių dėstymui formuluojant turinį. Taip pat vertėtų įvertinti ar nereikia minėtais aspektais keisti ir kitų kultūros sritį reglamentuojančių įstatymų, pvz. Profesionaliojo scenos meno įstatymo ar Meno kūrėjo ir meno kūrėjų organizacijų statuso įstatymo. Atitinkamai siūlytume visus šiuos įstatymų pakeitimo projektus bendradarbiaujant patikslinti ir suderinti darbine tvarka</w:t>
            </w:r>
          </w:p>
        </w:tc>
        <w:tc>
          <w:tcPr>
            <w:tcW w:w="4111" w:type="dxa"/>
          </w:tcPr>
          <w:p w14:paraId="57D76819" w14:textId="6A54EE64" w:rsidR="002963B4" w:rsidRPr="004B6C05" w:rsidRDefault="00C72B67" w:rsidP="002963B4">
            <w:pPr>
              <w:pStyle w:val="Betarp"/>
              <w:jc w:val="both"/>
              <w:rPr>
                <w:rFonts w:ascii="Times New Roman" w:hAnsi="Times New Roman" w:cs="Times New Roman"/>
                <w:b/>
                <w:highlight w:val="yellow"/>
              </w:rPr>
            </w:pPr>
            <w:r w:rsidRPr="00327724">
              <w:rPr>
                <w:rFonts w:ascii="Times New Roman" w:hAnsi="Times New Roman" w:cs="Times New Roman"/>
              </w:rPr>
              <w:t xml:space="preserve">Keičiamuose Muziejų, Bibliotekų, Dokumentų ir archyvų įstatymų pakeitimo projektuose yra išlaikyti vienodi principai. O </w:t>
            </w:r>
            <w:r w:rsidR="005132B0" w:rsidRPr="00327724">
              <w:rPr>
                <w:rFonts w:ascii="Times New Roman" w:hAnsi="Times New Roman" w:cs="Times New Roman"/>
              </w:rPr>
              <w:t>kiti minimi įstatymai buvo peržiūrėti, tačiau nesame įsitikinę, kad juos būtina keisti</w:t>
            </w:r>
            <w:r w:rsidR="005132B0" w:rsidRPr="00C72B67">
              <w:rPr>
                <w:rFonts w:ascii="Times New Roman" w:hAnsi="Times New Roman" w:cs="Times New Roman"/>
              </w:rPr>
              <w:t xml:space="preserve"> Profesionaliojo scenos meno įstatymo ar Meno kūrėjo ir meno kūrėjų organizacijų statuso įstatymo</w:t>
            </w:r>
            <w:r w:rsidR="005132B0">
              <w:rPr>
                <w:rFonts w:ascii="Times New Roman" w:hAnsi="Times New Roman" w:cs="Times New Roman"/>
              </w:rPr>
              <w:t xml:space="preserve">, o iš Kultūros ministerijos negavome </w:t>
            </w:r>
            <w:proofErr w:type="spellStart"/>
            <w:r w:rsidR="005132B0">
              <w:rPr>
                <w:rFonts w:ascii="Times New Roman" w:hAnsi="Times New Roman" w:cs="Times New Roman"/>
              </w:rPr>
              <w:t>atintinkamų</w:t>
            </w:r>
            <w:proofErr w:type="spellEnd"/>
            <w:r w:rsidR="005132B0">
              <w:rPr>
                <w:rFonts w:ascii="Times New Roman" w:hAnsi="Times New Roman" w:cs="Times New Roman"/>
              </w:rPr>
              <w:t xml:space="preserve"> teisės aktų keitimo pasiūlymų.</w:t>
            </w:r>
            <w:r w:rsidR="005132B0">
              <w:t xml:space="preserve"> </w:t>
            </w:r>
            <w:r w:rsidRPr="00C72B67">
              <w:t xml:space="preserve"> </w:t>
            </w:r>
          </w:p>
        </w:tc>
      </w:tr>
      <w:tr w:rsidR="005B55FB" w:rsidRPr="00972C0E" w14:paraId="28F8BAE3" w14:textId="77777777" w:rsidTr="00680FB8">
        <w:tc>
          <w:tcPr>
            <w:tcW w:w="709" w:type="dxa"/>
          </w:tcPr>
          <w:p w14:paraId="6BCDFB77" w14:textId="07A43F84" w:rsidR="005B55FB" w:rsidRPr="00972C0E" w:rsidRDefault="006E37CA" w:rsidP="005B55FB">
            <w:pPr>
              <w:pStyle w:val="Betarp"/>
              <w:rPr>
                <w:rFonts w:ascii="Times New Roman" w:hAnsi="Times New Roman" w:cs="Times New Roman"/>
              </w:rPr>
            </w:pPr>
            <w:r>
              <w:rPr>
                <w:rFonts w:ascii="Times New Roman" w:hAnsi="Times New Roman" w:cs="Times New Roman"/>
              </w:rPr>
              <w:lastRenderedPageBreak/>
              <w:t>19</w:t>
            </w:r>
          </w:p>
        </w:tc>
        <w:tc>
          <w:tcPr>
            <w:tcW w:w="2552" w:type="dxa"/>
          </w:tcPr>
          <w:p w14:paraId="5834EF74" w14:textId="1D85AA47" w:rsidR="005B55FB" w:rsidRPr="00972C0E" w:rsidRDefault="005B55FB" w:rsidP="005B55FB">
            <w:pPr>
              <w:pStyle w:val="Betarp"/>
              <w:rPr>
                <w:rFonts w:ascii="Times New Roman" w:hAnsi="Times New Roman" w:cs="Times New Roman"/>
                <w:b/>
              </w:rPr>
            </w:pPr>
            <w:r w:rsidRPr="00972C0E">
              <w:rPr>
                <w:rFonts w:ascii="Times New Roman" w:hAnsi="Times New Roman" w:cs="Times New Roman"/>
                <w:b/>
              </w:rPr>
              <w:t>Lietuvos Respublikos socialinės apsaugos ir darbo ministerija</w:t>
            </w:r>
          </w:p>
        </w:tc>
        <w:tc>
          <w:tcPr>
            <w:tcW w:w="7654" w:type="dxa"/>
          </w:tcPr>
          <w:p w14:paraId="01D30C49" w14:textId="2BE22FC0" w:rsidR="005B55FB" w:rsidRPr="00972C0E" w:rsidRDefault="005B55FB" w:rsidP="005B55FB">
            <w:pPr>
              <w:pStyle w:val="Betarp"/>
              <w:jc w:val="both"/>
              <w:rPr>
                <w:rFonts w:ascii="Times New Roman" w:hAnsi="Times New Roman" w:cs="Times New Roman"/>
              </w:rPr>
            </w:pPr>
            <w:r w:rsidRPr="00972C0E">
              <w:rPr>
                <w:rFonts w:ascii="Times New Roman" w:hAnsi="Times New Roman" w:cs="Times New Roman"/>
              </w:rPr>
              <w:t xml:space="preserve">siūlome Įstatymo projekte 4 straipsnis. Strateginio valdymo sistemos principai įrašyti </w:t>
            </w:r>
            <w:r w:rsidRPr="00972C0E">
              <w:rPr>
                <w:rFonts w:ascii="Times New Roman" w:hAnsi="Times New Roman" w:cs="Times New Roman"/>
                <w:b/>
              </w:rPr>
              <w:t xml:space="preserve">6) lyčių lygybės – planuojant </w:t>
            </w:r>
            <w:proofErr w:type="spellStart"/>
            <w:r w:rsidRPr="00972C0E">
              <w:rPr>
                <w:rFonts w:ascii="Times New Roman" w:hAnsi="Times New Roman" w:cs="Times New Roman"/>
                <w:b/>
              </w:rPr>
              <w:t>įr</w:t>
            </w:r>
            <w:proofErr w:type="spellEnd"/>
            <w:r w:rsidRPr="00972C0E">
              <w:rPr>
                <w:rFonts w:ascii="Times New Roman" w:hAnsi="Times New Roman" w:cs="Times New Roman"/>
                <w:b/>
              </w:rPr>
              <w:t xml:space="preserve"> įgyvendinant planavimo dokumentus turi būti atsižvelgiama į lyčių aspekto integravimą planavimo, stebėsenos, įgyvendinimo ir vertinimo etapuose siekiant užkirsti kelią kliūčių susidarymui arba galimybių apribojimams, kurie gali sukelti nepageidaujamas pasekmes moterims ar vyrams.</w:t>
            </w:r>
          </w:p>
        </w:tc>
        <w:tc>
          <w:tcPr>
            <w:tcW w:w="4111" w:type="dxa"/>
          </w:tcPr>
          <w:p w14:paraId="3829420B" w14:textId="77777777" w:rsidR="00962BEB" w:rsidRDefault="005B55FB" w:rsidP="007931A1">
            <w:pPr>
              <w:pStyle w:val="Betarp"/>
              <w:jc w:val="both"/>
              <w:rPr>
                <w:rFonts w:ascii="Times New Roman" w:hAnsi="Times New Roman" w:cs="Times New Roman"/>
              </w:rPr>
            </w:pPr>
            <w:r>
              <w:rPr>
                <w:rFonts w:ascii="Times New Roman" w:hAnsi="Times New Roman" w:cs="Times New Roman"/>
              </w:rPr>
              <w:t>Pažymėtina, kad</w:t>
            </w:r>
            <w:r w:rsidRPr="00972C0E">
              <w:rPr>
                <w:rFonts w:ascii="Times New Roman" w:hAnsi="Times New Roman" w:cs="Times New Roman"/>
              </w:rPr>
              <w:t xml:space="preserve"> įgyvendinimo procese lyčių lygybės principas kaip </w:t>
            </w:r>
            <w:r w:rsidR="007931A1">
              <w:rPr>
                <w:rFonts w:ascii="Times New Roman" w:hAnsi="Times New Roman" w:cs="Times New Roman"/>
              </w:rPr>
              <w:t xml:space="preserve">dalis lygybės visiems </w:t>
            </w:r>
            <w:r w:rsidRPr="00972C0E">
              <w:rPr>
                <w:rFonts w:ascii="Times New Roman" w:hAnsi="Times New Roman" w:cs="Times New Roman"/>
              </w:rPr>
              <w:t>horizontal</w:t>
            </w:r>
            <w:r w:rsidR="007931A1">
              <w:rPr>
                <w:rFonts w:ascii="Times New Roman" w:hAnsi="Times New Roman" w:cs="Times New Roman"/>
              </w:rPr>
              <w:t>a</w:t>
            </w:r>
            <w:r w:rsidRPr="00972C0E">
              <w:rPr>
                <w:rFonts w:ascii="Times New Roman" w:hAnsi="Times New Roman" w:cs="Times New Roman"/>
              </w:rPr>
              <w:t>us princip</w:t>
            </w:r>
            <w:r w:rsidR="007931A1">
              <w:rPr>
                <w:rFonts w:ascii="Times New Roman" w:hAnsi="Times New Roman" w:cs="Times New Roman"/>
              </w:rPr>
              <w:t>o dalis</w:t>
            </w:r>
            <w:r w:rsidRPr="00972C0E">
              <w:rPr>
                <w:rFonts w:ascii="Times New Roman" w:hAnsi="Times New Roman" w:cs="Times New Roman"/>
              </w:rPr>
              <w:t>, kurio turi būti laikomasi, įrašytas į NPP, kuriame yra planuojamos 10 m. strateginiai tikslai ir pažangos uždaviniai, kurių įgyvendinimui nacionalinėse plėtros programose planuojamos pažangos lėšos.</w:t>
            </w:r>
          </w:p>
          <w:p w14:paraId="188B0984" w14:textId="458851DA" w:rsidR="005B55FB" w:rsidRPr="00972C0E" w:rsidRDefault="00962BEB" w:rsidP="007931A1">
            <w:pPr>
              <w:pStyle w:val="Betarp"/>
              <w:jc w:val="both"/>
              <w:rPr>
                <w:rFonts w:ascii="Times New Roman" w:hAnsi="Times New Roman" w:cs="Times New Roman"/>
              </w:rPr>
            </w:pPr>
            <w:r>
              <w:rPr>
                <w:rFonts w:ascii="Times New Roman" w:hAnsi="Times New Roman" w:cs="Times New Roman"/>
              </w:rPr>
              <w:t xml:space="preserve">Lyčių lygybės principas yra labiau taikytinas planavimo dokumentų turiniui ir įgyvendinimo stebėsenai, įstatyme strateginio valdymo sistemos principai </w:t>
            </w:r>
            <w:r w:rsidR="005B55FB" w:rsidRPr="00972C0E">
              <w:rPr>
                <w:rFonts w:ascii="Times New Roman" w:hAnsi="Times New Roman" w:cs="Times New Roman"/>
              </w:rPr>
              <w:t xml:space="preserve"> </w:t>
            </w:r>
            <w:r>
              <w:rPr>
                <w:rFonts w:ascii="Times New Roman" w:hAnsi="Times New Roman" w:cs="Times New Roman"/>
              </w:rPr>
              <w:t>labiau nukreipti į valdymo procesus.</w:t>
            </w:r>
          </w:p>
        </w:tc>
      </w:tr>
      <w:tr w:rsidR="00962BEB" w:rsidRPr="00972C0E" w14:paraId="5F80D6E0" w14:textId="77777777" w:rsidTr="00680FB8">
        <w:tc>
          <w:tcPr>
            <w:tcW w:w="709" w:type="dxa"/>
          </w:tcPr>
          <w:p w14:paraId="67144EBF" w14:textId="0D595FFB" w:rsidR="00962BEB" w:rsidRPr="00972C0E" w:rsidRDefault="00BA7D72" w:rsidP="000F48FC">
            <w:pPr>
              <w:pStyle w:val="Betarp"/>
              <w:rPr>
                <w:rFonts w:ascii="Times New Roman" w:hAnsi="Times New Roman" w:cs="Times New Roman"/>
              </w:rPr>
            </w:pPr>
            <w:r>
              <w:rPr>
                <w:rFonts w:ascii="Times New Roman" w:hAnsi="Times New Roman" w:cs="Times New Roman"/>
              </w:rPr>
              <w:t>2</w:t>
            </w:r>
            <w:r w:rsidR="006E37CA">
              <w:rPr>
                <w:rFonts w:ascii="Times New Roman" w:hAnsi="Times New Roman" w:cs="Times New Roman"/>
              </w:rPr>
              <w:t>0</w:t>
            </w:r>
          </w:p>
        </w:tc>
        <w:tc>
          <w:tcPr>
            <w:tcW w:w="2552" w:type="dxa"/>
          </w:tcPr>
          <w:p w14:paraId="111DD719" w14:textId="77777777" w:rsidR="00962BEB" w:rsidRPr="00972C0E" w:rsidRDefault="00962BEB" w:rsidP="000F48FC">
            <w:pPr>
              <w:pStyle w:val="Betarp"/>
              <w:rPr>
                <w:rFonts w:ascii="Times New Roman" w:hAnsi="Times New Roman" w:cs="Times New Roman"/>
              </w:rPr>
            </w:pPr>
            <w:r w:rsidRPr="00972C0E">
              <w:rPr>
                <w:rFonts w:ascii="Times New Roman" w:hAnsi="Times New Roman" w:cs="Times New Roman"/>
                <w:b/>
              </w:rPr>
              <w:t>Lietuvos Respublikos krašto apsaugos ministerija</w:t>
            </w:r>
          </w:p>
        </w:tc>
        <w:tc>
          <w:tcPr>
            <w:tcW w:w="7654" w:type="dxa"/>
          </w:tcPr>
          <w:p w14:paraId="40D1882A" w14:textId="77777777" w:rsidR="00962BEB" w:rsidRPr="00972C0E" w:rsidRDefault="00962BEB" w:rsidP="000F48FC">
            <w:pPr>
              <w:pStyle w:val="Betarp"/>
              <w:jc w:val="both"/>
              <w:rPr>
                <w:rFonts w:ascii="Times New Roman" w:hAnsi="Times New Roman" w:cs="Times New Roman"/>
              </w:rPr>
            </w:pPr>
            <w:r w:rsidRPr="00972C0E">
              <w:rPr>
                <w:rFonts w:ascii="Times New Roman" w:hAnsi="Times New Roman" w:cs="Times New Roman"/>
                <w:lang w:val="en-GB"/>
              </w:rPr>
              <w:t>1.</w:t>
            </w:r>
            <w:r w:rsidRPr="00972C0E">
              <w:rPr>
                <w:rFonts w:ascii="Times New Roman" w:hAnsi="Times New Roman" w:cs="Times New Roman"/>
              </w:rPr>
              <w:t xml:space="preserve"> Siūlome SVĮ projekte apibrėžti strategijos sąvoką, nes nėra vieno visuotinai taikomo apibrėžimo, o įgyvendinant SVĮ įstatymą tokios sąvokos neapibrėžtumas gali lemti skirtingą SVĮ taikymą. Siūlytume strategiją apibrėžti kaip svarbiausių valstybės raidą apibrėžiančių politinių nuostatų visumą.</w:t>
            </w:r>
          </w:p>
          <w:p w14:paraId="416181EF" w14:textId="77777777" w:rsidR="00962BEB" w:rsidRPr="00972C0E" w:rsidRDefault="00962BEB" w:rsidP="000F48FC">
            <w:pPr>
              <w:pStyle w:val="Betarp"/>
              <w:jc w:val="both"/>
              <w:rPr>
                <w:rFonts w:ascii="Times New Roman" w:hAnsi="Times New Roman" w:cs="Times New Roman"/>
              </w:rPr>
            </w:pPr>
            <w:r w:rsidRPr="00972C0E">
              <w:rPr>
                <w:rFonts w:ascii="Times New Roman" w:hAnsi="Times New Roman" w:cs="Times New Roman"/>
              </w:rPr>
              <w:t xml:space="preserve">10. Atsižvelgdami į šio rašto 3 punkte išdėstytus argumentus, siūlome atitinkamai patikslinti SVĮ projekto 13 straipsnio pavadinimą, papildant jį žodžiais „valstybės strategijų“, ir visą 13 straipsnio pavadinimą išdėstyti taip: </w:t>
            </w:r>
          </w:p>
          <w:p w14:paraId="54C27D06" w14:textId="77777777" w:rsidR="00962BEB" w:rsidRPr="00972C0E" w:rsidRDefault="00962BEB" w:rsidP="000F48FC">
            <w:pPr>
              <w:pStyle w:val="Betarp"/>
              <w:jc w:val="both"/>
              <w:rPr>
                <w:rFonts w:ascii="Times New Roman" w:hAnsi="Times New Roman" w:cs="Times New Roman"/>
              </w:rPr>
            </w:pPr>
            <w:r w:rsidRPr="00972C0E">
              <w:rPr>
                <w:rFonts w:ascii="Times New Roman" w:hAnsi="Times New Roman" w:cs="Times New Roman"/>
              </w:rPr>
              <w:t>„13 straipsnis. Valstybės strategijų ir strateginio lygmens planavimo dokumentų rengimas, tvirtinimas, įgyvendinimas, pažangos stebėsena, pažangos vertinimas ir atsiskaitymas už pasiektą pažangą.“</w:t>
            </w:r>
          </w:p>
        </w:tc>
        <w:tc>
          <w:tcPr>
            <w:tcW w:w="4111" w:type="dxa"/>
          </w:tcPr>
          <w:p w14:paraId="444328CB" w14:textId="77777777" w:rsidR="00962BEB" w:rsidRPr="00972C0E" w:rsidRDefault="00962BEB" w:rsidP="000F48FC">
            <w:pPr>
              <w:pStyle w:val="Betarp"/>
              <w:jc w:val="both"/>
              <w:rPr>
                <w:rFonts w:ascii="Times New Roman" w:hAnsi="Times New Roman" w:cs="Times New Roman"/>
              </w:rPr>
            </w:pPr>
            <w:r w:rsidRPr="00972C0E">
              <w:rPr>
                <w:rFonts w:ascii="Times New Roman" w:hAnsi="Times New Roman" w:cs="Times New Roman"/>
                <w:b/>
              </w:rPr>
              <w:t>Neatsižvelgta</w:t>
            </w:r>
            <w:r w:rsidRPr="00972C0E">
              <w:rPr>
                <w:rFonts w:ascii="Times New Roman" w:hAnsi="Times New Roman" w:cs="Times New Roman"/>
              </w:rPr>
              <w:t xml:space="preserve">. Manome, kad tokios sąvokos įvedimas būtų netikslingas, nes SVĮ projekto 6 str. nurodytos konkrečios dvi strategijos, laikomos strateginio valdymo planavimo dokumentais. </w:t>
            </w:r>
          </w:p>
        </w:tc>
      </w:tr>
      <w:tr w:rsidR="00962BEB" w:rsidRPr="00972C0E" w14:paraId="1EB85F40" w14:textId="77777777" w:rsidTr="00680FB8">
        <w:tc>
          <w:tcPr>
            <w:tcW w:w="709" w:type="dxa"/>
          </w:tcPr>
          <w:p w14:paraId="6CC03520" w14:textId="49A7A292" w:rsidR="00962BEB" w:rsidRPr="00972C0E" w:rsidRDefault="00BA7D72" w:rsidP="000F48FC">
            <w:pPr>
              <w:pStyle w:val="Betarp"/>
              <w:rPr>
                <w:rFonts w:ascii="Times New Roman" w:hAnsi="Times New Roman" w:cs="Times New Roman"/>
              </w:rPr>
            </w:pPr>
            <w:r>
              <w:rPr>
                <w:rFonts w:ascii="Times New Roman" w:hAnsi="Times New Roman" w:cs="Times New Roman"/>
              </w:rPr>
              <w:t>2</w:t>
            </w:r>
            <w:r w:rsidR="006E37CA">
              <w:rPr>
                <w:rFonts w:ascii="Times New Roman" w:hAnsi="Times New Roman" w:cs="Times New Roman"/>
              </w:rPr>
              <w:t>1</w:t>
            </w:r>
          </w:p>
        </w:tc>
        <w:tc>
          <w:tcPr>
            <w:tcW w:w="2552" w:type="dxa"/>
          </w:tcPr>
          <w:p w14:paraId="24C30017" w14:textId="77777777" w:rsidR="00962BEB" w:rsidRPr="00972C0E" w:rsidRDefault="00962BEB" w:rsidP="000F48FC">
            <w:pPr>
              <w:pStyle w:val="Betarp"/>
              <w:rPr>
                <w:rFonts w:ascii="Times New Roman" w:hAnsi="Times New Roman" w:cs="Times New Roman"/>
                <w:b/>
              </w:rPr>
            </w:pPr>
          </w:p>
        </w:tc>
        <w:tc>
          <w:tcPr>
            <w:tcW w:w="7654" w:type="dxa"/>
          </w:tcPr>
          <w:p w14:paraId="67E748BF" w14:textId="77777777" w:rsidR="00962BEB" w:rsidRPr="00972C0E" w:rsidRDefault="00962BEB" w:rsidP="000F48FC">
            <w:pPr>
              <w:pStyle w:val="Sraopastraipa"/>
              <w:numPr>
                <w:ilvl w:val="0"/>
                <w:numId w:val="6"/>
              </w:numPr>
              <w:tabs>
                <w:tab w:val="left" w:pos="142"/>
                <w:tab w:val="left" w:pos="311"/>
              </w:tabs>
              <w:spacing w:after="0" w:line="240" w:lineRule="auto"/>
              <w:ind w:left="27" w:firstLine="0"/>
              <w:jc w:val="both"/>
              <w:rPr>
                <w:rFonts w:ascii="Times New Roman" w:eastAsia="Times New Roman" w:hAnsi="Times New Roman"/>
                <w:bCs/>
              </w:rPr>
            </w:pPr>
            <w:r w:rsidRPr="00972C0E">
              <w:rPr>
                <w:rFonts w:ascii="Times New Roman" w:hAnsi="Times New Roman"/>
              </w:rPr>
              <w:t>SVĮ projekto 6 straipsnyje Valstybės pažangos strategija (toliau – VPS) ir Nacionalinio saugumo strategija (toliau – NSS) yra priskirtos prie strateginio lygmens planavimo dokumentų. Tačiau „strateginio lygmens planavimo dokumentų“ sąvokos apibrėžimas, pateiktas SVĮ projekto 5 straipsnyje, taip pat ligšiolinė jų rengimo praktika, kuri paremta ir tarptautine patirtimi, rodo, kad šie dokumentai svarbesni, pagal hierarchiją aukščiau nei planavimo dokumentai. Juose formuluojamos valstybės saugumui ir darniai pažangai užtikrinti reikalingos prielaidos, įvardijamos politinės gairės, nuostatos bei siekiniai, t. y. sukuriama planavimo aplinka. Be to, skirtingai nei planavimo dokumentai, strategijos neturi baigtinių tikslų – kol  nėra esminių aplinkos pokyčių, laikytina, kad strategijų tikslai išlieka aktualūs, o  jų įgyvendinimas yra nuolatinis procesas. Todėl siūlytume SVĮ projekte VPS ir NSS atskirti nuo planavimo dokumentų sukuriant atskirą dokumentų kategoriją (žr. rašto 5 punktą).</w:t>
            </w:r>
          </w:p>
        </w:tc>
        <w:tc>
          <w:tcPr>
            <w:tcW w:w="4111" w:type="dxa"/>
          </w:tcPr>
          <w:p w14:paraId="2EDEB1C9" w14:textId="77777777" w:rsidR="00962BEB" w:rsidRPr="00972C0E" w:rsidRDefault="00962BEB" w:rsidP="000F48FC">
            <w:pPr>
              <w:pStyle w:val="Betarp"/>
              <w:jc w:val="both"/>
              <w:rPr>
                <w:rFonts w:ascii="Times New Roman" w:hAnsi="Times New Roman" w:cs="Times New Roman"/>
              </w:rPr>
            </w:pPr>
            <w:r w:rsidRPr="00972C0E">
              <w:rPr>
                <w:rFonts w:ascii="Times New Roman" w:hAnsi="Times New Roman" w:cs="Times New Roman"/>
                <w:b/>
              </w:rPr>
              <w:t>Neatsižvelgta.</w:t>
            </w:r>
            <w:r w:rsidRPr="00972C0E">
              <w:rPr>
                <w:rFonts w:ascii="Times New Roman" w:hAnsi="Times New Roman" w:cs="Times New Roman"/>
              </w:rPr>
              <w:t xml:space="preserve"> Manome, kad strategija yra planavimo dokumentas, turintis savyje visus planavimo dokumento elementus – analizę, viziją, prioritetus, ilgalaikius ir vidutinės trukmės tikslus, poveikio rodiklius. Bet kokia strategija yra politinis dokumentas, tačiau tuo pačiu ir svarbus strateginio lygmens planavimo dokumentas. </w:t>
            </w:r>
          </w:p>
          <w:p w14:paraId="3057432A" w14:textId="77777777" w:rsidR="00962BEB" w:rsidRPr="00972C0E" w:rsidRDefault="00962BEB" w:rsidP="000F48FC">
            <w:pPr>
              <w:pStyle w:val="Betarp"/>
              <w:jc w:val="both"/>
              <w:rPr>
                <w:rFonts w:ascii="Times New Roman" w:hAnsi="Times New Roman" w:cs="Times New Roman"/>
              </w:rPr>
            </w:pPr>
            <w:r w:rsidRPr="00972C0E">
              <w:rPr>
                <w:rFonts w:ascii="Times New Roman" w:hAnsi="Times New Roman" w:cs="Times New Roman"/>
              </w:rPr>
              <w:t>Iškėlus jį virš sistemos, manome kad tai vėl būtų neįgyvendinamų ir į kitus strateginio lygmens ir programavimo lygmens dokumentus neperkeliamas nuostatų rinkinys,</w:t>
            </w:r>
          </w:p>
        </w:tc>
      </w:tr>
      <w:tr w:rsidR="00962BEB" w:rsidRPr="00972C0E" w14:paraId="784B030F" w14:textId="77777777" w:rsidTr="00680FB8">
        <w:tc>
          <w:tcPr>
            <w:tcW w:w="709" w:type="dxa"/>
          </w:tcPr>
          <w:p w14:paraId="222AEE8C" w14:textId="11C8E29F" w:rsidR="00962BEB" w:rsidRPr="00972C0E" w:rsidRDefault="00962BEB" w:rsidP="000F48FC">
            <w:pPr>
              <w:pStyle w:val="Betarp"/>
              <w:rPr>
                <w:rFonts w:ascii="Times New Roman" w:hAnsi="Times New Roman" w:cs="Times New Roman"/>
              </w:rPr>
            </w:pPr>
            <w:r w:rsidRPr="00972C0E">
              <w:rPr>
                <w:rFonts w:ascii="Times New Roman" w:hAnsi="Times New Roman" w:cs="Times New Roman"/>
              </w:rPr>
              <w:t>2</w:t>
            </w:r>
            <w:r w:rsidR="006E37CA">
              <w:rPr>
                <w:rFonts w:ascii="Times New Roman" w:hAnsi="Times New Roman" w:cs="Times New Roman"/>
              </w:rPr>
              <w:t>2</w:t>
            </w:r>
          </w:p>
        </w:tc>
        <w:tc>
          <w:tcPr>
            <w:tcW w:w="2552" w:type="dxa"/>
          </w:tcPr>
          <w:p w14:paraId="640E3198" w14:textId="77777777" w:rsidR="00962BEB" w:rsidRPr="00972C0E" w:rsidRDefault="00962BEB" w:rsidP="000F48FC">
            <w:pPr>
              <w:pStyle w:val="Betarp"/>
              <w:rPr>
                <w:rFonts w:ascii="Times New Roman" w:hAnsi="Times New Roman" w:cs="Times New Roman"/>
                <w:b/>
              </w:rPr>
            </w:pPr>
          </w:p>
        </w:tc>
        <w:tc>
          <w:tcPr>
            <w:tcW w:w="7654" w:type="dxa"/>
          </w:tcPr>
          <w:p w14:paraId="0F919207" w14:textId="77777777" w:rsidR="00962BEB" w:rsidRPr="00972C0E" w:rsidRDefault="00962BEB" w:rsidP="000F48FC">
            <w:pPr>
              <w:pStyle w:val="Betarp"/>
              <w:jc w:val="both"/>
              <w:rPr>
                <w:rFonts w:ascii="Times New Roman" w:hAnsi="Times New Roman" w:cs="Times New Roman"/>
              </w:rPr>
            </w:pPr>
            <w:r w:rsidRPr="00972C0E">
              <w:rPr>
                <w:rFonts w:ascii="Times New Roman" w:hAnsi="Times New Roman" w:cs="Times New Roman"/>
              </w:rPr>
              <w:t xml:space="preserve">14. Lietuvos Respublikos biudžeto sandaros įstatymo Nr. I-430 2, 8, 17, 18, 32, 35 straipsnių pakeitimo ir įstatymo papildymo 141 straipsniu įstatymo projekto (toliau – BSĮ projektas )  3 straipsnio, kuriuo Biudžeto sandaros įstatymas (toliau – BSĮ) papildomas 141 straipsniu, 2 dalyje nurodoma, kad „&lt;...&gt; finansinių rodiklių </w:t>
            </w:r>
            <w:r w:rsidRPr="00972C0E">
              <w:rPr>
                <w:rFonts w:ascii="Times New Roman" w:hAnsi="Times New Roman" w:cs="Times New Roman"/>
              </w:rPr>
              <w:lastRenderedPageBreak/>
              <w:t>patvirtinimo įstatyme tvirtinami valstybės veiklos srityse siekiami pagrindiniai Nacionaliniame pažangos plane nustatyti pažangos uždaviniai, jų vertinimo rodikliai, artimiausio ankstesnio laikotarpio faktinės ir atitinkamais biudžetiniais metais siektinos rodiklių reikšmės &lt;...&gt;“. Siūlytume BSĮ numatyti sąvokas „artimiausias ankstesnis laikotarpis“ ir „artimiausio ankstesnio laikotarpio faktinė reikšmė“ ir jas paaiškinti.</w:t>
            </w:r>
          </w:p>
        </w:tc>
        <w:tc>
          <w:tcPr>
            <w:tcW w:w="4111" w:type="dxa"/>
          </w:tcPr>
          <w:p w14:paraId="5E9BC90B" w14:textId="77777777" w:rsidR="00962BEB" w:rsidRPr="00972C0E" w:rsidRDefault="00962BEB" w:rsidP="000F48FC">
            <w:pPr>
              <w:pStyle w:val="Betarp"/>
              <w:jc w:val="both"/>
              <w:rPr>
                <w:rFonts w:ascii="Times New Roman" w:hAnsi="Times New Roman" w:cs="Times New Roman"/>
                <w:b/>
              </w:rPr>
            </w:pPr>
            <w:r w:rsidRPr="00972C0E">
              <w:rPr>
                <w:rFonts w:ascii="Times New Roman" w:hAnsi="Times New Roman" w:cs="Times New Roman"/>
                <w:b/>
              </w:rPr>
              <w:lastRenderedPageBreak/>
              <w:t>Neatsižvelgta.</w:t>
            </w:r>
          </w:p>
          <w:p w14:paraId="197C952C" w14:textId="77777777" w:rsidR="00962BEB" w:rsidRPr="00972C0E" w:rsidRDefault="00962BEB" w:rsidP="00682C2A">
            <w:pPr>
              <w:pStyle w:val="Betarp"/>
              <w:jc w:val="both"/>
              <w:rPr>
                <w:rFonts w:ascii="Times New Roman" w:hAnsi="Times New Roman" w:cs="Times New Roman"/>
              </w:rPr>
            </w:pPr>
            <w:r w:rsidRPr="00972C0E">
              <w:rPr>
                <w:rFonts w:ascii="Times New Roman" w:hAnsi="Times New Roman" w:cs="Times New Roman"/>
              </w:rPr>
              <w:t xml:space="preserve">Šios nuostatos siūlomos atsižvelgiant į tai, kad ne visos rodiklių reikšmės bus perskaičiuojamos kasmet. Todėl tvirtinant </w:t>
            </w:r>
            <w:r w:rsidRPr="00972C0E">
              <w:rPr>
                <w:rFonts w:ascii="Times New Roman" w:hAnsi="Times New Roman" w:cs="Times New Roman"/>
              </w:rPr>
              <w:lastRenderedPageBreak/>
              <w:t>atitinkamų metų valstybės biudžeto ir savivaldybių biudžetų finansinių rodiklių patvirtinimo įstatymą ir nurodant aktualiausias Nacionaliniame pažangos plane nustatytų rodiklių reikšmes, gali susiklostyti situacija, kad naujausia turima apskaičiuota rodiklio reikšmė bus apskaičiuota daugiau nei prieš 1 metus.</w:t>
            </w:r>
          </w:p>
          <w:p w14:paraId="5B737B38" w14:textId="044E4EC5" w:rsidR="00962BEB" w:rsidRPr="00972C0E" w:rsidRDefault="00962BEB" w:rsidP="00682C2A">
            <w:pPr>
              <w:pStyle w:val="Betarp"/>
              <w:jc w:val="both"/>
              <w:rPr>
                <w:rFonts w:ascii="Times New Roman" w:hAnsi="Times New Roman" w:cs="Times New Roman"/>
              </w:rPr>
            </w:pPr>
            <w:r w:rsidRPr="00972C0E">
              <w:rPr>
                <w:rFonts w:ascii="Times New Roman" w:hAnsi="Times New Roman" w:cs="Times New Roman"/>
              </w:rPr>
              <w:t>Atsižvelgiant į tai, kad nuostatos yra</w:t>
            </w:r>
            <w:r w:rsidR="00682C2A">
              <w:rPr>
                <w:rFonts w:ascii="Times New Roman" w:hAnsi="Times New Roman" w:cs="Times New Roman"/>
              </w:rPr>
              <w:t xml:space="preserve"> </w:t>
            </w:r>
            <w:r w:rsidRPr="00972C0E">
              <w:rPr>
                <w:rFonts w:ascii="Times New Roman" w:hAnsi="Times New Roman" w:cs="Times New Roman"/>
              </w:rPr>
              <w:t>pakankamai aiškios, siūlome jų papildomai sąvokose nedetalizuoti.</w:t>
            </w:r>
          </w:p>
        </w:tc>
      </w:tr>
      <w:tr w:rsidR="00962BEB" w:rsidRPr="00972C0E" w14:paraId="7C26773C" w14:textId="77777777" w:rsidTr="00680FB8">
        <w:tc>
          <w:tcPr>
            <w:tcW w:w="709" w:type="dxa"/>
          </w:tcPr>
          <w:p w14:paraId="70C14FFB" w14:textId="4A738ABE" w:rsidR="00962BEB" w:rsidRPr="00972C0E" w:rsidRDefault="00962BEB" w:rsidP="000F48FC">
            <w:pPr>
              <w:pStyle w:val="Betarp"/>
              <w:rPr>
                <w:rFonts w:ascii="Times New Roman" w:hAnsi="Times New Roman" w:cs="Times New Roman"/>
              </w:rPr>
            </w:pPr>
            <w:r>
              <w:rPr>
                <w:rFonts w:ascii="Times New Roman" w:hAnsi="Times New Roman" w:cs="Times New Roman"/>
              </w:rPr>
              <w:lastRenderedPageBreak/>
              <w:t>2</w:t>
            </w:r>
            <w:r w:rsidR="006E37CA">
              <w:rPr>
                <w:rFonts w:ascii="Times New Roman" w:hAnsi="Times New Roman" w:cs="Times New Roman"/>
              </w:rPr>
              <w:t>3</w:t>
            </w:r>
          </w:p>
        </w:tc>
        <w:tc>
          <w:tcPr>
            <w:tcW w:w="2552" w:type="dxa"/>
          </w:tcPr>
          <w:p w14:paraId="43264200" w14:textId="77777777" w:rsidR="00962BEB" w:rsidRPr="00972C0E" w:rsidRDefault="00962BEB" w:rsidP="000F48FC">
            <w:pPr>
              <w:pStyle w:val="Betarp"/>
              <w:rPr>
                <w:rFonts w:ascii="Times New Roman" w:hAnsi="Times New Roman" w:cs="Times New Roman"/>
                <w:b/>
              </w:rPr>
            </w:pPr>
          </w:p>
        </w:tc>
        <w:tc>
          <w:tcPr>
            <w:tcW w:w="7654" w:type="dxa"/>
          </w:tcPr>
          <w:p w14:paraId="2DBED08B" w14:textId="77777777" w:rsidR="00962BEB" w:rsidRPr="00972C0E" w:rsidRDefault="00962BEB" w:rsidP="000F48FC">
            <w:pPr>
              <w:pStyle w:val="Betarp"/>
              <w:tabs>
                <w:tab w:val="left" w:pos="453"/>
              </w:tabs>
              <w:jc w:val="both"/>
              <w:rPr>
                <w:rFonts w:ascii="Times New Roman" w:hAnsi="Times New Roman" w:cs="Times New Roman"/>
              </w:rPr>
            </w:pPr>
            <w:r w:rsidRPr="00972C0E">
              <w:rPr>
                <w:rFonts w:ascii="Times New Roman" w:hAnsi="Times New Roman" w:cs="Times New Roman"/>
              </w:rPr>
              <w:t>17.</w:t>
            </w:r>
            <w:r w:rsidRPr="00972C0E">
              <w:rPr>
                <w:rFonts w:ascii="Times New Roman" w:hAnsi="Times New Roman" w:cs="Times New Roman"/>
              </w:rPr>
              <w:tab/>
              <w:t xml:space="preserve">Lietuvos Respublikos kibernetinio saugumo įstatymo Nr. XII-1428 2, 4, 5 ir 6 straipsnių pakeitimo įstatymo projekte (toliau – KSĮ projektas), atsižvelgiant į SVĮ projekto ir susijusių įstatymų pakeitimo projektų nuostatas, siūloma kibernetinio saugumo politikos strateginius tikslus ir pažangos uždavinius numatyti strateginio lygmens planavimo dokumente – Nacionaliniame pažangos plane, jie bus įgyvendinami per nacionalines plėtros programas. Nacionalinis pažangos planas, kaip nurodyta SVĮ projekto 6 straipsnio 5 punkte, yra „10 metų trukmės planavimo dokumentas, apimantis visas valstybės veiklos sritis, kuriame &lt;...&gt; nustatomi strateginiai tikslai, pažangos uždaviniai, &lt;...&gt; finansinės projekcijos“. Atkreipiame dėmesį, kad Lietuvos Respublikos Vyriausybės 2018 m. rugpjūčio 13 d. nutarimo Nr. 818 „Dėl Lietuvos Respublikos kibernetinio saugumo įstatymo įgyvendinimo“ preambulėje nurodytas minėtu nutarimu patvirtintos Nacionalinės kibernetinio saugumo strategijos teisinis pagrindas – Europos Parlamento ir Tarybos direktyva 2016/1148 „Dėl priemonių aukštam bendram tinklų ir informacinių sistemų saugumo lygiui visoje Sąjungoje užtikrinti“ (toliau – NIS direktyva). Atsižvelgiant į NIS direktyvos nuostatas, kurios įpareigojo visas Europos Sąjungos (toliau – ES) valstybes nares priimti nacionalines kibernetinio saugumo strategijas, numatyta Lietuvos kibernetinio saugumo strategijos įgyvendinimo trukmė – 5 metai. Šis terminas rekomenduojamas Europos tinklų ir informacinių sistemų saugumo agentūros (angl. ENISA) 2016 m. paskelbtame Nacionalinių kibernetinio saugumo strategijų gerosios praktikos vadove, Mykolo Romerio universiteto mokslininkų 2017 m. parengtame Lietuvos kibernetinio saugumo strategijos modelyje, kurio išvadomis ir siūlymais buvo remiamasi rengiant Nacionalinę kibernetinio saugumo strategiją, tai patvirtina kitų šalių gerosios praktikos pavyzdžiai (pvz., Olandijos, Didžiosios Britanijos, kt.). Tokiai Nacionalinės kibernetinio saugumo strategijos trukmei taip pat pritarė Kibernetinio saugumo taryba 2017 m. liepos 12 d. įvykusiame posėdyje. Šis terminas pasirinktas kaip optimalus tokio turinio strateginio planavimo dokumentui, nes kibernetinio saugumo sritis yra viena iš sparčiausiai besikeičiančių dėl besiplečiančių informacinių ir ryšių technologijų panaudojimo galimybių ir su tuo </w:t>
            </w:r>
            <w:r w:rsidRPr="00972C0E">
              <w:rPr>
                <w:rFonts w:ascii="Times New Roman" w:hAnsi="Times New Roman" w:cs="Times New Roman"/>
              </w:rPr>
              <w:lastRenderedPageBreak/>
              <w:t xml:space="preserve">susijusių kibernetinių grėsmių. Todėl manytume, kad KSĮ projekte įtvirtinti nuostatas, kad kibernetinio saugumo strateginiai tikslai ir uždaviniai būtų numatyti 10 metų trukmės Nacionaliniame pažangos plane, yra netikslinga, atsižvelgiant į dinamišką kibernetinio saugumo sritį ir naujai iškylančius iššūkius, į kuriuos būtina reaguoti naujais strateginiais tikslais ir uždaviniais. </w:t>
            </w:r>
          </w:p>
          <w:p w14:paraId="0C533679" w14:textId="77777777" w:rsidR="00962BEB" w:rsidRPr="00972C0E" w:rsidRDefault="00962BEB" w:rsidP="000F48FC">
            <w:pPr>
              <w:pStyle w:val="Betarp"/>
              <w:jc w:val="both"/>
              <w:rPr>
                <w:rFonts w:ascii="Times New Roman" w:hAnsi="Times New Roman" w:cs="Times New Roman"/>
              </w:rPr>
            </w:pPr>
            <w:r w:rsidRPr="00972C0E">
              <w:rPr>
                <w:rFonts w:ascii="Times New Roman" w:hAnsi="Times New Roman" w:cs="Times New Roman"/>
              </w:rPr>
              <w:t>Atsižvelgdami į tai, kas išdėstyta, į Nacionalinės kibernetinio saugumo strategijos svarbą Lietuvos valstybei ir įpareigojimą ES priimti nacionalinę kibernetinio saugumo strategiją, siūlome atsisakyti Lietuvos Respublikos kibernetinio saugumo įstatymo pakeitimų, kol bus įgyvendinta Lietuvos Respublikos Vyriausybės 2018 m. rugpjūčio 13 d. nutarimu Nr. 818 „Dėl Lietuvos Respublikos kibernetinio saugumo įstatymo įgyvendinimo“ 5 metams patvirtinta Nacionalinė kibernetinio saugumo strategija.</w:t>
            </w:r>
          </w:p>
        </w:tc>
        <w:tc>
          <w:tcPr>
            <w:tcW w:w="4111" w:type="dxa"/>
          </w:tcPr>
          <w:p w14:paraId="2B15BDFE" w14:textId="0799A848" w:rsidR="00962BEB" w:rsidRPr="00972C0E" w:rsidRDefault="003278B1" w:rsidP="000F48FC">
            <w:pPr>
              <w:pStyle w:val="Betarp"/>
              <w:jc w:val="both"/>
              <w:rPr>
                <w:rFonts w:ascii="Times New Roman" w:hAnsi="Times New Roman" w:cs="Times New Roman"/>
              </w:rPr>
            </w:pPr>
            <w:r>
              <w:rPr>
                <w:rFonts w:ascii="Times New Roman" w:hAnsi="Times New Roman" w:cs="Times New Roman"/>
              </w:rPr>
              <w:lastRenderedPageBreak/>
              <w:t xml:space="preserve">Atsižvelgta iš dalies. Į SVĮ projekto </w:t>
            </w:r>
            <w:r>
              <w:rPr>
                <w:rFonts w:ascii="Times New Roman" w:hAnsi="Times New Roman" w:cs="Times New Roman"/>
                <w:lang w:val="en-GB"/>
              </w:rPr>
              <w:t xml:space="preserve">16 </w:t>
            </w:r>
            <w:proofErr w:type="spellStart"/>
            <w:r>
              <w:rPr>
                <w:rFonts w:ascii="Times New Roman" w:hAnsi="Times New Roman" w:cs="Times New Roman"/>
                <w:lang w:val="en-GB"/>
              </w:rPr>
              <w:t>straipsnį</w:t>
            </w:r>
            <w:proofErr w:type="spellEnd"/>
            <w:r>
              <w:rPr>
                <w:rFonts w:ascii="Times New Roman" w:hAnsi="Times New Roman" w:cs="Times New Roman"/>
              </w:rPr>
              <w:t xml:space="preserve"> įtrauktos pereinamojo laikotarpio nuostatos, kuriomis siūloma palikti galioti visas strategijas iki </w:t>
            </w:r>
            <w:r>
              <w:rPr>
                <w:rFonts w:ascii="Times New Roman" w:hAnsi="Times New Roman" w:cs="Times New Roman"/>
                <w:lang w:val="en-GB"/>
              </w:rPr>
              <w:t>202</w:t>
            </w:r>
            <w:r w:rsidR="009B72A0">
              <w:rPr>
                <w:rFonts w:ascii="Times New Roman" w:hAnsi="Times New Roman" w:cs="Times New Roman"/>
                <w:lang w:val="en-GB"/>
              </w:rPr>
              <w:t>2</w:t>
            </w:r>
            <w:r>
              <w:rPr>
                <w:rFonts w:ascii="Times New Roman" w:hAnsi="Times New Roman" w:cs="Times New Roman"/>
                <w:lang w:val="en-GB"/>
              </w:rPr>
              <w:t xml:space="preserve"> met</w:t>
            </w:r>
            <w:r>
              <w:rPr>
                <w:rFonts w:ascii="Times New Roman" w:hAnsi="Times New Roman" w:cs="Times New Roman"/>
              </w:rPr>
              <w:t xml:space="preserve">ų </w:t>
            </w:r>
            <w:r w:rsidR="009B72A0">
              <w:rPr>
                <w:rFonts w:ascii="Times New Roman" w:hAnsi="Times New Roman" w:cs="Times New Roman"/>
              </w:rPr>
              <w:t xml:space="preserve">gruodžio </w:t>
            </w:r>
            <w:r w:rsidR="009B72A0">
              <w:rPr>
                <w:rFonts w:ascii="Times New Roman" w:hAnsi="Times New Roman" w:cs="Times New Roman"/>
                <w:lang w:val="en-GB"/>
              </w:rPr>
              <w:t xml:space="preserve">31 d. </w:t>
            </w:r>
            <w:r>
              <w:rPr>
                <w:rFonts w:ascii="Times New Roman" w:hAnsi="Times New Roman" w:cs="Times New Roman"/>
              </w:rPr>
              <w:t>kai bus patvirtinta Va</w:t>
            </w:r>
            <w:r w:rsidR="009B72A0">
              <w:rPr>
                <w:rFonts w:ascii="Times New Roman" w:hAnsi="Times New Roman" w:cs="Times New Roman"/>
              </w:rPr>
              <w:t>l</w:t>
            </w:r>
            <w:r>
              <w:rPr>
                <w:rFonts w:ascii="Times New Roman" w:hAnsi="Times New Roman" w:cs="Times New Roman"/>
              </w:rPr>
              <w:t>stybės pažangos strategija</w:t>
            </w:r>
            <w:r w:rsidR="009B72A0">
              <w:rPr>
                <w:rFonts w:ascii="Times New Roman" w:hAnsi="Times New Roman" w:cs="Times New Roman"/>
              </w:rPr>
              <w:t>.</w:t>
            </w:r>
            <w:r>
              <w:rPr>
                <w:rFonts w:ascii="Times New Roman" w:hAnsi="Times New Roman" w:cs="Times New Roman"/>
              </w:rPr>
              <w:t xml:space="preserve"> </w:t>
            </w:r>
          </w:p>
        </w:tc>
      </w:tr>
      <w:tr w:rsidR="00146C26" w:rsidRPr="00972C0E" w14:paraId="699FF57C" w14:textId="77777777" w:rsidTr="00680FB8">
        <w:tc>
          <w:tcPr>
            <w:tcW w:w="709" w:type="dxa"/>
          </w:tcPr>
          <w:p w14:paraId="6B945154" w14:textId="512A28A6" w:rsidR="00146C26" w:rsidRPr="00972C0E" w:rsidRDefault="00146C26" w:rsidP="000F48FC">
            <w:pPr>
              <w:pStyle w:val="Betarp"/>
              <w:rPr>
                <w:rFonts w:ascii="Times New Roman" w:hAnsi="Times New Roman" w:cs="Times New Roman"/>
              </w:rPr>
            </w:pPr>
            <w:r>
              <w:rPr>
                <w:rFonts w:ascii="Times New Roman" w:hAnsi="Times New Roman" w:cs="Times New Roman"/>
              </w:rPr>
              <w:t>2</w:t>
            </w:r>
            <w:r w:rsidR="006E37CA">
              <w:rPr>
                <w:rFonts w:ascii="Times New Roman" w:hAnsi="Times New Roman" w:cs="Times New Roman"/>
              </w:rPr>
              <w:t>4</w:t>
            </w:r>
          </w:p>
        </w:tc>
        <w:tc>
          <w:tcPr>
            <w:tcW w:w="2552" w:type="dxa"/>
          </w:tcPr>
          <w:p w14:paraId="3400F4CF" w14:textId="77777777" w:rsidR="00146C26" w:rsidRPr="00972C0E" w:rsidRDefault="00146C26" w:rsidP="000F48FC">
            <w:pPr>
              <w:pStyle w:val="Betarp"/>
              <w:rPr>
                <w:rFonts w:ascii="Times New Roman" w:hAnsi="Times New Roman" w:cs="Times New Roman"/>
                <w:b/>
              </w:rPr>
            </w:pPr>
            <w:r w:rsidRPr="00972C0E">
              <w:rPr>
                <w:rFonts w:ascii="Times New Roman" w:hAnsi="Times New Roman" w:cs="Times New Roman"/>
                <w:b/>
              </w:rPr>
              <w:t>Užsienio reikalų ministerija</w:t>
            </w:r>
          </w:p>
        </w:tc>
        <w:tc>
          <w:tcPr>
            <w:tcW w:w="7654" w:type="dxa"/>
          </w:tcPr>
          <w:p w14:paraId="23BC7541" w14:textId="77777777" w:rsidR="00146C26" w:rsidRPr="00972C0E" w:rsidRDefault="00146C26" w:rsidP="000F48FC">
            <w:pPr>
              <w:jc w:val="both"/>
              <w:rPr>
                <w:rFonts w:ascii="Times New Roman" w:hAnsi="Times New Roman" w:cs="Times New Roman"/>
              </w:rPr>
            </w:pPr>
            <w:r w:rsidRPr="00972C0E">
              <w:rPr>
                <w:rFonts w:ascii="Times New Roman" w:hAnsi="Times New Roman" w:cs="Times New Roman"/>
              </w:rPr>
              <w:t>Įstatymo projekto 10 straipsnį papildyti naujos redakcijos 4 dalimi, atitinkamai 4 dalį žymėti 5 dalimi:</w:t>
            </w:r>
          </w:p>
          <w:p w14:paraId="0FEB001B" w14:textId="77777777" w:rsidR="00146C26" w:rsidRPr="00972C0E" w:rsidRDefault="00146C26" w:rsidP="000F48FC">
            <w:pPr>
              <w:jc w:val="both"/>
              <w:rPr>
                <w:rFonts w:ascii="Times New Roman" w:hAnsi="Times New Roman" w:cs="Times New Roman"/>
              </w:rPr>
            </w:pPr>
            <w:r w:rsidRPr="00972C0E">
              <w:rPr>
                <w:rFonts w:ascii="Times New Roman" w:hAnsi="Times New Roman" w:cs="Times New Roman"/>
              </w:rPr>
              <w:t xml:space="preserve">,,4. Patikslinus finansines projekcijas turi būti peržiūrėti ir, esant poreikiui, patikslinti Nacionaliniame pažangos plane nustatyti strateginiai tikslai, pažangos uždaviniai ir rodikliai“.  </w:t>
            </w:r>
          </w:p>
        </w:tc>
        <w:tc>
          <w:tcPr>
            <w:tcW w:w="4111" w:type="dxa"/>
          </w:tcPr>
          <w:p w14:paraId="456FB5D8" w14:textId="6E45BC17" w:rsidR="00146C26" w:rsidRPr="00972C0E" w:rsidRDefault="00470E90" w:rsidP="00EE47A4">
            <w:pPr>
              <w:pStyle w:val="Betarp"/>
              <w:jc w:val="both"/>
              <w:rPr>
                <w:rFonts w:ascii="Times New Roman" w:hAnsi="Times New Roman" w:cs="Times New Roman"/>
              </w:rPr>
            </w:pPr>
            <w:r w:rsidRPr="00BC5B66">
              <w:rPr>
                <w:rFonts w:ascii="Times New Roman" w:hAnsi="Times New Roman" w:cs="Times New Roman"/>
                <w:b/>
              </w:rPr>
              <w:t>Neatsižvelgta.</w:t>
            </w:r>
            <w:r>
              <w:rPr>
                <w:rFonts w:ascii="Times New Roman" w:hAnsi="Times New Roman" w:cs="Times New Roman"/>
              </w:rPr>
              <w:t xml:space="preserve"> Nes NPP keitimo sąlygas nustatys Strateginio valdymo metodika.</w:t>
            </w:r>
          </w:p>
        </w:tc>
      </w:tr>
      <w:tr w:rsidR="00146C26" w:rsidRPr="00DF5D46" w14:paraId="43BA0AF6" w14:textId="77777777" w:rsidTr="00680FB8">
        <w:tc>
          <w:tcPr>
            <w:tcW w:w="709" w:type="dxa"/>
          </w:tcPr>
          <w:p w14:paraId="66CAC4B1" w14:textId="44070B79" w:rsidR="00146C26" w:rsidRPr="00972C0E" w:rsidRDefault="00146C26" w:rsidP="00146C26">
            <w:pPr>
              <w:pStyle w:val="Betarp"/>
              <w:rPr>
                <w:rFonts w:ascii="Times New Roman" w:hAnsi="Times New Roman" w:cs="Times New Roman"/>
              </w:rPr>
            </w:pPr>
            <w:r>
              <w:rPr>
                <w:rFonts w:ascii="Times New Roman" w:hAnsi="Times New Roman" w:cs="Times New Roman"/>
              </w:rPr>
              <w:t>2</w:t>
            </w:r>
            <w:r w:rsidR="006E37CA">
              <w:rPr>
                <w:rFonts w:ascii="Times New Roman" w:hAnsi="Times New Roman" w:cs="Times New Roman"/>
              </w:rPr>
              <w:t>5</w:t>
            </w:r>
          </w:p>
        </w:tc>
        <w:tc>
          <w:tcPr>
            <w:tcW w:w="2552" w:type="dxa"/>
          </w:tcPr>
          <w:p w14:paraId="0BE8A3E1" w14:textId="744B647B" w:rsidR="00146C26" w:rsidRPr="00972C0E" w:rsidRDefault="00146C26" w:rsidP="00146C26">
            <w:pPr>
              <w:pStyle w:val="Betarp"/>
              <w:rPr>
                <w:rFonts w:ascii="Times New Roman" w:hAnsi="Times New Roman" w:cs="Times New Roman"/>
                <w:b/>
              </w:rPr>
            </w:pPr>
            <w:r w:rsidRPr="00972C0E">
              <w:rPr>
                <w:rFonts w:ascii="Times New Roman" w:hAnsi="Times New Roman" w:cs="Times New Roman"/>
                <w:b/>
              </w:rPr>
              <w:t>Ekonomikos ir inovacijų ministerija</w:t>
            </w:r>
          </w:p>
        </w:tc>
        <w:tc>
          <w:tcPr>
            <w:tcW w:w="7654" w:type="dxa"/>
          </w:tcPr>
          <w:p w14:paraId="0B5AB04F" w14:textId="77777777" w:rsidR="00146C26" w:rsidRPr="00972C0E" w:rsidRDefault="00146C26" w:rsidP="00146C26">
            <w:pPr>
              <w:pStyle w:val="naisf"/>
              <w:spacing w:before="0" w:after="0"/>
              <w:ind w:firstLine="0"/>
              <w:rPr>
                <w:sz w:val="22"/>
                <w:szCs w:val="22"/>
              </w:rPr>
            </w:pPr>
            <w:r w:rsidRPr="00972C0E">
              <w:rPr>
                <w:b/>
                <w:sz w:val="22"/>
                <w:szCs w:val="22"/>
              </w:rPr>
              <w:t xml:space="preserve">6. 7 </w:t>
            </w:r>
            <w:r w:rsidRPr="00972C0E">
              <w:rPr>
                <w:sz w:val="22"/>
                <w:szCs w:val="22"/>
              </w:rPr>
              <w:t xml:space="preserve">str. nurodoma, kad „Viena nacionalinė plėtros programa gali būti rengiama ne daugiau kaip vienai valstybės veiklos sričiai”. </w:t>
            </w:r>
          </w:p>
          <w:p w14:paraId="76E39F97" w14:textId="312A7049" w:rsidR="00146C26" w:rsidRPr="00972C0E" w:rsidRDefault="00146C26" w:rsidP="00146C26">
            <w:pPr>
              <w:pStyle w:val="Betarp"/>
              <w:jc w:val="both"/>
              <w:rPr>
                <w:rFonts w:ascii="Times New Roman" w:hAnsi="Times New Roman" w:cs="Times New Roman"/>
              </w:rPr>
            </w:pPr>
            <w:r w:rsidRPr="00972C0E">
              <w:rPr>
                <w:rFonts w:ascii="Times New Roman" w:hAnsi="Times New Roman" w:cs="Times New Roman"/>
              </w:rPr>
              <w:t xml:space="preserve">Kadangi tikrai bus nacionalinių plėtros programų aktualių kelioms valstybės veiklos sritimis </w:t>
            </w:r>
            <w:r w:rsidRPr="00972C0E">
              <w:rPr>
                <w:rFonts w:ascii="Times New Roman" w:hAnsi="Times New Roman" w:cs="Times New Roman"/>
                <w:u w:val="single"/>
              </w:rPr>
              <w:t>siūlome šios nuostatos atsisakyti</w:t>
            </w:r>
            <w:r w:rsidRPr="00972C0E">
              <w:rPr>
                <w:rFonts w:ascii="Times New Roman" w:hAnsi="Times New Roman" w:cs="Times New Roman"/>
              </w:rPr>
              <w:t xml:space="preserve">. </w:t>
            </w:r>
          </w:p>
        </w:tc>
        <w:tc>
          <w:tcPr>
            <w:tcW w:w="4111" w:type="dxa"/>
          </w:tcPr>
          <w:p w14:paraId="7F150434" w14:textId="77777777" w:rsidR="00DF5D46" w:rsidRDefault="00146C26" w:rsidP="00146C26">
            <w:pPr>
              <w:pStyle w:val="Betarp"/>
              <w:rPr>
                <w:rFonts w:ascii="Times New Roman" w:hAnsi="Times New Roman" w:cs="Times New Roman"/>
                <w:b/>
              </w:rPr>
            </w:pPr>
            <w:r w:rsidRPr="00DF5D46">
              <w:rPr>
                <w:rFonts w:ascii="Times New Roman" w:hAnsi="Times New Roman" w:cs="Times New Roman"/>
                <w:b/>
              </w:rPr>
              <w:t>Neatsižvelgta.</w:t>
            </w:r>
            <w:r w:rsidR="0042080D" w:rsidRPr="00DF5D46">
              <w:rPr>
                <w:rFonts w:ascii="Times New Roman" w:hAnsi="Times New Roman" w:cs="Times New Roman"/>
                <w:b/>
              </w:rPr>
              <w:t xml:space="preserve"> </w:t>
            </w:r>
          </w:p>
          <w:p w14:paraId="156E4E2F" w14:textId="13CB735A" w:rsidR="00146C26" w:rsidRPr="00DF5D46" w:rsidRDefault="0042080D" w:rsidP="00146C26">
            <w:pPr>
              <w:pStyle w:val="Betarp"/>
              <w:rPr>
                <w:rFonts w:ascii="Times New Roman" w:hAnsi="Times New Roman" w:cs="Times New Roman"/>
              </w:rPr>
            </w:pPr>
            <w:r w:rsidRPr="00DF5D46">
              <w:rPr>
                <w:rFonts w:ascii="Times New Roman" w:hAnsi="Times New Roman" w:cs="Times New Roman"/>
              </w:rPr>
              <w:t xml:space="preserve">Žr. į  pastabos </w:t>
            </w:r>
            <w:r w:rsidR="00DF5D46">
              <w:rPr>
                <w:rFonts w:ascii="Times New Roman" w:hAnsi="Times New Roman" w:cs="Times New Roman"/>
                <w:lang w:val="en-GB"/>
              </w:rPr>
              <w:t xml:space="preserve">Nr. 4 </w:t>
            </w:r>
            <w:r w:rsidRPr="00DF5D46">
              <w:rPr>
                <w:rFonts w:ascii="Times New Roman" w:hAnsi="Times New Roman" w:cs="Times New Roman"/>
              </w:rPr>
              <w:t>komentarą</w:t>
            </w:r>
          </w:p>
        </w:tc>
      </w:tr>
      <w:tr w:rsidR="00146C26" w:rsidRPr="00972C0E" w14:paraId="442B0AA4" w14:textId="77777777" w:rsidTr="00680FB8">
        <w:tc>
          <w:tcPr>
            <w:tcW w:w="709" w:type="dxa"/>
          </w:tcPr>
          <w:p w14:paraId="3A6C54AA" w14:textId="622CA092" w:rsidR="00146C26" w:rsidRPr="00972C0E" w:rsidRDefault="00146C26" w:rsidP="00146C26">
            <w:pPr>
              <w:pStyle w:val="Betarp"/>
              <w:rPr>
                <w:rFonts w:ascii="Times New Roman" w:hAnsi="Times New Roman" w:cs="Times New Roman"/>
              </w:rPr>
            </w:pPr>
            <w:r>
              <w:rPr>
                <w:rFonts w:ascii="Times New Roman" w:hAnsi="Times New Roman" w:cs="Times New Roman"/>
              </w:rPr>
              <w:t>2</w:t>
            </w:r>
            <w:r w:rsidR="006E37CA">
              <w:rPr>
                <w:rFonts w:ascii="Times New Roman" w:hAnsi="Times New Roman" w:cs="Times New Roman"/>
              </w:rPr>
              <w:t>6</w:t>
            </w:r>
          </w:p>
        </w:tc>
        <w:tc>
          <w:tcPr>
            <w:tcW w:w="2552" w:type="dxa"/>
          </w:tcPr>
          <w:p w14:paraId="68F8E3CF" w14:textId="77777777" w:rsidR="00146C26" w:rsidRPr="00972C0E" w:rsidRDefault="00146C26" w:rsidP="00146C26">
            <w:pPr>
              <w:pStyle w:val="Betarp"/>
              <w:rPr>
                <w:rFonts w:ascii="Times New Roman" w:hAnsi="Times New Roman" w:cs="Times New Roman"/>
                <w:b/>
              </w:rPr>
            </w:pPr>
          </w:p>
        </w:tc>
        <w:tc>
          <w:tcPr>
            <w:tcW w:w="7654" w:type="dxa"/>
          </w:tcPr>
          <w:p w14:paraId="2F48652D" w14:textId="044D9E92" w:rsidR="00146C26" w:rsidRPr="00972C0E" w:rsidRDefault="00146C26" w:rsidP="00146C26">
            <w:pPr>
              <w:pStyle w:val="Betarp"/>
              <w:jc w:val="both"/>
              <w:rPr>
                <w:rFonts w:ascii="Times New Roman" w:hAnsi="Times New Roman" w:cs="Times New Roman"/>
              </w:rPr>
            </w:pPr>
            <w:r w:rsidRPr="00972C0E">
              <w:rPr>
                <w:rFonts w:ascii="Times New Roman" w:hAnsi="Times New Roman" w:cs="Times New Roman"/>
              </w:rPr>
              <w:t xml:space="preserve">7. </w:t>
            </w:r>
            <w:r w:rsidRPr="00972C0E">
              <w:rPr>
                <w:rFonts w:ascii="Times New Roman" w:hAnsi="Times New Roman" w:cs="Times New Roman"/>
                <w:u w:val="single"/>
              </w:rPr>
              <w:t>Siūlome papildyti</w:t>
            </w:r>
            <w:r w:rsidRPr="00972C0E">
              <w:rPr>
                <w:rFonts w:ascii="Times New Roman" w:hAnsi="Times New Roman" w:cs="Times New Roman"/>
              </w:rPr>
              <w:t xml:space="preserve"> SVĮ projekto 3 straips</w:t>
            </w:r>
            <w:r w:rsidR="00470E90">
              <w:rPr>
                <w:rFonts w:ascii="Times New Roman" w:hAnsi="Times New Roman" w:cs="Times New Roman"/>
              </w:rPr>
              <w:t>n</w:t>
            </w:r>
            <w:r w:rsidRPr="00972C0E">
              <w:rPr>
                <w:rFonts w:ascii="Times New Roman" w:hAnsi="Times New Roman" w:cs="Times New Roman"/>
              </w:rPr>
              <w:t>yje pateikiamos sąvokos „Strateginio valdymo dalyvis“ 3 dalį taip: „Strateginio valdymo sistemos dalyvis – subjektas, dalyvaujantis strateginio valdymo procesuose: 3) valstybės biudžeto asignavimų valdytojai ir įstaigos, kurių vadovai yra valstybės biudžeto asignavimų valdytojai, joms pavaldžios biudžetinės įstaigos ir kiti subjektai</w:t>
            </w:r>
            <w:r w:rsidRPr="00972C0E">
              <w:rPr>
                <w:rFonts w:ascii="Times New Roman" w:hAnsi="Times New Roman" w:cs="Times New Roman"/>
                <w:color w:val="000000"/>
              </w:rPr>
              <w:t>, kuriems galimybė biudžeto lėšas gauti numatyta jų veiklos sritį reglamentuojančiuose įstatymuose arba Vyriausybės nutarimuose, priimtuose vadovaujantis tiesiogiai taikomais Europos Sąjungos teisės aktais ir tarptautinėmis sutartimis, nustatančiais Europos Sąjungos ar atskirų valstybių finansinės paramos, teikiamos Lietuvai, administravimo tvarką,</w:t>
            </w:r>
            <w:r w:rsidRPr="00972C0E">
              <w:rPr>
                <w:rFonts w:ascii="Times New Roman" w:hAnsi="Times New Roman" w:cs="Times New Roman"/>
                <w:spacing w:val="-2"/>
              </w:rPr>
              <w:t xml:space="preserve"> programoms vykdyti”. </w:t>
            </w:r>
            <w:r w:rsidRPr="00972C0E">
              <w:rPr>
                <w:rFonts w:ascii="Times New Roman" w:hAnsi="Times New Roman" w:cs="Times New Roman"/>
                <w:color w:val="000000"/>
                <w:spacing w:val="-2"/>
              </w:rPr>
              <w:t>Taip būtų užtikrinta dermė su Lietuvos Respublikos biudžeto sandaros įstatymu.</w:t>
            </w:r>
          </w:p>
        </w:tc>
        <w:tc>
          <w:tcPr>
            <w:tcW w:w="4111" w:type="dxa"/>
          </w:tcPr>
          <w:p w14:paraId="075E352F" w14:textId="53CFF718" w:rsidR="00146C26" w:rsidRPr="00470E90" w:rsidRDefault="00470E90" w:rsidP="00470E90">
            <w:pPr>
              <w:pStyle w:val="Betarp"/>
              <w:jc w:val="both"/>
              <w:rPr>
                <w:rFonts w:ascii="Times New Roman" w:hAnsi="Times New Roman" w:cs="Times New Roman"/>
              </w:rPr>
            </w:pPr>
            <w:r w:rsidRPr="002126B7">
              <w:rPr>
                <w:rFonts w:ascii="Times New Roman" w:hAnsi="Times New Roman" w:cs="Times New Roman"/>
                <w:b/>
              </w:rPr>
              <w:t>Neatsižvelgta.</w:t>
            </w:r>
            <w:r w:rsidRPr="00470E90">
              <w:rPr>
                <w:rFonts w:ascii="Times New Roman" w:hAnsi="Times New Roman" w:cs="Times New Roman"/>
              </w:rPr>
              <w:t xml:space="preserve"> SVĮ projekte pastaboje minimos įstaigos ir subjektai patenka į 17 straipsnio 7 punkto 11 papunkčio nuostatą „juridiniai ir fiziniai asmenys, vykdantys projektus, skirtus pažangos priemonėms įgyvendinti, ir (arba) tęstines veiklos priemones.“</w:t>
            </w:r>
          </w:p>
        </w:tc>
      </w:tr>
      <w:tr w:rsidR="00146C26" w:rsidRPr="00972C0E" w14:paraId="540006CB" w14:textId="77777777" w:rsidTr="00680FB8">
        <w:tc>
          <w:tcPr>
            <w:tcW w:w="709" w:type="dxa"/>
          </w:tcPr>
          <w:p w14:paraId="18EBAE14" w14:textId="1B121BC3" w:rsidR="00146C26" w:rsidRPr="00972C0E" w:rsidRDefault="006E37CA" w:rsidP="00146C26">
            <w:pPr>
              <w:pStyle w:val="Betarp"/>
              <w:rPr>
                <w:rFonts w:ascii="Times New Roman" w:hAnsi="Times New Roman" w:cs="Times New Roman"/>
              </w:rPr>
            </w:pPr>
            <w:r>
              <w:rPr>
                <w:rFonts w:ascii="Times New Roman" w:hAnsi="Times New Roman" w:cs="Times New Roman"/>
              </w:rPr>
              <w:t>27</w:t>
            </w:r>
          </w:p>
        </w:tc>
        <w:tc>
          <w:tcPr>
            <w:tcW w:w="2552" w:type="dxa"/>
          </w:tcPr>
          <w:p w14:paraId="2482061E" w14:textId="77777777" w:rsidR="00146C26" w:rsidRPr="00972C0E" w:rsidRDefault="00146C26" w:rsidP="00146C26">
            <w:pPr>
              <w:pStyle w:val="Betarp"/>
              <w:rPr>
                <w:rFonts w:ascii="Times New Roman" w:hAnsi="Times New Roman" w:cs="Times New Roman"/>
                <w:b/>
              </w:rPr>
            </w:pPr>
          </w:p>
        </w:tc>
        <w:tc>
          <w:tcPr>
            <w:tcW w:w="7654" w:type="dxa"/>
          </w:tcPr>
          <w:p w14:paraId="0D96156A" w14:textId="77777777" w:rsidR="00146C26" w:rsidRPr="00972C0E" w:rsidRDefault="00146C26" w:rsidP="00146C26">
            <w:pPr>
              <w:pStyle w:val="naispant"/>
              <w:tabs>
                <w:tab w:val="left" w:pos="1134"/>
              </w:tabs>
              <w:spacing w:before="0" w:after="0"/>
              <w:ind w:left="0" w:firstLine="0"/>
              <w:rPr>
                <w:b w:val="0"/>
                <w:sz w:val="22"/>
                <w:szCs w:val="22"/>
                <w:lang w:val="lt-LT"/>
              </w:rPr>
            </w:pPr>
            <w:r w:rsidRPr="00972C0E">
              <w:rPr>
                <w:sz w:val="22"/>
                <w:szCs w:val="22"/>
                <w:lang w:val="lt-LT"/>
              </w:rPr>
              <w:t>8.</w:t>
            </w:r>
            <w:r w:rsidRPr="00972C0E">
              <w:rPr>
                <w:b w:val="0"/>
                <w:sz w:val="22"/>
                <w:szCs w:val="22"/>
                <w:lang w:val="lt-LT"/>
              </w:rPr>
              <w:t xml:space="preserve"> </w:t>
            </w:r>
            <w:r w:rsidRPr="00972C0E">
              <w:rPr>
                <w:b w:val="0"/>
                <w:sz w:val="22"/>
                <w:szCs w:val="22"/>
                <w:u w:val="single"/>
                <w:lang w:val="lt-LT"/>
              </w:rPr>
              <w:t>Siūlome keisti</w:t>
            </w:r>
            <w:r w:rsidRPr="00972C0E">
              <w:rPr>
                <w:b w:val="0"/>
                <w:sz w:val="22"/>
                <w:szCs w:val="22"/>
                <w:lang w:val="lt-LT"/>
              </w:rPr>
              <w:t xml:space="preserve"> 8 straipsnio tekstą į:</w:t>
            </w:r>
          </w:p>
          <w:p w14:paraId="51C045E5" w14:textId="77777777" w:rsidR="00146C26" w:rsidRPr="00972C0E" w:rsidRDefault="00146C26" w:rsidP="00146C26">
            <w:pPr>
              <w:pStyle w:val="naispant"/>
              <w:tabs>
                <w:tab w:val="left" w:pos="1134"/>
              </w:tabs>
              <w:spacing w:before="0" w:after="0"/>
              <w:ind w:left="0" w:firstLine="0"/>
              <w:rPr>
                <w:b w:val="0"/>
                <w:sz w:val="22"/>
                <w:szCs w:val="22"/>
                <w:lang w:eastAsia="lt-LT"/>
              </w:rPr>
            </w:pPr>
            <w:r w:rsidRPr="00972C0E">
              <w:rPr>
                <w:b w:val="0"/>
                <w:sz w:val="22"/>
                <w:szCs w:val="22"/>
                <w:lang w:val="lt-LT"/>
              </w:rPr>
              <w:t>- „</w:t>
            </w:r>
            <w:r w:rsidRPr="00972C0E">
              <w:rPr>
                <w:b w:val="0"/>
                <w:sz w:val="22"/>
                <w:szCs w:val="22"/>
                <w:lang w:eastAsia="lt-LT"/>
              </w:rPr>
              <w:t>1)</w:t>
            </w:r>
            <w:r w:rsidRPr="00972C0E">
              <w:rPr>
                <w:b w:val="0"/>
                <w:i/>
                <w:sz w:val="22"/>
                <w:szCs w:val="22"/>
                <w:lang w:eastAsia="lt-LT"/>
              </w:rPr>
              <w:t xml:space="preserve"> </w:t>
            </w:r>
            <w:bookmarkStart w:id="1" w:name="_Hlk8132398"/>
            <w:r w:rsidRPr="00972C0E">
              <w:rPr>
                <w:b w:val="0"/>
                <w:i/>
                <w:sz w:val="22"/>
                <w:szCs w:val="22"/>
                <w:lang w:eastAsia="lt-LT"/>
              </w:rPr>
              <w:t>strateginiai veiklos planai</w:t>
            </w:r>
            <w:r w:rsidRPr="00972C0E">
              <w:rPr>
                <w:b w:val="0"/>
                <w:sz w:val="22"/>
                <w:szCs w:val="22"/>
                <w:lang w:eastAsia="lt-LT"/>
              </w:rPr>
              <w:t xml:space="preserve"> – 3 metų trukmės planavimo dokumentai, kuriuose</w:t>
            </w:r>
            <w:bookmarkEnd w:id="1"/>
            <w:r w:rsidRPr="00972C0E">
              <w:rPr>
                <w:b w:val="0"/>
                <w:sz w:val="22"/>
                <w:szCs w:val="22"/>
                <w:lang w:eastAsia="lt-LT"/>
              </w:rPr>
              <w:t xml:space="preserve"> suplanuojamos valstybės ir </w:t>
            </w:r>
            <w:r w:rsidRPr="00972C0E">
              <w:rPr>
                <w:sz w:val="22"/>
                <w:szCs w:val="22"/>
                <w:lang w:eastAsia="lt-LT"/>
              </w:rPr>
              <w:t>(ar)</w:t>
            </w:r>
            <w:r w:rsidRPr="00972C0E">
              <w:rPr>
                <w:b w:val="0"/>
                <w:sz w:val="22"/>
                <w:szCs w:val="22"/>
                <w:lang w:eastAsia="lt-LT"/>
              </w:rPr>
              <w:t xml:space="preserve"> savivaldybių biudžetų asignavimų valdytojų programos. Šiose programose planuojami 3 metų asignavimai, skirti nacionalinėse plėtros programose arba regionų plėtros planuose nustatytoms pažangos priemonėms </w:t>
            </w:r>
            <w:r w:rsidRPr="00972C0E">
              <w:rPr>
                <w:b w:val="0"/>
                <w:strike/>
                <w:sz w:val="22"/>
                <w:szCs w:val="22"/>
                <w:lang w:eastAsia="lt-LT"/>
              </w:rPr>
              <w:t>ir (arba) projektams</w:t>
            </w:r>
            <w:r w:rsidRPr="00972C0E">
              <w:rPr>
                <w:b w:val="0"/>
                <w:sz w:val="22"/>
                <w:szCs w:val="22"/>
                <w:lang w:eastAsia="lt-LT"/>
              </w:rPr>
              <w:t xml:space="preserve"> įgyvendinti, prireikus – detalizuojant jų įgyvendinimą ir siekiamus rezultatus, ir (arba) nurodomi tęstinės veiklos uždaviniai, tęstinės veiklos </w:t>
            </w:r>
            <w:r w:rsidRPr="00972C0E">
              <w:rPr>
                <w:b w:val="0"/>
                <w:sz w:val="22"/>
                <w:szCs w:val="22"/>
                <w:lang w:eastAsia="lt-LT"/>
              </w:rPr>
              <w:lastRenderedPageBreak/>
              <w:t xml:space="preserve">priemonės ir joms planuojami 3 metų asignavimai, nustatomi </w:t>
            </w:r>
            <w:r w:rsidRPr="00972C0E">
              <w:rPr>
                <w:b w:val="0"/>
                <w:strike/>
                <w:sz w:val="22"/>
                <w:szCs w:val="22"/>
                <w:lang w:eastAsia="lt-LT"/>
              </w:rPr>
              <w:t>rezultato, produkto ir (arba) veiklos efektyvumo</w:t>
            </w:r>
            <w:r w:rsidRPr="00972C0E">
              <w:rPr>
                <w:b w:val="0"/>
                <w:sz w:val="22"/>
                <w:szCs w:val="22"/>
                <w:lang w:eastAsia="lt-LT"/>
              </w:rPr>
              <w:t xml:space="preserve"> </w:t>
            </w:r>
            <w:r w:rsidRPr="00972C0E">
              <w:rPr>
                <w:sz w:val="22"/>
                <w:szCs w:val="22"/>
                <w:lang w:eastAsia="lt-LT"/>
              </w:rPr>
              <w:t>vertinimo</w:t>
            </w:r>
            <w:r w:rsidRPr="00972C0E">
              <w:rPr>
                <w:b w:val="0"/>
                <w:sz w:val="22"/>
                <w:szCs w:val="22"/>
                <w:lang w:eastAsia="lt-LT"/>
              </w:rPr>
              <w:t xml:space="preserve"> rodikliai; </w:t>
            </w:r>
          </w:p>
          <w:p w14:paraId="2B316000" w14:textId="5846397B" w:rsidR="00146C26" w:rsidRPr="00972C0E" w:rsidRDefault="00146C26" w:rsidP="00146C26">
            <w:pPr>
              <w:pStyle w:val="Betarp"/>
              <w:jc w:val="both"/>
              <w:rPr>
                <w:rFonts w:ascii="Times New Roman" w:hAnsi="Times New Roman" w:cs="Times New Roman"/>
              </w:rPr>
            </w:pPr>
            <w:r w:rsidRPr="00972C0E">
              <w:rPr>
                <w:rFonts w:ascii="Times New Roman" w:hAnsi="Times New Roman" w:cs="Times New Roman"/>
                <w:lang w:eastAsia="lt-LT"/>
              </w:rPr>
              <w:t>2)</w:t>
            </w:r>
            <w:r w:rsidRPr="00972C0E">
              <w:rPr>
                <w:rFonts w:ascii="Times New Roman" w:hAnsi="Times New Roman" w:cs="Times New Roman"/>
                <w:i/>
                <w:lang w:eastAsia="lt-LT"/>
              </w:rPr>
              <w:t xml:space="preserve"> veiksmų planai</w:t>
            </w:r>
            <w:r w:rsidRPr="00972C0E">
              <w:rPr>
                <w:rFonts w:ascii="Times New Roman" w:hAnsi="Times New Roman" w:cs="Times New Roman"/>
                <w:lang w:eastAsia="lt-LT"/>
              </w:rPr>
              <w:t xml:space="preserve"> – įvairaus laikotarpio planavimo dokumentai, rengiami remiantis atskirų strateginio valdymo dalyvių veiklą reglamentuojančiais įstatymais arba prireikus nustatyti vieno ar kelių valstybės biudžeto asignavimų valdytojų veiksmus, skirtus pažangos ir (arba) tęstinių priemonių, nustatytų strateginiuose veiklos planuose, </w:t>
            </w:r>
            <w:r w:rsidRPr="00972C0E">
              <w:rPr>
                <w:rFonts w:ascii="Times New Roman" w:hAnsi="Times New Roman" w:cs="Times New Roman"/>
                <w:strike/>
                <w:lang w:eastAsia="lt-LT"/>
              </w:rPr>
              <w:t>projektų</w:t>
            </w:r>
            <w:r w:rsidRPr="00972C0E">
              <w:rPr>
                <w:rFonts w:ascii="Times New Roman" w:hAnsi="Times New Roman" w:cs="Times New Roman"/>
                <w:lang w:eastAsia="lt-LT"/>
              </w:rPr>
              <w:t xml:space="preserve"> ir (arba) kitų susijusių įsipareigojimų įgyvendinimui detaliau suplanuoti.“.</w:t>
            </w:r>
          </w:p>
        </w:tc>
        <w:tc>
          <w:tcPr>
            <w:tcW w:w="4111" w:type="dxa"/>
          </w:tcPr>
          <w:p w14:paraId="203CB532" w14:textId="191814FA" w:rsidR="00146C26" w:rsidRPr="00972C0E" w:rsidRDefault="00146C26" w:rsidP="005E4FE3">
            <w:pPr>
              <w:pStyle w:val="Betarp"/>
              <w:jc w:val="both"/>
              <w:rPr>
                <w:rFonts w:ascii="Times New Roman" w:hAnsi="Times New Roman" w:cs="Times New Roman"/>
              </w:rPr>
            </w:pPr>
            <w:r w:rsidRPr="00972C0E">
              <w:rPr>
                <w:rFonts w:ascii="Times New Roman" w:hAnsi="Times New Roman" w:cs="Times New Roman"/>
                <w:b/>
              </w:rPr>
              <w:lastRenderedPageBreak/>
              <w:t>Neatsižvelgta,</w:t>
            </w:r>
            <w:r w:rsidRPr="00972C0E">
              <w:rPr>
                <w:rFonts w:ascii="Times New Roman" w:hAnsi="Times New Roman" w:cs="Times New Roman"/>
              </w:rPr>
              <w:t xml:space="preserve"> nes strateginių veiklos planų ir veiksmų planų apibrėžimas turi būti tinkamas visiems asignavimų valdytojams, ne tik ministerijoms, o ne visi asignavimų valdytojai bus pažangos priemonių vykdytojai, kai kurie turės tik projektus, kai kurie tik tęstinės veiklos priemones. </w:t>
            </w:r>
          </w:p>
        </w:tc>
      </w:tr>
      <w:tr w:rsidR="00146C26" w:rsidRPr="00972C0E" w14:paraId="245ABFD1" w14:textId="77777777" w:rsidTr="00680FB8">
        <w:tc>
          <w:tcPr>
            <w:tcW w:w="709" w:type="dxa"/>
          </w:tcPr>
          <w:p w14:paraId="269729E9" w14:textId="57EF7B87" w:rsidR="00146C26" w:rsidRPr="00972C0E" w:rsidRDefault="006E37CA" w:rsidP="00146C26">
            <w:pPr>
              <w:pStyle w:val="Betarp"/>
              <w:rPr>
                <w:rFonts w:ascii="Times New Roman" w:hAnsi="Times New Roman" w:cs="Times New Roman"/>
              </w:rPr>
            </w:pPr>
            <w:r>
              <w:rPr>
                <w:rFonts w:ascii="Times New Roman" w:hAnsi="Times New Roman" w:cs="Times New Roman"/>
              </w:rPr>
              <w:lastRenderedPageBreak/>
              <w:t>28</w:t>
            </w:r>
          </w:p>
        </w:tc>
        <w:tc>
          <w:tcPr>
            <w:tcW w:w="2552" w:type="dxa"/>
          </w:tcPr>
          <w:p w14:paraId="102F8585" w14:textId="380B2A44" w:rsidR="00146C26" w:rsidRPr="00972C0E" w:rsidRDefault="00146C26" w:rsidP="00146C26">
            <w:pPr>
              <w:pStyle w:val="Betarp"/>
              <w:rPr>
                <w:rFonts w:ascii="Times New Roman" w:hAnsi="Times New Roman" w:cs="Times New Roman"/>
              </w:rPr>
            </w:pPr>
          </w:p>
        </w:tc>
        <w:tc>
          <w:tcPr>
            <w:tcW w:w="7654" w:type="dxa"/>
          </w:tcPr>
          <w:p w14:paraId="4F4EC054" w14:textId="77777777" w:rsidR="00146C26" w:rsidRPr="00972C0E" w:rsidRDefault="00146C26" w:rsidP="00146C26">
            <w:pPr>
              <w:pStyle w:val="naispant"/>
              <w:tabs>
                <w:tab w:val="left" w:pos="709"/>
                <w:tab w:val="left" w:pos="1134"/>
              </w:tabs>
              <w:spacing w:after="0"/>
              <w:ind w:left="0" w:firstLine="0"/>
              <w:rPr>
                <w:b w:val="0"/>
                <w:sz w:val="22"/>
                <w:szCs w:val="22"/>
                <w:lang w:val="lt-LT"/>
              </w:rPr>
            </w:pPr>
            <w:r w:rsidRPr="00972C0E">
              <w:rPr>
                <w:b w:val="0"/>
                <w:sz w:val="22"/>
                <w:szCs w:val="22"/>
                <w:lang w:val="lt-LT"/>
              </w:rPr>
              <w:t>1. Manome, kad įstatymų pakeitimuose turi būti vengiama tokio teksto „&lt;...&gt; politikos vystymosi kryptis nustato Seimas, tvirtindamas Valstybės pažangos strategiją ir priimdamas įstatymus“, nes:</w:t>
            </w:r>
          </w:p>
          <w:p w14:paraId="1B353C6C" w14:textId="77777777" w:rsidR="00146C26" w:rsidRPr="00972C0E" w:rsidRDefault="00146C26" w:rsidP="00146C26">
            <w:pPr>
              <w:pStyle w:val="naispant"/>
              <w:tabs>
                <w:tab w:val="left" w:pos="709"/>
                <w:tab w:val="left" w:pos="1134"/>
              </w:tabs>
              <w:spacing w:after="0"/>
              <w:ind w:left="0" w:firstLine="0"/>
              <w:rPr>
                <w:b w:val="0"/>
                <w:sz w:val="22"/>
                <w:szCs w:val="22"/>
                <w:lang w:val="lt-LT"/>
              </w:rPr>
            </w:pPr>
            <w:r w:rsidRPr="00972C0E">
              <w:rPr>
                <w:b w:val="0"/>
                <w:sz w:val="22"/>
                <w:szCs w:val="22"/>
                <w:lang w:val="lt-LT"/>
              </w:rPr>
              <w:t>1) Valstybės pažangos strategijoje nebūtinai bus nustatytos visų sričių politikos kryptys (pvz. turizmo),</w:t>
            </w:r>
          </w:p>
          <w:p w14:paraId="0A2209CC" w14:textId="645BAFE8" w:rsidR="00146C26" w:rsidRPr="00972C0E" w:rsidRDefault="00146C26" w:rsidP="00146C26">
            <w:pPr>
              <w:pStyle w:val="Betarp"/>
              <w:jc w:val="both"/>
              <w:rPr>
                <w:rFonts w:ascii="Times New Roman" w:hAnsi="Times New Roman" w:cs="Times New Roman"/>
              </w:rPr>
            </w:pPr>
            <w:r w:rsidRPr="00972C0E">
              <w:rPr>
                <w:rFonts w:ascii="Times New Roman" w:hAnsi="Times New Roman" w:cs="Times New Roman"/>
              </w:rPr>
              <w:t>2) neaišku kokiuose dar papildomuose įstatymuose gali būti nustatytos atitinkamos politikos vystymosi kryptys.</w:t>
            </w:r>
            <w:r w:rsidRPr="00972C0E">
              <w:rPr>
                <w:rFonts w:ascii="Times New Roman" w:hAnsi="Times New Roman" w:cs="Times New Roman"/>
                <w:i/>
                <w:lang w:eastAsia="lt-LT"/>
              </w:rPr>
              <w:tab/>
            </w:r>
          </w:p>
        </w:tc>
        <w:tc>
          <w:tcPr>
            <w:tcW w:w="4111" w:type="dxa"/>
          </w:tcPr>
          <w:p w14:paraId="48B83C60" w14:textId="77777777" w:rsidR="002126B7" w:rsidRPr="002126B7" w:rsidRDefault="002126B7" w:rsidP="00146C26">
            <w:pPr>
              <w:pStyle w:val="Betarp"/>
              <w:jc w:val="both"/>
              <w:rPr>
                <w:rFonts w:ascii="Times New Roman" w:hAnsi="Times New Roman" w:cs="Times New Roman"/>
              </w:rPr>
            </w:pPr>
            <w:r w:rsidRPr="002126B7">
              <w:rPr>
                <w:rFonts w:ascii="Times New Roman" w:hAnsi="Times New Roman" w:cs="Times New Roman"/>
                <w:b/>
              </w:rPr>
              <w:t>Neatsižvelgta</w:t>
            </w:r>
            <w:r w:rsidRPr="002126B7">
              <w:rPr>
                <w:rFonts w:ascii="Times New Roman" w:hAnsi="Times New Roman" w:cs="Times New Roman"/>
              </w:rPr>
              <w:t xml:space="preserve">. </w:t>
            </w:r>
          </w:p>
          <w:p w14:paraId="35A209B2" w14:textId="1C738B60" w:rsidR="00146C26" w:rsidRPr="002126B7" w:rsidRDefault="000F48FC" w:rsidP="00146C26">
            <w:pPr>
              <w:pStyle w:val="Betarp"/>
              <w:jc w:val="both"/>
              <w:rPr>
                <w:rFonts w:ascii="Times New Roman" w:hAnsi="Times New Roman" w:cs="Times New Roman"/>
              </w:rPr>
            </w:pPr>
            <w:r>
              <w:rPr>
                <w:rFonts w:ascii="Times New Roman" w:hAnsi="Times New Roman" w:cs="Times New Roman"/>
              </w:rPr>
              <w:t>Visi lyd</w:t>
            </w:r>
            <w:r w:rsidR="00397B1D">
              <w:rPr>
                <w:rFonts w:ascii="Times New Roman" w:hAnsi="Times New Roman" w:cs="Times New Roman"/>
              </w:rPr>
              <w:t>i</w:t>
            </w:r>
            <w:r>
              <w:rPr>
                <w:rFonts w:ascii="Times New Roman" w:hAnsi="Times New Roman" w:cs="Times New Roman"/>
              </w:rPr>
              <w:t>mieji įstatymai kurie apibrėžia tam</w:t>
            </w:r>
            <w:r w:rsidR="00397B1D">
              <w:rPr>
                <w:rFonts w:ascii="Times New Roman" w:hAnsi="Times New Roman" w:cs="Times New Roman"/>
              </w:rPr>
              <w:t xml:space="preserve"> </w:t>
            </w:r>
            <w:r>
              <w:rPr>
                <w:rFonts w:ascii="Times New Roman" w:hAnsi="Times New Roman" w:cs="Times New Roman"/>
              </w:rPr>
              <w:t>tikros srities</w:t>
            </w:r>
            <w:r w:rsidR="00397B1D">
              <w:rPr>
                <w:rFonts w:ascii="Times New Roman" w:hAnsi="Times New Roman" w:cs="Times New Roman"/>
              </w:rPr>
              <w:t xml:space="preserve"> </w:t>
            </w:r>
            <w:r>
              <w:rPr>
                <w:rFonts w:ascii="Times New Roman" w:hAnsi="Times New Roman" w:cs="Times New Roman"/>
              </w:rPr>
              <w:t xml:space="preserve">politiką, keičiami pagal bendrą SVĮ projekte siūlomą nustatyti </w:t>
            </w:r>
            <w:r w:rsidR="00F17496">
              <w:rPr>
                <w:rFonts w:ascii="Times New Roman" w:hAnsi="Times New Roman" w:cs="Times New Roman"/>
              </w:rPr>
              <w:t>siūlomą planavimo dokumentų lygmenis ir sistemą, nustatant, kad Valstybės vystymosi kry</w:t>
            </w:r>
            <w:r w:rsidR="00397B1D">
              <w:rPr>
                <w:rFonts w:ascii="Times New Roman" w:hAnsi="Times New Roman" w:cs="Times New Roman"/>
              </w:rPr>
              <w:t>p</w:t>
            </w:r>
            <w:r w:rsidR="00F17496">
              <w:rPr>
                <w:rFonts w:ascii="Times New Roman" w:hAnsi="Times New Roman" w:cs="Times New Roman"/>
              </w:rPr>
              <w:t>tys nusta</w:t>
            </w:r>
            <w:r w:rsidR="00397B1D">
              <w:rPr>
                <w:rFonts w:ascii="Times New Roman" w:hAnsi="Times New Roman" w:cs="Times New Roman"/>
              </w:rPr>
              <w:t>t</w:t>
            </w:r>
            <w:r w:rsidR="00F17496">
              <w:rPr>
                <w:rFonts w:ascii="Times New Roman" w:hAnsi="Times New Roman" w:cs="Times New Roman"/>
              </w:rPr>
              <w:t>omos Valstybės pažangos strategijoje, Strateginiai t</w:t>
            </w:r>
            <w:r w:rsidR="00397B1D">
              <w:rPr>
                <w:rFonts w:ascii="Times New Roman" w:hAnsi="Times New Roman" w:cs="Times New Roman"/>
              </w:rPr>
              <w:t>i</w:t>
            </w:r>
            <w:r w:rsidR="00F17496">
              <w:rPr>
                <w:rFonts w:ascii="Times New Roman" w:hAnsi="Times New Roman" w:cs="Times New Roman"/>
              </w:rPr>
              <w:t xml:space="preserve">kslai ir pažangos uždaviniai – NPP, o priemonės – nacionalinėse plėtros programose. </w:t>
            </w:r>
            <w:r>
              <w:rPr>
                <w:rFonts w:ascii="Times New Roman" w:hAnsi="Times New Roman" w:cs="Times New Roman"/>
              </w:rPr>
              <w:t xml:space="preserve"> </w:t>
            </w:r>
          </w:p>
        </w:tc>
      </w:tr>
      <w:tr w:rsidR="00146C26" w:rsidRPr="00972C0E" w14:paraId="03699FC0" w14:textId="77777777" w:rsidTr="00680FB8">
        <w:tc>
          <w:tcPr>
            <w:tcW w:w="709" w:type="dxa"/>
          </w:tcPr>
          <w:p w14:paraId="487D79B6" w14:textId="6785D183" w:rsidR="00146C26" w:rsidRPr="00972C0E" w:rsidRDefault="006E37CA" w:rsidP="00146C26">
            <w:pPr>
              <w:pStyle w:val="Betarp"/>
              <w:rPr>
                <w:rFonts w:ascii="Times New Roman" w:hAnsi="Times New Roman" w:cs="Times New Roman"/>
              </w:rPr>
            </w:pPr>
            <w:r>
              <w:rPr>
                <w:rFonts w:ascii="Times New Roman" w:hAnsi="Times New Roman" w:cs="Times New Roman"/>
              </w:rPr>
              <w:t>29</w:t>
            </w:r>
          </w:p>
        </w:tc>
        <w:tc>
          <w:tcPr>
            <w:tcW w:w="2552" w:type="dxa"/>
          </w:tcPr>
          <w:p w14:paraId="10B30B38" w14:textId="77777777" w:rsidR="00146C26" w:rsidRPr="00972C0E" w:rsidRDefault="00146C26" w:rsidP="00146C26">
            <w:pPr>
              <w:pStyle w:val="Betarp"/>
              <w:rPr>
                <w:rFonts w:ascii="Times New Roman" w:hAnsi="Times New Roman" w:cs="Times New Roman"/>
                <w:b/>
              </w:rPr>
            </w:pPr>
          </w:p>
        </w:tc>
        <w:tc>
          <w:tcPr>
            <w:tcW w:w="7654" w:type="dxa"/>
          </w:tcPr>
          <w:p w14:paraId="1E46A131" w14:textId="5208C3D3" w:rsidR="00146C26" w:rsidRPr="00972C0E" w:rsidRDefault="00146C26" w:rsidP="00146C26">
            <w:pPr>
              <w:jc w:val="both"/>
              <w:rPr>
                <w:rFonts w:ascii="Times New Roman" w:eastAsia="MS Mincho" w:hAnsi="Times New Roman" w:cs="Times New Roman"/>
                <w:lang w:eastAsia="ja-JP"/>
              </w:rPr>
            </w:pPr>
            <w:r w:rsidRPr="00972C0E">
              <w:rPr>
                <w:rFonts w:ascii="Times New Roman" w:hAnsi="Times New Roman" w:cs="Times New Roman"/>
                <w:b/>
              </w:rPr>
              <w:t>2.</w:t>
            </w:r>
            <w:r w:rsidRPr="00972C0E">
              <w:rPr>
                <w:rFonts w:ascii="Times New Roman" w:hAnsi="Times New Roman" w:cs="Times New Roman"/>
              </w:rPr>
              <w:t xml:space="preserve"> </w:t>
            </w:r>
            <w:r w:rsidRPr="00972C0E">
              <w:rPr>
                <w:rFonts w:ascii="Times New Roman" w:hAnsi="Times New Roman" w:cs="Times New Roman"/>
                <w:u w:val="single"/>
              </w:rPr>
              <w:t>Manome, kad įstatymų pakeitimuose turi būti vengiama tokio teksto</w:t>
            </w:r>
            <w:r w:rsidRPr="00972C0E">
              <w:rPr>
                <w:rFonts w:ascii="Times New Roman" w:eastAsia="MS Mincho" w:hAnsi="Times New Roman" w:cs="Times New Roman"/>
                <w:lang w:eastAsia="ja-JP"/>
              </w:rPr>
              <w:t xml:space="preserve"> „&lt;...&gt; politikos strateginius tikslus ir pažangos uždavinius įgyvendinančios priemonės </w:t>
            </w:r>
            <w:r w:rsidRPr="00972C0E">
              <w:rPr>
                <w:rFonts w:ascii="Times New Roman" w:eastAsia="Calibri" w:hAnsi="Times New Roman" w:cs="Times New Roman"/>
              </w:rPr>
              <w:t>suplanuojamos Vyriausybės tvirtinamose nacionalinėse plėtros programose.“ ir</w:t>
            </w:r>
            <w:r w:rsidRPr="00972C0E">
              <w:rPr>
                <w:rFonts w:ascii="Times New Roman" w:eastAsia="MS Mincho" w:hAnsi="Times New Roman" w:cs="Times New Roman"/>
                <w:lang w:eastAsia="ja-JP"/>
              </w:rPr>
              <w:t xml:space="preserve"> „ministerija rengia </w:t>
            </w:r>
            <w:r w:rsidRPr="00972C0E">
              <w:rPr>
                <w:rFonts w:ascii="Times New Roman" w:eastAsia="MS Mincho" w:hAnsi="Times New Roman" w:cs="Times New Roman"/>
                <w:strike/>
                <w:lang w:eastAsia="ja-JP"/>
              </w:rPr>
              <w:t>&lt;...&gt;</w:t>
            </w:r>
            <w:r w:rsidRPr="00972C0E">
              <w:rPr>
                <w:rFonts w:ascii="Times New Roman" w:eastAsia="MS Mincho" w:hAnsi="Times New Roman" w:cs="Times New Roman"/>
                <w:lang w:eastAsia="ja-JP"/>
              </w:rPr>
              <w:t xml:space="preserve"> </w:t>
            </w:r>
            <w:r w:rsidRPr="00972C0E">
              <w:rPr>
                <w:rFonts w:ascii="Times New Roman" w:eastAsia="MS Mincho" w:hAnsi="Times New Roman" w:cs="Times New Roman"/>
                <w:b/>
                <w:lang w:eastAsia="ja-JP"/>
              </w:rPr>
              <w:t>politikos strateginius tikslus ir pažangos uždavinius įgyvendinančias nacionalines</w:t>
            </w:r>
            <w:r w:rsidRPr="00972C0E">
              <w:rPr>
                <w:rFonts w:ascii="Times New Roman" w:eastAsia="MS Mincho" w:hAnsi="Times New Roman" w:cs="Times New Roman"/>
                <w:lang w:eastAsia="ja-JP"/>
              </w:rPr>
              <w:t xml:space="preserve"> plėtros </w:t>
            </w:r>
            <w:r w:rsidRPr="00972C0E">
              <w:rPr>
                <w:rFonts w:ascii="Times New Roman" w:eastAsia="MS Mincho" w:hAnsi="Times New Roman" w:cs="Times New Roman"/>
                <w:b/>
                <w:lang w:eastAsia="ja-JP"/>
              </w:rPr>
              <w:t xml:space="preserve">programas </w:t>
            </w:r>
            <w:r w:rsidRPr="00972C0E">
              <w:rPr>
                <w:rFonts w:ascii="Times New Roman" w:eastAsia="MS Mincho" w:hAnsi="Times New Roman" w:cs="Times New Roman"/>
                <w:strike/>
                <w:lang w:eastAsia="ja-JP"/>
              </w:rPr>
              <w:t>strategiją</w:t>
            </w:r>
            <w:r w:rsidRPr="00972C0E">
              <w:rPr>
                <w:rFonts w:ascii="Times New Roman" w:eastAsia="MS Mincho" w:hAnsi="Times New Roman" w:cs="Times New Roman"/>
                <w:lang w:eastAsia="ja-JP"/>
              </w:rPr>
              <w:t xml:space="preserve">, </w:t>
            </w:r>
            <w:r w:rsidRPr="00972C0E">
              <w:rPr>
                <w:rFonts w:ascii="Times New Roman" w:eastAsia="MS Mincho" w:hAnsi="Times New Roman" w:cs="Times New Roman"/>
                <w:strike/>
                <w:lang w:eastAsia="ja-JP"/>
              </w:rPr>
              <w:t xml:space="preserve">kurią </w:t>
            </w:r>
            <w:r w:rsidRPr="00972C0E">
              <w:rPr>
                <w:rFonts w:ascii="Times New Roman" w:eastAsia="MS Mincho" w:hAnsi="Times New Roman" w:cs="Times New Roman"/>
                <w:lang w:eastAsia="ja-JP"/>
              </w:rPr>
              <w:t xml:space="preserve"> </w:t>
            </w:r>
            <w:r w:rsidRPr="00972C0E">
              <w:rPr>
                <w:rFonts w:ascii="Times New Roman" w:eastAsia="MS Mincho" w:hAnsi="Times New Roman" w:cs="Times New Roman"/>
                <w:strike/>
                <w:lang w:eastAsia="ja-JP"/>
              </w:rPr>
              <w:t>Vyriausybės teikimu</w:t>
            </w:r>
            <w:r w:rsidRPr="00972C0E">
              <w:rPr>
                <w:rFonts w:ascii="Times New Roman" w:eastAsia="MS Mincho" w:hAnsi="Times New Roman" w:cs="Times New Roman"/>
                <w:lang w:eastAsia="ja-JP"/>
              </w:rPr>
              <w:t xml:space="preserve"> </w:t>
            </w:r>
            <w:r w:rsidRPr="00972C0E">
              <w:rPr>
                <w:rFonts w:ascii="Times New Roman" w:eastAsia="MS Mincho" w:hAnsi="Times New Roman" w:cs="Times New Roman"/>
                <w:strike/>
                <w:lang w:eastAsia="ja-JP"/>
              </w:rPr>
              <w:t>tvirtina</w:t>
            </w:r>
            <w:r w:rsidRPr="00972C0E">
              <w:rPr>
                <w:rFonts w:ascii="Times New Roman" w:eastAsia="MS Mincho" w:hAnsi="Times New Roman" w:cs="Times New Roman"/>
                <w:lang w:eastAsia="ja-JP"/>
              </w:rPr>
              <w:t xml:space="preserve"> </w:t>
            </w:r>
            <w:r w:rsidRPr="00972C0E">
              <w:rPr>
                <w:rFonts w:ascii="Times New Roman" w:eastAsia="MS Mincho" w:hAnsi="Times New Roman" w:cs="Times New Roman"/>
                <w:strike/>
                <w:lang w:eastAsia="ja-JP"/>
              </w:rPr>
              <w:t>Seimas</w:t>
            </w:r>
            <w:r w:rsidRPr="00972C0E">
              <w:rPr>
                <w:rFonts w:ascii="Times New Roman" w:eastAsia="MS Mincho" w:hAnsi="Times New Roman" w:cs="Times New Roman"/>
                <w:b/>
                <w:lang w:eastAsia="ja-JP"/>
              </w:rPr>
              <w:t>, organizuoja, koordinuoja ir kontroliuoja jų įgyvendinimą</w:t>
            </w:r>
            <w:r w:rsidRPr="00972C0E">
              <w:rPr>
                <w:rFonts w:ascii="Times New Roman" w:eastAsia="MS Mincho" w:hAnsi="Times New Roman" w:cs="Times New Roman"/>
                <w:lang w:eastAsia="ja-JP"/>
              </w:rPr>
              <w:t xml:space="preserve">.“, nes atrodo, kad privaloma kiekvienai sričiai turėti po atskirą nacionalinę plėtros programą (pvz. nacionalinę turizmo plėtros programą, nacionalinę inovacijų plėtros programą ir pan., nors pagal SVĮ projektą gali būti viena didelė nacionalinė plėtros programa). </w:t>
            </w:r>
          </w:p>
          <w:p w14:paraId="3FC21D7D" w14:textId="16A28A01" w:rsidR="00146C26" w:rsidRPr="00397B1D" w:rsidRDefault="00146C26" w:rsidP="00146C26">
            <w:pPr>
              <w:pStyle w:val="Betarp"/>
              <w:jc w:val="both"/>
              <w:rPr>
                <w:rFonts w:ascii="Times New Roman" w:hAnsi="Times New Roman" w:cs="Times New Roman"/>
              </w:rPr>
            </w:pPr>
            <w:r w:rsidRPr="00397B1D">
              <w:rPr>
                <w:rFonts w:ascii="Times New Roman" w:eastAsia="MS Mincho" w:hAnsi="Times New Roman" w:cs="Times New Roman"/>
                <w:lang w:eastAsia="ja-JP"/>
              </w:rPr>
              <w:t xml:space="preserve">Kadangi patvirtinus SVĮ, atskirų sričių įstatymuose (pvz. Turizmo įstatyme) nelieka poreikio nustatyti kas tvirtina nacionalinį pažangos planą ar nacionalines plėtros programas (nes tai bus nustatyta SVĮ), būtų tikslinga ne keisti susijusių įstatymų atitinkamus straipsnius, bet juos naikinti. </w:t>
            </w:r>
          </w:p>
        </w:tc>
        <w:tc>
          <w:tcPr>
            <w:tcW w:w="4111" w:type="dxa"/>
          </w:tcPr>
          <w:p w14:paraId="273A5207" w14:textId="5C99EE91" w:rsidR="00146C26" w:rsidRPr="002126B7" w:rsidRDefault="002126B7" w:rsidP="00146C26">
            <w:pPr>
              <w:pStyle w:val="Betarp"/>
              <w:jc w:val="both"/>
              <w:rPr>
                <w:rFonts w:ascii="Times New Roman" w:hAnsi="Times New Roman" w:cs="Times New Roman"/>
              </w:rPr>
            </w:pPr>
            <w:r w:rsidRPr="002126B7">
              <w:rPr>
                <w:rFonts w:ascii="Times New Roman" w:hAnsi="Times New Roman" w:cs="Times New Roman"/>
                <w:b/>
              </w:rPr>
              <w:t>Neatsižvelgta</w:t>
            </w:r>
            <w:r w:rsidR="00397B1D">
              <w:rPr>
                <w:rFonts w:ascii="Times New Roman" w:hAnsi="Times New Roman" w:cs="Times New Roman"/>
              </w:rPr>
              <w:t xml:space="preserve">, nes šiuo metu negalima pasakyti kurios priemonės pateks į vieną ar kitą konkrečią nacionalinę plėtros programą, todėl vartojama daugiskaita, tačiau tai nėra imperatyvas rengti kelias plėtros programas vienai valstybės veiklos sričiai. </w:t>
            </w:r>
          </w:p>
        </w:tc>
      </w:tr>
      <w:tr w:rsidR="00E82F7B" w:rsidRPr="00972C0E" w14:paraId="3F5D4061" w14:textId="77777777" w:rsidTr="00680FB8">
        <w:tc>
          <w:tcPr>
            <w:tcW w:w="709" w:type="dxa"/>
          </w:tcPr>
          <w:p w14:paraId="40F2B2A9" w14:textId="504F9329" w:rsidR="00E82F7B" w:rsidRPr="00972C0E" w:rsidRDefault="00BA7D72" w:rsidP="00E82F7B">
            <w:pPr>
              <w:pStyle w:val="Betarp"/>
              <w:rPr>
                <w:rFonts w:ascii="Times New Roman" w:hAnsi="Times New Roman" w:cs="Times New Roman"/>
                <w:highlight w:val="yellow"/>
              </w:rPr>
            </w:pPr>
            <w:r w:rsidRPr="00BA7D72">
              <w:rPr>
                <w:rFonts w:ascii="Times New Roman" w:hAnsi="Times New Roman" w:cs="Times New Roman"/>
              </w:rPr>
              <w:t>3</w:t>
            </w:r>
            <w:r w:rsidR="006E37CA">
              <w:rPr>
                <w:rFonts w:ascii="Times New Roman" w:hAnsi="Times New Roman" w:cs="Times New Roman"/>
              </w:rPr>
              <w:t>0</w:t>
            </w:r>
          </w:p>
        </w:tc>
        <w:tc>
          <w:tcPr>
            <w:tcW w:w="2552" w:type="dxa"/>
          </w:tcPr>
          <w:p w14:paraId="39BCD776" w14:textId="093241D9" w:rsidR="00E82F7B" w:rsidRPr="00972C0E" w:rsidRDefault="00E82F7B" w:rsidP="00E82F7B">
            <w:pPr>
              <w:pStyle w:val="Betarp"/>
              <w:rPr>
                <w:rFonts w:ascii="Times New Roman" w:hAnsi="Times New Roman" w:cs="Times New Roman"/>
                <w:b/>
              </w:rPr>
            </w:pPr>
            <w:r w:rsidRPr="00972C0E">
              <w:rPr>
                <w:rFonts w:ascii="Times New Roman" w:hAnsi="Times New Roman" w:cs="Times New Roman"/>
                <w:b/>
              </w:rPr>
              <w:t>Lietuvos Respublikos aplinkos ministerija</w:t>
            </w:r>
          </w:p>
        </w:tc>
        <w:tc>
          <w:tcPr>
            <w:tcW w:w="7654" w:type="dxa"/>
          </w:tcPr>
          <w:p w14:paraId="1CA28A15" w14:textId="33B67EF5" w:rsidR="00E82F7B" w:rsidRPr="00972C0E" w:rsidRDefault="00E82F7B" w:rsidP="00E82F7B">
            <w:pPr>
              <w:pStyle w:val="Betarp"/>
              <w:tabs>
                <w:tab w:val="left" w:pos="311"/>
              </w:tabs>
              <w:jc w:val="both"/>
              <w:rPr>
                <w:rFonts w:ascii="Times New Roman" w:hAnsi="Times New Roman" w:cs="Times New Roman"/>
              </w:rPr>
            </w:pPr>
            <w:r w:rsidRPr="00972C0E">
              <w:rPr>
                <w:rFonts w:ascii="Times New Roman" w:hAnsi="Times New Roman" w:cs="Times New Roman"/>
              </w:rPr>
              <w:t xml:space="preserve">2. Tikslintina 3 straipsnio 6 dalies sąvoka „Pažangos uždavinys – tam tikros valstybės veiklos srities pokytis, įtvirtintas strateginio lygmens planavimo dokumentuose, kurio siekiama įgyvendinant strateginį tikslą“. Jeigu pažangos uždaviniai numatomi tik strateginio lygmens planavimo dokumentuose (10 metų ir ilgesniam laikotarpiui), vadinasi programavimo lygmenyje (4–10 metų laikotarpiui) naujas planavimo detalumo lygmuo bus tik priemonių lygmuo. Praktikoje tokia planavimo sistema bus neveiksminga, nes nesudarys galimybių pakankamai detaliai suplanuoti pokyčius atskirose srityse. Pavyzdžiui, Nacionalinio pažangos plano projekte aplinkos srityje </w:t>
            </w:r>
            <w:r w:rsidRPr="00972C0E">
              <w:rPr>
                <w:rFonts w:ascii="Times New Roman" w:hAnsi="Times New Roman" w:cs="Times New Roman"/>
              </w:rPr>
              <w:lastRenderedPageBreak/>
              <w:t>planuojamas uždavinys „Išsaugoti ir atkurti biologinę įvairovę, ekosistemų, jų paslaugų kokybę bei kraštovaizdžio savitumą ir užtikrinti darnų gamtos išteklių naudojimą”. Su šiuo uždavinio įgyvendinimu šiuo metu yra susijusios Nacionalinė miškų ūkio sektoriaus plėtros programa, Kraštovaizdžio ir biologinės įvairovės išsaugojimo 2015–2020 metų veiksmų planas. Vadinasi, nuo 2021 metų rengiamuose miškų, biologinės įvairovės ir kraštovaizdžio planavimo dokumentuose bus galimybė įsikelti tik šį vieną bendrinį uždavinį (galimybių detalizuoti šį uždavinį 4–10 metų laikotarpiui nenumatoma) ir jam įgyvendinti numatyti tik priemones (SVĮ nenumato kitokių uždavinių nei pažangos uždaviniai). Tai visiškai nesuderinama su realiais veiklos planavimo poreikiais, ES reikalavimais oro, klimato, vandens, cheminių medžiagų, atliekų, žiedinės ekonomikos ir kitų sričių planavimo dokumentų turiniui. Be to, jei 4–10 metų laikotarpiui suplanuojamos tik priemonės, vadinasi strateginiuose veiklos planuose nebebus jokio naujo planavimo lygmens, tik šios priemonės bus sudėtos į tam tikrus rinkinius (strateginio veiklos plano programas), tuo tarpu realus detalesnis veiksmų planavimas nenumatomas.</w:t>
            </w:r>
          </w:p>
        </w:tc>
        <w:tc>
          <w:tcPr>
            <w:tcW w:w="4111" w:type="dxa"/>
          </w:tcPr>
          <w:p w14:paraId="7B315F3B" w14:textId="77777777" w:rsidR="00E82F7B" w:rsidRPr="00972C0E" w:rsidRDefault="00E82F7B" w:rsidP="00E82F7B">
            <w:pPr>
              <w:pStyle w:val="Betarp"/>
              <w:rPr>
                <w:rFonts w:ascii="Times New Roman" w:hAnsi="Times New Roman" w:cs="Times New Roman"/>
                <w:b/>
              </w:rPr>
            </w:pPr>
            <w:r w:rsidRPr="00972C0E">
              <w:rPr>
                <w:rFonts w:ascii="Times New Roman" w:hAnsi="Times New Roman" w:cs="Times New Roman"/>
                <w:b/>
              </w:rPr>
              <w:lastRenderedPageBreak/>
              <w:t xml:space="preserve">Neatsižvelgta. </w:t>
            </w:r>
          </w:p>
          <w:p w14:paraId="301F5FA8" w14:textId="77777777" w:rsidR="00E82F7B" w:rsidRPr="00972C0E" w:rsidRDefault="00E82F7B" w:rsidP="00E82F7B">
            <w:pPr>
              <w:pStyle w:val="Betarp"/>
              <w:jc w:val="both"/>
              <w:rPr>
                <w:rFonts w:ascii="Times New Roman" w:hAnsi="Times New Roman" w:cs="Times New Roman"/>
              </w:rPr>
            </w:pPr>
            <w:r w:rsidRPr="00972C0E">
              <w:rPr>
                <w:rFonts w:ascii="Times New Roman" w:hAnsi="Times New Roman" w:cs="Times New Roman"/>
              </w:rPr>
              <w:t xml:space="preserve">Nemanome, kad didesnis dokumentų ir juose užsibrėžiamų uždavinių kiekis padeda pasiekti geresnių rezultatų ar įtakoją realiai ir efektyviai vykdomų veiksmų ir projektų skaičių ir jų rezultatus.  </w:t>
            </w:r>
          </w:p>
          <w:p w14:paraId="3EA5885F" w14:textId="77777777" w:rsidR="00E82F7B" w:rsidRPr="00972C0E" w:rsidRDefault="00E82F7B" w:rsidP="00E82F7B">
            <w:pPr>
              <w:pStyle w:val="Betarp"/>
              <w:jc w:val="both"/>
              <w:rPr>
                <w:rFonts w:ascii="Times New Roman" w:hAnsi="Times New Roman" w:cs="Times New Roman"/>
              </w:rPr>
            </w:pPr>
            <w:r w:rsidRPr="00972C0E">
              <w:rPr>
                <w:rFonts w:ascii="Times New Roman" w:hAnsi="Times New Roman" w:cs="Times New Roman"/>
              </w:rPr>
              <w:lastRenderedPageBreak/>
              <w:t xml:space="preserve">Atkreiptinas dėmesys, kad pažangos priemonė yra platesnė sąvoka nei tęstinės veiklos priemones ar projektus. </w:t>
            </w:r>
          </w:p>
          <w:p w14:paraId="6F6D8444" w14:textId="77777777" w:rsidR="00E82F7B" w:rsidRPr="00972C0E" w:rsidRDefault="00E82F7B" w:rsidP="00E82F7B">
            <w:pPr>
              <w:pStyle w:val="Betarp"/>
              <w:jc w:val="both"/>
              <w:rPr>
                <w:rFonts w:ascii="Times New Roman" w:hAnsi="Times New Roman" w:cs="Times New Roman"/>
              </w:rPr>
            </w:pPr>
            <w:r w:rsidRPr="00972C0E">
              <w:rPr>
                <w:rFonts w:ascii="Times New Roman" w:hAnsi="Times New Roman" w:cs="Times New Roman"/>
              </w:rPr>
              <w:t xml:space="preserve">Pažangos priemonės įgyvendinimas bus matuojamas tik rezultato rodikliais ir jos dalinai atstos smulkesnių uždavinių formuluotes. </w:t>
            </w:r>
          </w:p>
          <w:p w14:paraId="229814A8" w14:textId="57782A26" w:rsidR="00E82F7B" w:rsidRPr="00972C0E" w:rsidRDefault="00E82F7B" w:rsidP="00E82F7B">
            <w:pPr>
              <w:pStyle w:val="Betarp"/>
              <w:jc w:val="both"/>
              <w:rPr>
                <w:rFonts w:ascii="Times New Roman" w:hAnsi="Times New Roman" w:cs="Times New Roman"/>
              </w:rPr>
            </w:pPr>
            <w:r w:rsidRPr="00972C0E">
              <w:rPr>
                <w:rFonts w:ascii="Times New Roman" w:hAnsi="Times New Roman" w:cs="Times New Roman"/>
              </w:rPr>
              <w:t>Be to, pažangos priemones galima bus detalizuoti veiksmų planuose.</w:t>
            </w:r>
          </w:p>
        </w:tc>
      </w:tr>
      <w:tr w:rsidR="00E82F7B" w:rsidRPr="00972C0E" w14:paraId="00CE8204" w14:textId="77777777" w:rsidTr="00680FB8">
        <w:tc>
          <w:tcPr>
            <w:tcW w:w="709" w:type="dxa"/>
          </w:tcPr>
          <w:p w14:paraId="206F9367" w14:textId="3C773DF9" w:rsidR="00E82F7B" w:rsidRPr="00972C0E" w:rsidRDefault="00BA7D72" w:rsidP="00E82F7B">
            <w:pPr>
              <w:pStyle w:val="Betarp"/>
              <w:rPr>
                <w:rFonts w:ascii="Times New Roman" w:hAnsi="Times New Roman" w:cs="Times New Roman"/>
              </w:rPr>
            </w:pPr>
            <w:r>
              <w:rPr>
                <w:rFonts w:ascii="Times New Roman" w:hAnsi="Times New Roman" w:cs="Times New Roman"/>
              </w:rPr>
              <w:lastRenderedPageBreak/>
              <w:t>3</w:t>
            </w:r>
            <w:r w:rsidR="006E37CA">
              <w:rPr>
                <w:rFonts w:ascii="Times New Roman" w:hAnsi="Times New Roman" w:cs="Times New Roman"/>
              </w:rPr>
              <w:t>1</w:t>
            </w:r>
          </w:p>
        </w:tc>
        <w:tc>
          <w:tcPr>
            <w:tcW w:w="2552" w:type="dxa"/>
          </w:tcPr>
          <w:p w14:paraId="7376AC48" w14:textId="77777777" w:rsidR="00E82F7B" w:rsidRPr="00972C0E" w:rsidRDefault="00E82F7B" w:rsidP="00E82F7B">
            <w:pPr>
              <w:pStyle w:val="Betarp"/>
              <w:rPr>
                <w:rFonts w:ascii="Times New Roman" w:hAnsi="Times New Roman" w:cs="Times New Roman"/>
                <w:b/>
              </w:rPr>
            </w:pPr>
          </w:p>
        </w:tc>
        <w:tc>
          <w:tcPr>
            <w:tcW w:w="7654" w:type="dxa"/>
          </w:tcPr>
          <w:p w14:paraId="0214D75D" w14:textId="77777777" w:rsidR="00735201" w:rsidRDefault="0035114A" w:rsidP="00735201">
            <w:pPr>
              <w:pStyle w:val="Betarp"/>
              <w:jc w:val="both"/>
              <w:rPr>
                <w:rFonts w:ascii="Times New Roman" w:hAnsi="Times New Roman" w:cs="Times New Roman"/>
              </w:rPr>
            </w:pPr>
            <w:r w:rsidRPr="00EF1898">
              <w:rPr>
                <w:rFonts w:ascii="Times New Roman" w:hAnsi="Times New Roman" w:cs="Times New Roman"/>
                <w:lang w:val="en-GB"/>
              </w:rPr>
              <w:t>5.</w:t>
            </w:r>
            <w:r w:rsidRPr="00EF1898">
              <w:rPr>
                <w:rFonts w:ascii="Times New Roman" w:eastAsia="Andale Sans UI" w:hAnsi="Times New Roman" w:cs="Times New Roman"/>
                <w:lang w:bidi="en-US"/>
              </w:rPr>
              <w:t xml:space="preserve"> </w:t>
            </w:r>
            <w:r w:rsidRPr="00EF1898">
              <w:rPr>
                <w:rFonts w:ascii="Times New Roman" w:hAnsi="Times New Roman" w:cs="Times New Roman"/>
              </w:rPr>
              <w:t xml:space="preserve">Dėl 6 straipsnio 4 dalies sąvokos „Nacionalinė </w:t>
            </w:r>
            <w:proofErr w:type="gramStart"/>
            <w:r w:rsidRPr="00EF1898">
              <w:rPr>
                <w:rFonts w:ascii="Times New Roman" w:hAnsi="Times New Roman" w:cs="Times New Roman"/>
              </w:rPr>
              <w:t>darbotvarkė“</w:t>
            </w:r>
            <w:proofErr w:type="gramEnd"/>
            <w:r w:rsidRPr="00EF1898">
              <w:rPr>
                <w:rFonts w:ascii="Times New Roman" w:hAnsi="Times New Roman" w:cs="Times New Roman"/>
              </w:rPr>
              <w:t xml:space="preserve">. Rengti ir tvirtinti ilgalaikę </w:t>
            </w:r>
            <w:r w:rsidRPr="0069079B">
              <w:rPr>
                <w:rFonts w:ascii="Times New Roman" w:hAnsi="Times New Roman" w:cs="Times New Roman"/>
                <w:b/>
              </w:rPr>
              <w:t>Nacionalinę klimato kaitos valdymo politikos strategiją</w:t>
            </w:r>
            <w:r w:rsidRPr="00EF1898">
              <w:rPr>
                <w:rFonts w:ascii="Times New Roman" w:hAnsi="Times New Roman" w:cs="Times New Roman"/>
              </w:rPr>
              <w:t xml:space="preserve"> (toliau – NKKVPS), įpareigoja šie </w:t>
            </w:r>
            <w:proofErr w:type="spellStart"/>
            <w:r w:rsidRPr="00EF1898">
              <w:rPr>
                <w:rFonts w:ascii="Times New Roman" w:hAnsi="Times New Roman" w:cs="Times New Roman"/>
              </w:rPr>
              <w:t>tarpatautiniai</w:t>
            </w:r>
            <w:proofErr w:type="spellEnd"/>
            <w:r w:rsidRPr="00EF1898">
              <w:rPr>
                <w:rFonts w:ascii="Times New Roman" w:hAnsi="Times New Roman" w:cs="Times New Roman"/>
              </w:rPr>
              <w:t xml:space="preserve"> susitarimai ir ES teisės aktai&lt;...&gt;</w:t>
            </w:r>
          </w:p>
          <w:p w14:paraId="1AEE4D8D" w14:textId="630F334E" w:rsidR="00735201" w:rsidRPr="00735201" w:rsidRDefault="00735201" w:rsidP="00735201">
            <w:pPr>
              <w:pStyle w:val="Betarp"/>
              <w:jc w:val="both"/>
              <w:rPr>
                <w:rFonts w:ascii="Times New Roman" w:hAnsi="Times New Roman" w:cs="Times New Roman"/>
              </w:rPr>
            </w:pPr>
            <w:r w:rsidRPr="00735201">
              <w:rPr>
                <w:rFonts w:ascii="Times New Roman" w:hAnsi="Times New Roman" w:cs="Times New Roman"/>
              </w:rPr>
              <w:t xml:space="preserve">Aplinkos ministerija </w:t>
            </w:r>
            <w:r>
              <w:rPr>
                <w:rFonts w:ascii="Times New Roman" w:hAnsi="Times New Roman" w:cs="Times New Roman"/>
              </w:rPr>
              <w:t>mano,</w:t>
            </w:r>
            <w:r w:rsidRPr="00735201">
              <w:rPr>
                <w:rFonts w:ascii="Times New Roman" w:hAnsi="Times New Roman" w:cs="Times New Roman"/>
              </w:rPr>
              <w:t xml:space="preserve"> ka</w:t>
            </w:r>
            <w:r>
              <w:rPr>
                <w:rFonts w:ascii="Times New Roman" w:hAnsi="Times New Roman" w:cs="Times New Roman"/>
              </w:rPr>
              <w:t>d</w:t>
            </w:r>
            <w:r w:rsidRPr="00735201">
              <w:rPr>
                <w:rFonts w:ascii="Times New Roman" w:hAnsi="Times New Roman" w:cs="Times New Roman"/>
              </w:rPr>
              <w:t xml:space="preserve"> ilgalaikės strategijos (Nacionalinė aplinkos apsaugos strategija ir Nacionalinė klimato kaitos valdymo politikos strategija) privalo likti iki kol bus atnaujinta Valstybės pažangos strategija.</w:t>
            </w:r>
          </w:p>
          <w:p w14:paraId="4321E513" w14:textId="77777777" w:rsidR="00735201" w:rsidRPr="00735201" w:rsidRDefault="00735201" w:rsidP="00735201">
            <w:pPr>
              <w:pStyle w:val="Betarp"/>
              <w:jc w:val="both"/>
              <w:rPr>
                <w:rFonts w:ascii="Times New Roman" w:hAnsi="Times New Roman" w:cs="Times New Roman"/>
              </w:rPr>
            </w:pPr>
            <w:r w:rsidRPr="00735201">
              <w:rPr>
                <w:rFonts w:ascii="Times New Roman" w:hAnsi="Times New Roman" w:cs="Times New Roman"/>
              </w:rPr>
              <w:t>Kol tai nebus padaryta, SVĮ pridėtinės vertės ilgalaikės politikos formavimui nematome (kyla grėsmė, kad Seimo tvirtinamų ilgalaikių strategijų panaikinimas ir politikos formavimo galių sutelkimas tik Vyriausybės lygyje didins grėsmę didesnei politikos krypties kaitai – politiniam nenuoseklumui, didins nežinomybę ir sukels verslo ir visuomenės pasipiktinimą).</w:t>
            </w:r>
          </w:p>
          <w:p w14:paraId="2ABC4C81" w14:textId="76839F26" w:rsidR="00E82F7B" w:rsidRPr="00972C0E" w:rsidRDefault="00735201" w:rsidP="00735201">
            <w:pPr>
              <w:pStyle w:val="Betarp"/>
              <w:jc w:val="both"/>
              <w:rPr>
                <w:rFonts w:ascii="Times New Roman" w:hAnsi="Times New Roman" w:cs="Times New Roman"/>
              </w:rPr>
            </w:pPr>
            <w:r w:rsidRPr="00735201">
              <w:rPr>
                <w:rFonts w:ascii="Times New Roman" w:hAnsi="Times New Roman" w:cs="Times New Roman"/>
              </w:rPr>
              <w:t>Tik kai bus aiškus atnaujintos V</w:t>
            </w:r>
            <w:r>
              <w:rPr>
                <w:rFonts w:ascii="Times New Roman" w:hAnsi="Times New Roman" w:cs="Times New Roman"/>
              </w:rPr>
              <w:t>alstybės pažangos strategijos</w:t>
            </w:r>
            <w:r w:rsidRPr="00735201">
              <w:rPr>
                <w:rFonts w:ascii="Times New Roman" w:hAnsi="Times New Roman" w:cs="Times New Roman"/>
              </w:rPr>
              <w:t xml:space="preserve"> turinys, galime planuoti </w:t>
            </w:r>
            <w:r>
              <w:rPr>
                <w:rFonts w:ascii="Times New Roman" w:hAnsi="Times New Roman" w:cs="Times New Roman"/>
              </w:rPr>
              <w:t xml:space="preserve">minėtų dokumentų </w:t>
            </w:r>
            <w:r w:rsidRPr="00735201">
              <w:rPr>
                <w:rFonts w:ascii="Times New Roman" w:hAnsi="Times New Roman" w:cs="Times New Roman"/>
              </w:rPr>
              <w:t>pokyčius.</w:t>
            </w:r>
          </w:p>
        </w:tc>
        <w:tc>
          <w:tcPr>
            <w:tcW w:w="4111" w:type="dxa"/>
          </w:tcPr>
          <w:p w14:paraId="14CFBE91" w14:textId="37DCE209" w:rsidR="00E82F7B" w:rsidRPr="00972C0E" w:rsidRDefault="00912EAA" w:rsidP="0069079B">
            <w:pPr>
              <w:pStyle w:val="Betarp"/>
              <w:jc w:val="both"/>
              <w:rPr>
                <w:rFonts w:ascii="Times New Roman" w:hAnsi="Times New Roman" w:cs="Times New Roman"/>
              </w:rPr>
            </w:pPr>
            <w:r>
              <w:rPr>
                <w:rFonts w:ascii="Times New Roman" w:hAnsi="Times New Roman" w:cs="Times New Roman"/>
              </w:rPr>
              <w:t xml:space="preserve">Atkreipiame dėmesį, kad </w:t>
            </w:r>
            <w:r w:rsidR="0069079B">
              <w:rPr>
                <w:rFonts w:ascii="Times New Roman" w:hAnsi="Times New Roman" w:cs="Times New Roman"/>
              </w:rPr>
              <w:t>NKKPVPS galės būti SVĮ projekte įvedamu nauju planavimo dokumento tipu – nacionaline darbotvarke, kurią tvirtins Seimas. ES teisės aktai ir tarptautiniai susitarimai įpareigoja turėti veikimo strategiją (taktiką) kaip šalis pasieks prisiimtus įsipareigojimus, kartais nustato dokumento struktūrines dalis tačiau nenustato dokumento formos, todėl nematome kliūčių NKKPVS virsti darbotvarke dar iki to laiko kol bus patvirtinta nauja Valstybės pažangos strategija.</w:t>
            </w:r>
          </w:p>
        </w:tc>
      </w:tr>
      <w:tr w:rsidR="00E82F7B" w:rsidRPr="00972C0E" w14:paraId="364A1F2C" w14:textId="77777777" w:rsidTr="00680FB8">
        <w:tc>
          <w:tcPr>
            <w:tcW w:w="709" w:type="dxa"/>
          </w:tcPr>
          <w:p w14:paraId="3E0C3D55" w14:textId="700AC0C0" w:rsidR="00E82F7B" w:rsidRPr="00972C0E" w:rsidRDefault="00BA7D72" w:rsidP="00E82F7B">
            <w:pPr>
              <w:pStyle w:val="Betarp"/>
              <w:rPr>
                <w:rFonts w:ascii="Times New Roman" w:hAnsi="Times New Roman" w:cs="Times New Roman"/>
              </w:rPr>
            </w:pPr>
            <w:r>
              <w:rPr>
                <w:rFonts w:ascii="Times New Roman" w:hAnsi="Times New Roman" w:cs="Times New Roman"/>
              </w:rPr>
              <w:t>3</w:t>
            </w:r>
            <w:r w:rsidR="006E37CA">
              <w:rPr>
                <w:rFonts w:ascii="Times New Roman" w:hAnsi="Times New Roman" w:cs="Times New Roman"/>
              </w:rPr>
              <w:t>2</w:t>
            </w:r>
          </w:p>
        </w:tc>
        <w:tc>
          <w:tcPr>
            <w:tcW w:w="2552" w:type="dxa"/>
          </w:tcPr>
          <w:p w14:paraId="7699B5D3" w14:textId="77777777" w:rsidR="00E82F7B" w:rsidRPr="00972C0E" w:rsidRDefault="00E82F7B" w:rsidP="00E82F7B">
            <w:pPr>
              <w:pStyle w:val="Betarp"/>
              <w:rPr>
                <w:rFonts w:ascii="Times New Roman" w:hAnsi="Times New Roman" w:cs="Times New Roman"/>
              </w:rPr>
            </w:pPr>
          </w:p>
        </w:tc>
        <w:tc>
          <w:tcPr>
            <w:tcW w:w="7654" w:type="dxa"/>
          </w:tcPr>
          <w:p w14:paraId="01E15897" w14:textId="2D3CD532" w:rsidR="00E82F7B" w:rsidRPr="00972C0E" w:rsidRDefault="00FB7019" w:rsidP="00E82F7B">
            <w:pPr>
              <w:pStyle w:val="naispant"/>
              <w:tabs>
                <w:tab w:val="left" w:pos="1134"/>
              </w:tabs>
              <w:spacing w:before="0" w:after="0"/>
              <w:ind w:left="0" w:firstLine="0"/>
              <w:rPr>
                <w:b w:val="0"/>
                <w:sz w:val="22"/>
                <w:szCs w:val="22"/>
                <w:lang w:eastAsia="lt-LT"/>
              </w:rPr>
            </w:pPr>
            <w:r w:rsidRPr="00FB7019">
              <w:rPr>
                <w:b w:val="0"/>
                <w:sz w:val="22"/>
                <w:szCs w:val="22"/>
                <w:lang w:eastAsia="lt-LT"/>
              </w:rPr>
              <w:t>8. Neaišku, po kokiu strateginio ar programavimo planavimo dokumento tipu pagal SVĮ pateks šiuo metu rengiamas Energetinės sąjungos ir klimato srities valdymo (ES) 2018/1999 reglamento 14 str. integruotas Nacionalinis energetikos ir klimato srities planas su 2021–2030 m. priemonėmis, kuris įgyvendins atnaujinamą NKKVPS, prilyginamą „Nacionalinės darbotvarkės“ strateginio planavimo dokumentui ir kurį tvirtins Vyriausybė.</w:t>
            </w:r>
          </w:p>
        </w:tc>
        <w:tc>
          <w:tcPr>
            <w:tcW w:w="4111" w:type="dxa"/>
          </w:tcPr>
          <w:p w14:paraId="3D1052ED" w14:textId="3B725B22" w:rsidR="00E82F7B" w:rsidRPr="00972C0E" w:rsidRDefault="00252A8C" w:rsidP="00E82F7B">
            <w:pPr>
              <w:pStyle w:val="Betarp"/>
              <w:jc w:val="both"/>
              <w:rPr>
                <w:rFonts w:ascii="Times New Roman" w:hAnsi="Times New Roman" w:cs="Times New Roman"/>
              </w:rPr>
            </w:pPr>
            <w:r>
              <w:rPr>
                <w:rFonts w:ascii="Times New Roman" w:hAnsi="Times New Roman" w:cs="Times New Roman"/>
                <w:lang w:val="en-GB"/>
              </w:rPr>
              <w:t>2019-11</w:t>
            </w:r>
            <w:r w:rsidRPr="008A3EEC">
              <w:rPr>
                <w:rFonts w:ascii="Times New Roman" w:hAnsi="Times New Roman" w:cs="Times New Roman"/>
              </w:rPr>
              <w:t xml:space="preserve">-14 </w:t>
            </w:r>
            <w:r w:rsidR="00C80CFB" w:rsidRPr="008A3EEC">
              <w:rPr>
                <w:rFonts w:ascii="Times New Roman" w:hAnsi="Times New Roman" w:cs="Times New Roman"/>
              </w:rPr>
              <w:t xml:space="preserve">vykusio tarpinstitucinio pasitarimo metu buvo </w:t>
            </w:r>
            <w:r w:rsidR="00FA7138" w:rsidRPr="008A3EEC">
              <w:rPr>
                <w:rFonts w:ascii="Times New Roman" w:hAnsi="Times New Roman" w:cs="Times New Roman"/>
              </w:rPr>
              <w:t>Išsiaiškinta</w:t>
            </w:r>
            <w:r w:rsidR="00FA7138" w:rsidRPr="00FA7138">
              <w:rPr>
                <w:rFonts w:ascii="Times New Roman" w:hAnsi="Times New Roman" w:cs="Times New Roman"/>
              </w:rPr>
              <w:t>, kad tai galės būti nacionalinės darbotvarkės priedas arba nacionalinė plėtros programa</w:t>
            </w:r>
            <w:r w:rsidR="00A81A04">
              <w:rPr>
                <w:rFonts w:ascii="Times New Roman" w:hAnsi="Times New Roman" w:cs="Times New Roman"/>
              </w:rPr>
              <w:t>.</w:t>
            </w:r>
          </w:p>
        </w:tc>
      </w:tr>
      <w:tr w:rsidR="00A567C9" w:rsidRPr="00972C0E" w14:paraId="23A568A3" w14:textId="77777777" w:rsidTr="00680FB8">
        <w:tc>
          <w:tcPr>
            <w:tcW w:w="709" w:type="dxa"/>
          </w:tcPr>
          <w:p w14:paraId="34B746D6" w14:textId="50AAE2FB" w:rsidR="00A567C9" w:rsidRPr="00972C0E" w:rsidRDefault="00BA7D72" w:rsidP="000F48FC">
            <w:pPr>
              <w:pStyle w:val="Betarp"/>
              <w:rPr>
                <w:rFonts w:ascii="Times New Roman" w:hAnsi="Times New Roman" w:cs="Times New Roman"/>
              </w:rPr>
            </w:pPr>
            <w:r>
              <w:rPr>
                <w:rFonts w:ascii="Times New Roman" w:hAnsi="Times New Roman" w:cs="Times New Roman"/>
              </w:rPr>
              <w:t>3</w:t>
            </w:r>
            <w:r w:rsidR="006E37CA">
              <w:rPr>
                <w:rFonts w:ascii="Times New Roman" w:hAnsi="Times New Roman" w:cs="Times New Roman"/>
              </w:rPr>
              <w:t>3</w:t>
            </w:r>
          </w:p>
        </w:tc>
        <w:tc>
          <w:tcPr>
            <w:tcW w:w="2552" w:type="dxa"/>
          </w:tcPr>
          <w:p w14:paraId="76256066" w14:textId="77777777" w:rsidR="00A567C9" w:rsidRPr="00972C0E" w:rsidRDefault="00A567C9" w:rsidP="000F48FC">
            <w:pPr>
              <w:pStyle w:val="Betarp"/>
              <w:rPr>
                <w:rFonts w:ascii="Times New Roman" w:hAnsi="Times New Roman" w:cs="Times New Roman"/>
                <w:b/>
              </w:rPr>
            </w:pPr>
          </w:p>
        </w:tc>
        <w:tc>
          <w:tcPr>
            <w:tcW w:w="7654" w:type="dxa"/>
          </w:tcPr>
          <w:p w14:paraId="12F00F09" w14:textId="4649C952" w:rsidR="00A567C9" w:rsidRPr="00972C0E" w:rsidRDefault="00A567C9" w:rsidP="00C80CFB">
            <w:pPr>
              <w:tabs>
                <w:tab w:val="left" w:pos="315"/>
              </w:tabs>
              <w:jc w:val="both"/>
              <w:rPr>
                <w:rFonts w:ascii="Times New Roman" w:hAnsi="Times New Roman" w:cs="Times New Roman"/>
              </w:rPr>
            </w:pPr>
            <w:r w:rsidRPr="00972C0E">
              <w:rPr>
                <w:rFonts w:ascii="Times New Roman" w:hAnsi="Times New Roman" w:cs="Times New Roman"/>
              </w:rPr>
              <w:t>2.</w:t>
            </w:r>
            <w:r w:rsidR="00C80CFB">
              <w:rPr>
                <w:rFonts w:ascii="Times New Roman" w:hAnsi="Times New Roman" w:cs="Times New Roman"/>
              </w:rPr>
              <w:t xml:space="preserve"> </w:t>
            </w:r>
            <w:r w:rsidRPr="00972C0E">
              <w:rPr>
                <w:rFonts w:ascii="Times New Roman" w:hAnsi="Times New Roman" w:cs="Times New Roman"/>
              </w:rPr>
              <w:t>Dėl Lietuvos Respublikos Seimo nutarimo „Dėl kai kurių Lietuvos Respublikos Seimo nutarimų pripažinimo netekusiu galios“ projekto (toliau – Nutarimas).</w:t>
            </w:r>
          </w:p>
          <w:p w14:paraId="1E7D87FD" w14:textId="77777777" w:rsidR="00A567C9" w:rsidRPr="00972C0E" w:rsidRDefault="00A567C9" w:rsidP="00C80CFB">
            <w:pPr>
              <w:tabs>
                <w:tab w:val="left" w:pos="457"/>
              </w:tabs>
              <w:jc w:val="both"/>
              <w:rPr>
                <w:rFonts w:ascii="Times New Roman" w:hAnsi="Times New Roman" w:cs="Times New Roman"/>
              </w:rPr>
            </w:pPr>
            <w:r w:rsidRPr="00972C0E">
              <w:rPr>
                <w:rFonts w:ascii="Times New Roman" w:hAnsi="Times New Roman" w:cs="Times New Roman"/>
              </w:rPr>
              <w:t>2.1.</w:t>
            </w:r>
            <w:r w:rsidRPr="00972C0E">
              <w:rPr>
                <w:rFonts w:ascii="Times New Roman" w:hAnsi="Times New Roman" w:cs="Times New Roman"/>
              </w:rPr>
              <w:tab/>
              <w:t xml:space="preserve">Prašome atsisakyti Nutarimo 1 straipsnio 1 dalyje nurodyto LR Seimo 2015 m. balandžio 16 d. nutarimo Nr. XII-1626 „Dėl Nacionalinės aplinkos apsaugos strategijos patvirtinimo“ su visais pakeitimais ir papildymais pripažinimo netekusiu galios, nes nuo 2021-01-01 iki kol bus pakeista Valstybės pažangos strategija ar </w:t>
            </w:r>
            <w:r w:rsidRPr="00972C0E">
              <w:rPr>
                <w:rFonts w:ascii="Times New Roman" w:hAnsi="Times New Roman" w:cs="Times New Roman"/>
              </w:rPr>
              <w:lastRenderedPageBreak/>
              <w:t>Seimo patvirtinta Nacionalinė aplinkos apsaugos darbotvarkė, Lietuva neturės ilgalaikės nuoseklios aplinkos politikos planavimo dokumento:</w:t>
            </w:r>
          </w:p>
          <w:p w14:paraId="50D6C5D5" w14:textId="77777777" w:rsidR="00A567C9" w:rsidRPr="00972C0E" w:rsidRDefault="00A567C9" w:rsidP="00C80CFB">
            <w:pPr>
              <w:tabs>
                <w:tab w:val="left" w:pos="315"/>
              </w:tabs>
              <w:jc w:val="both"/>
              <w:rPr>
                <w:rFonts w:ascii="Times New Roman" w:hAnsi="Times New Roman" w:cs="Times New Roman"/>
              </w:rPr>
            </w:pPr>
            <w:r w:rsidRPr="00972C0E">
              <w:rPr>
                <w:rFonts w:ascii="Times New Roman" w:hAnsi="Times New Roman" w:cs="Times New Roman"/>
              </w:rPr>
              <w:t>-</w:t>
            </w:r>
            <w:r w:rsidRPr="00972C0E">
              <w:rPr>
                <w:rFonts w:ascii="Times New Roman" w:hAnsi="Times New Roman" w:cs="Times New Roman"/>
              </w:rPr>
              <w:tab/>
              <w:t>Nacionalinė aplinkos apsaugos strategija (toliau – NAAS) yra pagrindinis skėtinis ilgos trukmės aplinkos apsaugos politikos strateginio planavimo dokumentas, apimantis visas aplinkos politikos sritis, su aiškiomis sąsajomis įgyvendinant tarptautinę ir ES aplinkos apsaugos politiką . NAAS numatyti elementai nėra tiesiogiai perkeliami į Nacionalinį pažangos plano projektą: NAAS nustatyti 1 strateginis tikslas, 11 konkrečių atskiroms aplinkos politikos sritims ilgalaikių tikslų ir politikos tobulinimo gairės 15 aplinkos politikos įgyvendinimo instrumentų (teisėkūrai, aplinkos apsaugos kontrolei, moksliniams tyrimams ir kt.), turinčių tiesiogines sąsajas su ES aplinkos politikos tikslais , o Nacionalinio pažangos plano projekte numatomas tik 1 bendrinis tikslas aplinkos politikai. Be to, Vyriausybė nenumato termino Valstybės pažangos strategijai (toliau – VPS) atnaujinti, o galiojančioje VPS nėra aplinkos ilgalaikę politiką reglamentuojančių nuostatų. Esant tokiai situacijai ir panaikinus NAAS, 2021 metais Lietuva neturės nacionalinės ilgalaikės aplinkos sektoriaus pažangos vizijos (NAAS ji numatyta iki 2050 metų), politikos formavimo ilgalaikių prioritetų ir krypčių, bus prarastas ilgalaikės aplinkos politikos formavimo kryptingumas, nuoseklumas, tęstinumas, sektorinių politikų suderinamumas (nebus galima formuoti ilgalaikės darnaus vystymosi politikos, nes neliks vieno iš trijų jos elementų (aplinkosaugos), todėl neaišku, kokiu pagrindu bus formuojama darni Lietuvos Respublikos teritorijos bendrojo plano koncepcija), suderinamumas su tarptautine, ES ilgalaike aplinkos politika. Atkreipiame dėmesį, kad šios grėsmės (neigiamas poveikis) turėtų atsispindėti Numatomo teisinio reguliavimo poveikio vertinimo pažymoje.</w:t>
            </w:r>
          </w:p>
        </w:tc>
        <w:tc>
          <w:tcPr>
            <w:tcW w:w="4111" w:type="dxa"/>
          </w:tcPr>
          <w:p w14:paraId="5A705CCF" w14:textId="5657D575" w:rsidR="00A567C9" w:rsidRPr="008A3EEC" w:rsidRDefault="008A3EEC" w:rsidP="000F48FC">
            <w:pPr>
              <w:jc w:val="both"/>
              <w:rPr>
                <w:rFonts w:ascii="Times New Roman" w:hAnsi="Times New Roman" w:cs="Times New Roman"/>
              </w:rPr>
            </w:pPr>
            <w:r w:rsidRPr="008A3EEC">
              <w:rPr>
                <w:rFonts w:ascii="Times New Roman" w:hAnsi="Times New Roman" w:cs="Times New Roman"/>
                <w:b/>
              </w:rPr>
              <w:lastRenderedPageBreak/>
              <w:t>Atsižvelgta iš dalies</w:t>
            </w:r>
            <w:r w:rsidRPr="008A3EEC">
              <w:rPr>
                <w:rFonts w:ascii="Times New Roman" w:hAnsi="Times New Roman" w:cs="Times New Roman"/>
              </w:rPr>
              <w:t>. Į SVĮ projekto 16 straipsnį įtrauktos pereinamojo laikotarpio nuostatos, kuriomis siūloma palikti galioti visas strategijas iki 2022 metų gruodžio 31 d. kai bus patvirtinta Valstybės pažangos strategija.</w:t>
            </w:r>
          </w:p>
        </w:tc>
      </w:tr>
      <w:tr w:rsidR="00A567C9" w:rsidRPr="00972C0E" w14:paraId="4940F7A9" w14:textId="77777777" w:rsidTr="00680FB8">
        <w:tc>
          <w:tcPr>
            <w:tcW w:w="709" w:type="dxa"/>
          </w:tcPr>
          <w:p w14:paraId="73436443" w14:textId="155A98A4" w:rsidR="00A567C9" w:rsidRPr="00972C0E" w:rsidRDefault="00BA7D72" w:rsidP="00A567C9">
            <w:pPr>
              <w:pStyle w:val="Betarp"/>
              <w:rPr>
                <w:rFonts w:ascii="Times New Roman" w:hAnsi="Times New Roman" w:cs="Times New Roman"/>
              </w:rPr>
            </w:pPr>
            <w:r>
              <w:rPr>
                <w:rFonts w:ascii="Times New Roman" w:hAnsi="Times New Roman" w:cs="Times New Roman"/>
              </w:rPr>
              <w:lastRenderedPageBreak/>
              <w:t>3</w:t>
            </w:r>
            <w:r w:rsidR="006E37CA">
              <w:rPr>
                <w:rFonts w:ascii="Times New Roman" w:hAnsi="Times New Roman" w:cs="Times New Roman"/>
              </w:rPr>
              <w:t>4</w:t>
            </w:r>
          </w:p>
        </w:tc>
        <w:tc>
          <w:tcPr>
            <w:tcW w:w="2552" w:type="dxa"/>
          </w:tcPr>
          <w:p w14:paraId="7B6A534D" w14:textId="77777777" w:rsidR="00A567C9" w:rsidRPr="00972C0E" w:rsidRDefault="00A567C9" w:rsidP="00A567C9">
            <w:pPr>
              <w:pStyle w:val="Betarp"/>
              <w:rPr>
                <w:rFonts w:ascii="Times New Roman" w:hAnsi="Times New Roman" w:cs="Times New Roman"/>
              </w:rPr>
            </w:pPr>
          </w:p>
        </w:tc>
        <w:tc>
          <w:tcPr>
            <w:tcW w:w="7654" w:type="dxa"/>
          </w:tcPr>
          <w:p w14:paraId="72013523" w14:textId="77777777" w:rsidR="00A567C9" w:rsidRPr="00A567C9" w:rsidRDefault="00A567C9" w:rsidP="00A567C9">
            <w:pPr>
              <w:tabs>
                <w:tab w:val="left" w:pos="315"/>
              </w:tabs>
              <w:jc w:val="both"/>
              <w:rPr>
                <w:rFonts w:ascii="Times New Roman" w:hAnsi="Times New Roman" w:cs="Times New Roman"/>
              </w:rPr>
            </w:pPr>
            <w:r w:rsidRPr="00A567C9">
              <w:rPr>
                <w:rFonts w:ascii="Times New Roman" w:hAnsi="Times New Roman" w:cs="Times New Roman"/>
              </w:rPr>
              <w:t>3.</w:t>
            </w:r>
            <w:r w:rsidRPr="00A567C9">
              <w:rPr>
                <w:rFonts w:ascii="Times New Roman" w:hAnsi="Times New Roman" w:cs="Times New Roman"/>
              </w:rPr>
              <w:tab/>
              <w:t xml:space="preserve">Dėl Lietuvos Respublikos aplinkos apsaugos įstatymo Nr. I-2223 1,5 ir 6 straipsnių pakeitimo įstatymo projekto (toliau – AAĮ). Atkreipiame dėmesį, kad AAĮ 1 straipsnio 18 punkte planų ir programų sąvoka apima ne tik SVĮ, LR teritorijų planavimo, LR regioninės plėtros, LR vietos savivaldos įstatymuose reglamentuojamus planavimo dokumentus, bet ir kitus dokumentus (įvairius ūkinės veiklos, </w:t>
            </w:r>
            <w:proofErr w:type="spellStart"/>
            <w:r w:rsidRPr="00A567C9">
              <w:rPr>
                <w:rFonts w:ascii="Times New Roman" w:hAnsi="Times New Roman" w:cs="Times New Roman"/>
              </w:rPr>
              <w:t>gamtotvarkos</w:t>
            </w:r>
            <w:proofErr w:type="spellEnd"/>
            <w:r w:rsidRPr="00A567C9">
              <w:rPr>
                <w:rFonts w:ascii="Times New Roman" w:hAnsi="Times New Roman" w:cs="Times New Roman"/>
              </w:rPr>
              <w:t>, kitus aplinkos apsaugos planavimo dokumentus). AAĮ 1 straipsnio 18 punkto formuluotė perkelia Europos Parlamento ir Tarybos direktyvos 2001/42/EB 2001 m. birželio 27 d. dėl tam tikrų planų ir programų pasekmių aplinkai vertinimo 2 straipsnio nuostatą:</w:t>
            </w:r>
          </w:p>
          <w:p w14:paraId="336071E8" w14:textId="77777777" w:rsidR="00A567C9" w:rsidRPr="00A567C9" w:rsidRDefault="00A567C9" w:rsidP="00A567C9">
            <w:pPr>
              <w:jc w:val="both"/>
              <w:rPr>
                <w:rFonts w:ascii="Times New Roman" w:hAnsi="Times New Roman" w:cs="Times New Roman"/>
              </w:rPr>
            </w:pPr>
            <w:r w:rsidRPr="00A567C9">
              <w:rPr>
                <w:rFonts w:ascii="Times New Roman" w:hAnsi="Times New Roman" w:cs="Times New Roman"/>
              </w:rPr>
              <w:t>„a) "planai ir programos" — tai planai ir programos, įskaitant tuos, prie kurių finansavimo prisideda Europos bendrija, taip pat visi jų daliniai pakeitimai:</w:t>
            </w:r>
          </w:p>
          <w:p w14:paraId="15FEA43B" w14:textId="77777777" w:rsidR="00A567C9" w:rsidRPr="00A567C9" w:rsidRDefault="00A567C9" w:rsidP="00A567C9">
            <w:pPr>
              <w:jc w:val="both"/>
              <w:rPr>
                <w:rFonts w:ascii="Times New Roman" w:hAnsi="Times New Roman" w:cs="Times New Roman"/>
              </w:rPr>
            </w:pPr>
            <w:r w:rsidRPr="00A567C9">
              <w:rPr>
                <w:rFonts w:ascii="Times New Roman" w:hAnsi="Times New Roman" w:cs="Times New Roman"/>
              </w:rPr>
              <w:t>- kuriuos turi parengti ir (arba) priimti valdžios institucija nacionaliniu, regioniniu arba vietiniu lygiu arba kuriuos parengia valdžios institucija ir kuriuos vėliau priima Parlamentas arba Vyriausybė laikantis įstatymų leidimo procedūros, ir</w:t>
            </w:r>
          </w:p>
          <w:p w14:paraId="64EF21D4" w14:textId="77777777" w:rsidR="00A567C9" w:rsidRPr="00A567C9" w:rsidRDefault="00A567C9" w:rsidP="00A567C9">
            <w:pPr>
              <w:jc w:val="both"/>
              <w:rPr>
                <w:rFonts w:ascii="Times New Roman" w:hAnsi="Times New Roman" w:cs="Times New Roman"/>
              </w:rPr>
            </w:pPr>
            <w:r w:rsidRPr="00A567C9">
              <w:rPr>
                <w:rFonts w:ascii="Times New Roman" w:hAnsi="Times New Roman" w:cs="Times New Roman"/>
              </w:rPr>
              <w:t>- kurių reikia pagal įstatymų ir kitų teisės aktų nuostatas;“</w:t>
            </w:r>
          </w:p>
          <w:p w14:paraId="44F1BD46" w14:textId="77777777" w:rsidR="00A567C9" w:rsidRPr="00A567C9" w:rsidRDefault="00A567C9" w:rsidP="00A567C9">
            <w:pPr>
              <w:jc w:val="both"/>
              <w:rPr>
                <w:rFonts w:ascii="Times New Roman" w:hAnsi="Times New Roman" w:cs="Times New Roman"/>
              </w:rPr>
            </w:pPr>
            <w:r w:rsidRPr="00A567C9">
              <w:rPr>
                <w:rFonts w:ascii="Times New Roman" w:hAnsi="Times New Roman" w:cs="Times New Roman"/>
              </w:rPr>
              <w:lastRenderedPageBreak/>
              <w:t>Direktyvos nuostatų perkėlimas yra įvertintas Europos Komisijos ir yra tinkamas. Prašome atsisakyti AAĮ 1 straipsnio keitimo. Palikus siūlymą keisti minėtą punktą, jo pakeitimas turės būti teikiamas notifikuoti Europos Komisijai.</w:t>
            </w:r>
          </w:p>
          <w:p w14:paraId="08F6F88E" w14:textId="77777777" w:rsidR="00A567C9" w:rsidRPr="00A567C9" w:rsidRDefault="00A567C9" w:rsidP="00A567C9">
            <w:pPr>
              <w:jc w:val="both"/>
              <w:rPr>
                <w:rFonts w:ascii="Times New Roman" w:hAnsi="Times New Roman" w:cs="Times New Roman"/>
              </w:rPr>
            </w:pPr>
            <w:r w:rsidRPr="00A567C9">
              <w:rPr>
                <w:rFonts w:ascii="Times New Roman" w:hAnsi="Times New Roman" w:cs="Times New Roman"/>
              </w:rPr>
              <w:t xml:space="preserve">Minėta direktyvos nuostata iškelia sąlygą, kad bet koks planas ar programa privalo būti rengiamas, tvirtinamas ir (ar) priimamas pagal galiojančius teisės aktus ar įgyvendinant viešąjį administravimą. Nauja planų ir programų sąvoka šios sąlygos nenumato. Be to, apibrėžtyje atsisakius strategijų ir koncepcijų įvardinimo, dalis planavimo dokumentų nepaklius į planų ir programų sąvoką, kaip pasekmė – direktyvos reikalavimai atlikti pasekmių vertinimą jiems nebūtų taikomi. </w:t>
            </w:r>
          </w:p>
          <w:p w14:paraId="05AA1610" w14:textId="77777777" w:rsidR="00A567C9" w:rsidRPr="00A567C9" w:rsidRDefault="00A567C9" w:rsidP="00A567C9">
            <w:pPr>
              <w:jc w:val="both"/>
              <w:rPr>
                <w:rFonts w:ascii="Times New Roman" w:hAnsi="Times New Roman" w:cs="Times New Roman"/>
              </w:rPr>
            </w:pPr>
            <w:r w:rsidRPr="00A567C9">
              <w:rPr>
                <w:rFonts w:ascii="Times New Roman" w:hAnsi="Times New Roman" w:cs="Times New Roman"/>
              </w:rPr>
              <w:t xml:space="preserve">Pavyzdžiui, Lietuvos Respublikos teritorijos bendrojo plano koncepcija (toliau – LRBP koncepcija), tvirtinama Seimo, yra direktyvos taikymo objektas, atitinkantis direktyvos nustatytą planų ir programų sąvoką. Įsigaliojus Aplinkos apsaugos įstatymo 1 straipsnio 18 punkto pakeitimui, kuris pakeistų direktyvos nuostatos perkėlimą, LRBP koncepcija (ne planas ir ne programa) neatitiks naujos planų ir programų sąvokos formuluotės ir direktyva tokiu atveju LRBP koncepcijai būtų netaikoma. </w:t>
            </w:r>
          </w:p>
          <w:p w14:paraId="390A9FA4" w14:textId="691D194F" w:rsidR="00A567C9" w:rsidRPr="00A567C9" w:rsidRDefault="00A567C9" w:rsidP="00A567C9">
            <w:pPr>
              <w:pStyle w:val="naispant"/>
              <w:tabs>
                <w:tab w:val="left" w:pos="709"/>
                <w:tab w:val="left" w:pos="1134"/>
              </w:tabs>
              <w:spacing w:before="0" w:after="0"/>
              <w:ind w:left="0" w:firstLine="0"/>
              <w:rPr>
                <w:b w:val="0"/>
                <w:sz w:val="22"/>
                <w:szCs w:val="22"/>
                <w:lang w:val="lt-LT"/>
              </w:rPr>
            </w:pPr>
            <w:r w:rsidRPr="00A567C9">
              <w:rPr>
                <w:b w:val="0"/>
                <w:sz w:val="22"/>
                <w:szCs w:val="22"/>
              </w:rPr>
              <w:t>Atsižvelgiant į tai, kas išdėstyta, manome, kad Aplinkos apsaugos įstatymo 1 straipsnio 18 punkto pakeitimas sukels neigiamų pasekmių minėtos direktyvos perkėlimui ir įgyvendinimui.</w:t>
            </w:r>
          </w:p>
        </w:tc>
        <w:tc>
          <w:tcPr>
            <w:tcW w:w="4111" w:type="dxa"/>
          </w:tcPr>
          <w:p w14:paraId="679B3B5B" w14:textId="08A95415" w:rsidR="00A567C9" w:rsidRPr="00972C0E" w:rsidRDefault="009E7F35" w:rsidP="009E7F35">
            <w:pPr>
              <w:pStyle w:val="Betarp"/>
              <w:jc w:val="both"/>
              <w:rPr>
                <w:rFonts w:ascii="Times New Roman" w:hAnsi="Times New Roman" w:cs="Times New Roman"/>
                <w:highlight w:val="yellow"/>
              </w:rPr>
            </w:pPr>
            <w:r w:rsidRPr="009E7F35">
              <w:rPr>
                <w:rFonts w:ascii="Times New Roman" w:hAnsi="Times New Roman" w:cs="Times New Roman"/>
                <w:b/>
              </w:rPr>
              <w:lastRenderedPageBreak/>
              <w:t>Atsižvelgta iš dalies</w:t>
            </w:r>
            <w:r w:rsidRPr="009E7F35">
              <w:rPr>
                <w:rFonts w:ascii="Times New Roman" w:hAnsi="Times New Roman" w:cs="Times New Roman"/>
              </w:rPr>
              <w:t>, pagal Aplinkos ministerijos pateiktą pasiūlymą patikslinta sąvoka.</w:t>
            </w:r>
          </w:p>
        </w:tc>
      </w:tr>
      <w:tr w:rsidR="00E82F7B" w:rsidRPr="00972C0E" w14:paraId="567226F8" w14:textId="77777777" w:rsidTr="00680FB8">
        <w:tc>
          <w:tcPr>
            <w:tcW w:w="709" w:type="dxa"/>
          </w:tcPr>
          <w:p w14:paraId="6129ED55" w14:textId="10ECD1B2" w:rsidR="00E82F7B" w:rsidRPr="00972C0E" w:rsidRDefault="00BA7D72" w:rsidP="00E82F7B">
            <w:pPr>
              <w:pStyle w:val="Betarp"/>
              <w:rPr>
                <w:rFonts w:ascii="Times New Roman" w:hAnsi="Times New Roman" w:cs="Times New Roman"/>
              </w:rPr>
            </w:pPr>
            <w:r>
              <w:rPr>
                <w:rFonts w:ascii="Times New Roman" w:hAnsi="Times New Roman" w:cs="Times New Roman"/>
              </w:rPr>
              <w:t>3</w:t>
            </w:r>
            <w:r w:rsidR="006E37CA">
              <w:rPr>
                <w:rFonts w:ascii="Times New Roman" w:hAnsi="Times New Roman" w:cs="Times New Roman"/>
              </w:rPr>
              <w:t>5</w:t>
            </w:r>
          </w:p>
        </w:tc>
        <w:tc>
          <w:tcPr>
            <w:tcW w:w="2552" w:type="dxa"/>
          </w:tcPr>
          <w:p w14:paraId="2082B471" w14:textId="77777777" w:rsidR="00E82F7B" w:rsidRPr="00972C0E" w:rsidRDefault="00E82F7B" w:rsidP="00E82F7B">
            <w:pPr>
              <w:pStyle w:val="Betarp"/>
              <w:rPr>
                <w:rFonts w:ascii="Times New Roman" w:hAnsi="Times New Roman" w:cs="Times New Roman"/>
              </w:rPr>
            </w:pPr>
          </w:p>
        </w:tc>
        <w:tc>
          <w:tcPr>
            <w:tcW w:w="7654" w:type="dxa"/>
          </w:tcPr>
          <w:p w14:paraId="51510F5E" w14:textId="71CB29B1" w:rsidR="00E82F7B" w:rsidRPr="00A567C9" w:rsidRDefault="00A567C9" w:rsidP="00A567C9">
            <w:pPr>
              <w:tabs>
                <w:tab w:val="left" w:pos="315"/>
              </w:tabs>
              <w:jc w:val="both"/>
              <w:rPr>
                <w:rFonts w:ascii="Times New Roman" w:eastAsia="MS Mincho" w:hAnsi="Times New Roman" w:cs="Times New Roman"/>
                <w:lang w:eastAsia="ja-JP"/>
              </w:rPr>
            </w:pPr>
            <w:r w:rsidRPr="00A567C9">
              <w:rPr>
                <w:rFonts w:ascii="Times New Roman" w:eastAsia="MS Mincho" w:hAnsi="Times New Roman" w:cs="Times New Roman"/>
                <w:lang w:eastAsia="ja-JP"/>
              </w:rPr>
              <w:t>4.</w:t>
            </w:r>
            <w:r w:rsidRPr="00A567C9">
              <w:rPr>
                <w:rFonts w:ascii="Times New Roman" w:eastAsia="MS Mincho" w:hAnsi="Times New Roman" w:cs="Times New Roman"/>
                <w:lang w:eastAsia="ja-JP"/>
              </w:rPr>
              <w:tab/>
              <w:t>Dėl Lietuvos Respublikos aplinkos oro apsaugos įstatymo Nr. VIII-1392 10 straipsnio pakeitimo projekto (toliau – AOAĮ).</w:t>
            </w:r>
          </w:p>
        </w:tc>
        <w:tc>
          <w:tcPr>
            <w:tcW w:w="4111" w:type="dxa"/>
          </w:tcPr>
          <w:p w14:paraId="2DC76B75" w14:textId="390A10E4" w:rsidR="00E82F7B" w:rsidRPr="00972C0E" w:rsidRDefault="009E7F35" w:rsidP="009E7F35">
            <w:pPr>
              <w:pStyle w:val="Betarp"/>
              <w:jc w:val="both"/>
              <w:rPr>
                <w:rFonts w:ascii="Times New Roman" w:hAnsi="Times New Roman" w:cs="Times New Roman"/>
                <w:highlight w:val="yellow"/>
              </w:rPr>
            </w:pPr>
            <w:r w:rsidRPr="00BC343C">
              <w:rPr>
                <w:rFonts w:ascii="Times New Roman" w:hAnsi="Times New Roman" w:cs="Times New Roman"/>
                <w:b/>
              </w:rPr>
              <w:t>Atsižvelgta iš dalies</w:t>
            </w:r>
            <w:r w:rsidRPr="009E7F35">
              <w:rPr>
                <w:rFonts w:ascii="Times New Roman" w:hAnsi="Times New Roman" w:cs="Times New Roman"/>
              </w:rPr>
              <w:t>, pagal Aplinkos</w:t>
            </w:r>
            <w:r>
              <w:rPr>
                <w:rFonts w:ascii="Times New Roman" w:hAnsi="Times New Roman" w:cs="Times New Roman"/>
              </w:rPr>
              <w:t xml:space="preserve"> </w:t>
            </w:r>
            <w:r w:rsidRPr="009E7F35">
              <w:rPr>
                <w:rFonts w:ascii="Times New Roman" w:hAnsi="Times New Roman" w:cs="Times New Roman"/>
              </w:rPr>
              <w:t>ministerijos pateiktą išaiškinimą patikslintas teikiamas AOAĮ projektas</w:t>
            </w:r>
          </w:p>
        </w:tc>
      </w:tr>
    </w:tbl>
    <w:p w14:paraId="0BF94284" w14:textId="77777777" w:rsidR="00A0572B" w:rsidRPr="00972C0E" w:rsidRDefault="00A0572B" w:rsidP="00972C0E">
      <w:pPr>
        <w:pStyle w:val="Betarp"/>
        <w:rPr>
          <w:rFonts w:ascii="Times New Roman" w:hAnsi="Times New Roman" w:cs="Times New Roman"/>
        </w:rPr>
      </w:pPr>
    </w:p>
    <w:p w14:paraId="3AF6A76F" w14:textId="77777777" w:rsidR="00A0572B" w:rsidRPr="00972C0E" w:rsidRDefault="00A0572B" w:rsidP="00972C0E">
      <w:pPr>
        <w:pStyle w:val="Betarp"/>
        <w:rPr>
          <w:rFonts w:ascii="Times New Roman" w:hAnsi="Times New Roman" w:cs="Times New Roman"/>
        </w:rPr>
      </w:pPr>
    </w:p>
    <w:sectPr w:rsidR="00A0572B" w:rsidRPr="00972C0E" w:rsidSect="00A0572B">
      <w:pgSz w:w="16838" w:h="11906" w:orient="landscape"/>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308FE" w14:textId="77777777" w:rsidR="00636570" w:rsidRDefault="00636570" w:rsidP="00EE1EA2">
      <w:pPr>
        <w:spacing w:after="0" w:line="240" w:lineRule="auto"/>
      </w:pPr>
      <w:r>
        <w:separator/>
      </w:r>
    </w:p>
  </w:endnote>
  <w:endnote w:type="continuationSeparator" w:id="0">
    <w:p w14:paraId="08C14AB7" w14:textId="77777777" w:rsidR="00636570" w:rsidRDefault="00636570" w:rsidP="00EE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Calibri"/>
    <w:charset w:val="BA"/>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9F599" w14:textId="77777777" w:rsidR="00636570" w:rsidRDefault="00636570" w:rsidP="00EE1EA2">
      <w:pPr>
        <w:spacing w:after="0" w:line="240" w:lineRule="auto"/>
      </w:pPr>
      <w:r>
        <w:separator/>
      </w:r>
    </w:p>
  </w:footnote>
  <w:footnote w:type="continuationSeparator" w:id="0">
    <w:p w14:paraId="562CD267" w14:textId="77777777" w:rsidR="00636570" w:rsidRDefault="00636570" w:rsidP="00EE1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3F6"/>
    <w:multiLevelType w:val="hybridMultilevel"/>
    <w:tmpl w:val="F5682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BE5996"/>
    <w:multiLevelType w:val="hybridMultilevel"/>
    <w:tmpl w:val="D69818EA"/>
    <w:lvl w:ilvl="0" w:tplc="B2B4588E">
      <w:start w:val="1"/>
      <w:numFmt w:val="decimal"/>
      <w:lvlText w:val="%1."/>
      <w:lvlJc w:val="left"/>
      <w:pPr>
        <w:ind w:left="720" w:hanging="360"/>
      </w:pPr>
      <w:rPr>
        <w:rFonts w:eastAsia="Times New Roman"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5D244C"/>
    <w:multiLevelType w:val="hybridMultilevel"/>
    <w:tmpl w:val="9E385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41ACB"/>
    <w:multiLevelType w:val="hybridMultilevel"/>
    <w:tmpl w:val="D06084DE"/>
    <w:lvl w:ilvl="0" w:tplc="48DECC94">
      <w:start w:val="1"/>
      <w:numFmt w:val="bullet"/>
      <w:lvlText w:val="-"/>
      <w:lvlJc w:val="left"/>
      <w:pPr>
        <w:ind w:left="1211" w:hanging="360"/>
      </w:pPr>
      <w:rPr>
        <w:rFonts w:ascii="Times New Roman" w:eastAsia="Times New Roman" w:hAnsi="Times New Roman" w:cs="Times New Roman" w:hint="default"/>
        <w:strike w:val="0"/>
        <w:dstrike w:val="0"/>
        <w:u w:val="none"/>
        <w:effect w:val="none"/>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4" w15:restartNumberingAfterBreak="0">
    <w:nsid w:val="36C27EFB"/>
    <w:multiLevelType w:val="hybridMultilevel"/>
    <w:tmpl w:val="3880D94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EE3267"/>
    <w:multiLevelType w:val="hybridMultilevel"/>
    <w:tmpl w:val="FA82E44E"/>
    <w:lvl w:ilvl="0" w:tplc="94CA95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02D0A8B"/>
    <w:multiLevelType w:val="hybridMultilevel"/>
    <w:tmpl w:val="93BE701A"/>
    <w:lvl w:ilvl="0" w:tplc="552CFF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0B73D98"/>
    <w:multiLevelType w:val="hybridMultilevel"/>
    <w:tmpl w:val="F3828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120EE2"/>
    <w:multiLevelType w:val="hybridMultilevel"/>
    <w:tmpl w:val="21D06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BB2EE8"/>
    <w:multiLevelType w:val="hybridMultilevel"/>
    <w:tmpl w:val="896EC8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01D09FE"/>
    <w:multiLevelType w:val="hybridMultilevel"/>
    <w:tmpl w:val="4F5CE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1E30BD"/>
    <w:multiLevelType w:val="hybridMultilevel"/>
    <w:tmpl w:val="7724142A"/>
    <w:lvl w:ilvl="0" w:tplc="282204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3F3135"/>
    <w:multiLevelType w:val="multilevel"/>
    <w:tmpl w:val="84E24B52"/>
    <w:lvl w:ilvl="0">
      <w:start w:val="1"/>
      <w:numFmt w:val="decimal"/>
      <w:pStyle w:val="KTpstrnum"/>
      <w:lvlText w:val="(%1)"/>
      <w:lvlJc w:val="left"/>
      <w:pPr>
        <w:ind w:left="0" w:firstLine="567"/>
      </w:pPr>
      <w:rPr>
        <w:rFonts w:ascii="Times New Roman" w:hAnsi="Times New Roman" w:hint="default"/>
        <w:b w:val="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3" w15:restartNumberingAfterBreak="0">
    <w:nsid w:val="746E6BA6"/>
    <w:multiLevelType w:val="hybridMultilevel"/>
    <w:tmpl w:val="EEF26E02"/>
    <w:lvl w:ilvl="0" w:tplc="5F06E5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7"/>
  </w:num>
  <w:num w:numId="5">
    <w:abstractNumId w:val="5"/>
  </w:num>
  <w:num w:numId="6">
    <w:abstractNumId w:val="1"/>
  </w:num>
  <w:num w:numId="7">
    <w:abstractNumId w:val="4"/>
  </w:num>
  <w:num w:numId="8">
    <w:abstractNumId w:val="13"/>
  </w:num>
  <w:num w:numId="9">
    <w:abstractNumId w:val="11"/>
  </w:num>
  <w:num w:numId="10">
    <w:abstractNumId w:val="3"/>
  </w:num>
  <w:num w:numId="11">
    <w:abstractNumId w:val="8"/>
  </w:num>
  <w:num w:numId="12">
    <w:abstractNumId w:val="2"/>
  </w:num>
  <w:num w:numId="13">
    <w:abstractNumId w:val="0"/>
  </w:num>
  <w:num w:numId="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2B"/>
    <w:rsid w:val="00005F03"/>
    <w:rsid w:val="00010FDD"/>
    <w:rsid w:val="000124D4"/>
    <w:rsid w:val="00017E5C"/>
    <w:rsid w:val="0002553A"/>
    <w:rsid w:val="00027A48"/>
    <w:rsid w:val="00040E08"/>
    <w:rsid w:val="000424C1"/>
    <w:rsid w:val="00045A3F"/>
    <w:rsid w:val="00046541"/>
    <w:rsid w:val="00046910"/>
    <w:rsid w:val="00052D7C"/>
    <w:rsid w:val="00056C45"/>
    <w:rsid w:val="000623BE"/>
    <w:rsid w:val="000673BC"/>
    <w:rsid w:val="000714D7"/>
    <w:rsid w:val="00082925"/>
    <w:rsid w:val="00085276"/>
    <w:rsid w:val="00087A5F"/>
    <w:rsid w:val="00092A48"/>
    <w:rsid w:val="00095DA8"/>
    <w:rsid w:val="000A5544"/>
    <w:rsid w:val="000B0AB5"/>
    <w:rsid w:val="000B0DF6"/>
    <w:rsid w:val="000B2419"/>
    <w:rsid w:val="000B4848"/>
    <w:rsid w:val="000B605D"/>
    <w:rsid w:val="000B67B9"/>
    <w:rsid w:val="000B68EE"/>
    <w:rsid w:val="000B76C7"/>
    <w:rsid w:val="000C67BF"/>
    <w:rsid w:val="000D0818"/>
    <w:rsid w:val="000D1A1E"/>
    <w:rsid w:val="000D1F66"/>
    <w:rsid w:val="000D3254"/>
    <w:rsid w:val="000D3F52"/>
    <w:rsid w:val="000E047E"/>
    <w:rsid w:val="000E1C2D"/>
    <w:rsid w:val="000E25C0"/>
    <w:rsid w:val="000E2F9F"/>
    <w:rsid w:val="000E52FF"/>
    <w:rsid w:val="000F48FC"/>
    <w:rsid w:val="000F5B72"/>
    <w:rsid w:val="00102FDD"/>
    <w:rsid w:val="0012258D"/>
    <w:rsid w:val="001252E1"/>
    <w:rsid w:val="00130120"/>
    <w:rsid w:val="001302BD"/>
    <w:rsid w:val="0013532A"/>
    <w:rsid w:val="00135A16"/>
    <w:rsid w:val="0014174B"/>
    <w:rsid w:val="0014313C"/>
    <w:rsid w:val="001432E7"/>
    <w:rsid w:val="00143569"/>
    <w:rsid w:val="0014415E"/>
    <w:rsid w:val="00146395"/>
    <w:rsid w:val="00146C26"/>
    <w:rsid w:val="00150C14"/>
    <w:rsid w:val="0015136E"/>
    <w:rsid w:val="00152553"/>
    <w:rsid w:val="001529C9"/>
    <w:rsid w:val="00152C3F"/>
    <w:rsid w:val="00154389"/>
    <w:rsid w:val="00155FEA"/>
    <w:rsid w:val="001657A6"/>
    <w:rsid w:val="00165EF9"/>
    <w:rsid w:val="00167804"/>
    <w:rsid w:val="00170778"/>
    <w:rsid w:val="00173538"/>
    <w:rsid w:val="00173E41"/>
    <w:rsid w:val="00176889"/>
    <w:rsid w:val="001771DF"/>
    <w:rsid w:val="001811EA"/>
    <w:rsid w:val="00185482"/>
    <w:rsid w:val="00190A37"/>
    <w:rsid w:val="00194A13"/>
    <w:rsid w:val="00194E78"/>
    <w:rsid w:val="00195011"/>
    <w:rsid w:val="0019745E"/>
    <w:rsid w:val="001A082B"/>
    <w:rsid w:val="001A0AF9"/>
    <w:rsid w:val="001A3B28"/>
    <w:rsid w:val="001A493A"/>
    <w:rsid w:val="001A4BC4"/>
    <w:rsid w:val="001A60EF"/>
    <w:rsid w:val="001A7654"/>
    <w:rsid w:val="001B10D5"/>
    <w:rsid w:val="001B1E0A"/>
    <w:rsid w:val="001B424A"/>
    <w:rsid w:val="001B6056"/>
    <w:rsid w:val="001B61BB"/>
    <w:rsid w:val="001C070A"/>
    <w:rsid w:val="001C0D9A"/>
    <w:rsid w:val="001C46F8"/>
    <w:rsid w:val="001C5727"/>
    <w:rsid w:val="001C7F54"/>
    <w:rsid w:val="001D52A7"/>
    <w:rsid w:val="001D5B53"/>
    <w:rsid w:val="001D6F01"/>
    <w:rsid w:val="001E0A27"/>
    <w:rsid w:val="001E2B81"/>
    <w:rsid w:val="001E319B"/>
    <w:rsid w:val="001E7984"/>
    <w:rsid w:val="001E79DE"/>
    <w:rsid w:val="001F4E50"/>
    <w:rsid w:val="001F7589"/>
    <w:rsid w:val="00203277"/>
    <w:rsid w:val="00204122"/>
    <w:rsid w:val="002043A3"/>
    <w:rsid w:val="00205589"/>
    <w:rsid w:val="002126B7"/>
    <w:rsid w:val="00212EDA"/>
    <w:rsid w:val="0021541F"/>
    <w:rsid w:val="00225E75"/>
    <w:rsid w:val="00227BB6"/>
    <w:rsid w:val="00230C6D"/>
    <w:rsid w:val="00231E96"/>
    <w:rsid w:val="00240A25"/>
    <w:rsid w:val="0024216D"/>
    <w:rsid w:val="0024235C"/>
    <w:rsid w:val="0025060F"/>
    <w:rsid w:val="00250C40"/>
    <w:rsid w:val="00250E45"/>
    <w:rsid w:val="00252A8C"/>
    <w:rsid w:val="00253C76"/>
    <w:rsid w:val="00255598"/>
    <w:rsid w:val="002577A4"/>
    <w:rsid w:val="00260318"/>
    <w:rsid w:val="00270C6F"/>
    <w:rsid w:val="00272C05"/>
    <w:rsid w:val="00274CAF"/>
    <w:rsid w:val="002829DB"/>
    <w:rsid w:val="00282B02"/>
    <w:rsid w:val="00287A1D"/>
    <w:rsid w:val="002929BC"/>
    <w:rsid w:val="002963B4"/>
    <w:rsid w:val="0029731B"/>
    <w:rsid w:val="002A3148"/>
    <w:rsid w:val="002A32CA"/>
    <w:rsid w:val="002A41F0"/>
    <w:rsid w:val="002A467E"/>
    <w:rsid w:val="002A559A"/>
    <w:rsid w:val="002B6326"/>
    <w:rsid w:val="002C5095"/>
    <w:rsid w:val="002D002B"/>
    <w:rsid w:val="002D069B"/>
    <w:rsid w:val="002D0BA4"/>
    <w:rsid w:val="002D6104"/>
    <w:rsid w:val="002E0483"/>
    <w:rsid w:val="002E0B7F"/>
    <w:rsid w:val="002E5BD6"/>
    <w:rsid w:val="002E6186"/>
    <w:rsid w:val="002F1571"/>
    <w:rsid w:val="002F2F30"/>
    <w:rsid w:val="002F3422"/>
    <w:rsid w:val="002F473A"/>
    <w:rsid w:val="00303019"/>
    <w:rsid w:val="00303438"/>
    <w:rsid w:val="00304BA5"/>
    <w:rsid w:val="00304C7E"/>
    <w:rsid w:val="003067E2"/>
    <w:rsid w:val="0030698E"/>
    <w:rsid w:val="00306AA4"/>
    <w:rsid w:val="00312ADB"/>
    <w:rsid w:val="003205DE"/>
    <w:rsid w:val="0032427C"/>
    <w:rsid w:val="00327724"/>
    <w:rsid w:val="003278B1"/>
    <w:rsid w:val="00335252"/>
    <w:rsid w:val="00340418"/>
    <w:rsid w:val="00344C2A"/>
    <w:rsid w:val="00345CEE"/>
    <w:rsid w:val="00345F96"/>
    <w:rsid w:val="00346C10"/>
    <w:rsid w:val="003505DF"/>
    <w:rsid w:val="0035114A"/>
    <w:rsid w:val="00351B8D"/>
    <w:rsid w:val="00352AD1"/>
    <w:rsid w:val="003614B6"/>
    <w:rsid w:val="003634BA"/>
    <w:rsid w:val="00364C09"/>
    <w:rsid w:val="00370D23"/>
    <w:rsid w:val="00373C08"/>
    <w:rsid w:val="00380110"/>
    <w:rsid w:val="003821EA"/>
    <w:rsid w:val="00383365"/>
    <w:rsid w:val="003913D1"/>
    <w:rsid w:val="0039166C"/>
    <w:rsid w:val="00391708"/>
    <w:rsid w:val="0039412F"/>
    <w:rsid w:val="0039449B"/>
    <w:rsid w:val="003946D7"/>
    <w:rsid w:val="00397B1D"/>
    <w:rsid w:val="003A092F"/>
    <w:rsid w:val="003A3CB0"/>
    <w:rsid w:val="003A42B4"/>
    <w:rsid w:val="003A449E"/>
    <w:rsid w:val="003A6C2C"/>
    <w:rsid w:val="003A6FF7"/>
    <w:rsid w:val="003B65CF"/>
    <w:rsid w:val="003C0392"/>
    <w:rsid w:val="003C34CB"/>
    <w:rsid w:val="003C37DA"/>
    <w:rsid w:val="003C44D0"/>
    <w:rsid w:val="003D3B25"/>
    <w:rsid w:val="003E3820"/>
    <w:rsid w:val="003E4920"/>
    <w:rsid w:val="003E5DE0"/>
    <w:rsid w:val="003F0421"/>
    <w:rsid w:val="003F77B9"/>
    <w:rsid w:val="00407814"/>
    <w:rsid w:val="00415BC2"/>
    <w:rsid w:val="0042080D"/>
    <w:rsid w:val="00421159"/>
    <w:rsid w:val="00421201"/>
    <w:rsid w:val="004225DC"/>
    <w:rsid w:val="004240EF"/>
    <w:rsid w:val="00424598"/>
    <w:rsid w:val="0042707B"/>
    <w:rsid w:val="004367A4"/>
    <w:rsid w:val="004514E4"/>
    <w:rsid w:val="0045261F"/>
    <w:rsid w:val="00455BF1"/>
    <w:rsid w:val="00456FC5"/>
    <w:rsid w:val="0046370C"/>
    <w:rsid w:val="004657F7"/>
    <w:rsid w:val="00470E90"/>
    <w:rsid w:val="0049165C"/>
    <w:rsid w:val="0049750F"/>
    <w:rsid w:val="004B00AB"/>
    <w:rsid w:val="004B0EEF"/>
    <w:rsid w:val="004B3439"/>
    <w:rsid w:val="004B6C05"/>
    <w:rsid w:val="004C1D4A"/>
    <w:rsid w:val="004C7F93"/>
    <w:rsid w:val="004D01A8"/>
    <w:rsid w:val="004D2921"/>
    <w:rsid w:val="004D2D27"/>
    <w:rsid w:val="004D2D8D"/>
    <w:rsid w:val="004D3D43"/>
    <w:rsid w:val="004D4038"/>
    <w:rsid w:val="004E158C"/>
    <w:rsid w:val="004E7271"/>
    <w:rsid w:val="004F2E89"/>
    <w:rsid w:val="004F4E86"/>
    <w:rsid w:val="00502515"/>
    <w:rsid w:val="00502C36"/>
    <w:rsid w:val="0050420C"/>
    <w:rsid w:val="0051163A"/>
    <w:rsid w:val="005132B0"/>
    <w:rsid w:val="005134EB"/>
    <w:rsid w:val="005142CC"/>
    <w:rsid w:val="00514BAB"/>
    <w:rsid w:val="00524278"/>
    <w:rsid w:val="0052677F"/>
    <w:rsid w:val="00535F44"/>
    <w:rsid w:val="00537472"/>
    <w:rsid w:val="00537F4A"/>
    <w:rsid w:val="00540869"/>
    <w:rsid w:val="00544602"/>
    <w:rsid w:val="00544718"/>
    <w:rsid w:val="0055136B"/>
    <w:rsid w:val="00551D51"/>
    <w:rsid w:val="00554269"/>
    <w:rsid w:val="00556515"/>
    <w:rsid w:val="005604AD"/>
    <w:rsid w:val="0056744F"/>
    <w:rsid w:val="00567B63"/>
    <w:rsid w:val="0057183F"/>
    <w:rsid w:val="00571A86"/>
    <w:rsid w:val="00572FD6"/>
    <w:rsid w:val="00573561"/>
    <w:rsid w:val="00582951"/>
    <w:rsid w:val="00583963"/>
    <w:rsid w:val="00584DAB"/>
    <w:rsid w:val="005878F6"/>
    <w:rsid w:val="00595DF9"/>
    <w:rsid w:val="005A23BB"/>
    <w:rsid w:val="005A253A"/>
    <w:rsid w:val="005A2F38"/>
    <w:rsid w:val="005A405A"/>
    <w:rsid w:val="005A5707"/>
    <w:rsid w:val="005A7E42"/>
    <w:rsid w:val="005B55FB"/>
    <w:rsid w:val="005B6FCC"/>
    <w:rsid w:val="005B7673"/>
    <w:rsid w:val="005C44FA"/>
    <w:rsid w:val="005D4419"/>
    <w:rsid w:val="005E43D2"/>
    <w:rsid w:val="005E4AEC"/>
    <w:rsid w:val="005E4FE3"/>
    <w:rsid w:val="005F32FF"/>
    <w:rsid w:val="005F5D26"/>
    <w:rsid w:val="00610216"/>
    <w:rsid w:val="00611958"/>
    <w:rsid w:val="00612E59"/>
    <w:rsid w:val="006134C8"/>
    <w:rsid w:val="00615654"/>
    <w:rsid w:val="00615E4D"/>
    <w:rsid w:val="0061643A"/>
    <w:rsid w:val="0061705B"/>
    <w:rsid w:val="00626ED0"/>
    <w:rsid w:val="006276EA"/>
    <w:rsid w:val="00630AC1"/>
    <w:rsid w:val="00631074"/>
    <w:rsid w:val="006330BC"/>
    <w:rsid w:val="00636100"/>
    <w:rsid w:val="00636570"/>
    <w:rsid w:val="00644C60"/>
    <w:rsid w:val="00645D06"/>
    <w:rsid w:val="006466CB"/>
    <w:rsid w:val="00652127"/>
    <w:rsid w:val="0065650F"/>
    <w:rsid w:val="00656548"/>
    <w:rsid w:val="00657AD7"/>
    <w:rsid w:val="00660A0C"/>
    <w:rsid w:val="00660AB7"/>
    <w:rsid w:val="006708BF"/>
    <w:rsid w:val="00680FB8"/>
    <w:rsid w:val="00682270"/>
    <w:rsid w:val="0068239D"/>
    <w:rsid w:val="00682C2A"/>
    <w:rsid w:val="0069079B"/>
    <w:rsid w:val="00692A59"/>
    <w:rsid w:val="00693326"/>
    <w:rsid w:val="006957CE"/>
    <w:rsid w:val="006A0B67"/>
    <w:rsid w:val="006A1857"/>
    <w:rsid w:val="006B2397"/>
    <w:rsid w:val="006B4B66"/>
    <w:rsid w:val="006C0FE0"/>
    <w:rsid w:val="006C122F"/>
    <w:rsid w:val="006C479A"/>
    <w:rsid w:val="006C67EF"/>
    <w:rsid w:val="006C750C"/>
    <w:rsid w:val="006D14DE"/>
    <w:rsid w:val="006D3E1E"/>
    <w:rsid w:val="006E243A"/>
    <w:rsid w:val="006E37CA"/>
    <w:rsid w:val="006E76B8"/>
    <w:rsid w:val="006F2458"/>
    <w:rsid w:val="006F27A2"/>
    <w:rsid w:val="006F49C7"/>
    <w:rsid w:val="006F4F9D"/>
    <w:rsid w:val="006F5792"/>
    <w:rsid w:val="006F6D72"/>
    <w:rsid w:val="006F7ADD"/>
    <w:rsid w:val="00702BE6"/>
    <w:rsid w:val="00704366"/>
    <w:rsid w:val="0070447E"/>
    <w:rsid w:val="00707E26"/>
    <w:rsid w:val="00707E85"/>
    <w:rsid w:val="00710940"/>
    <w:rsid w:val="00712248"/>
    <w:rsid w:val="00713E6C"/>
    <w:rsid w:val="007177EF"/>
    <w:rsid w:val="00717E45"/>
    <w:rsid w:val="00717F39"/>
    <w:rsid w:val="00726E5F"/>
    <w:rsid w:val="00727C41"/>
    <w:rsid w:val="00733780"/>
    <w:rsid w:val="00735201"/>
    <w:rsid w:val="00741578"/>
    <w:rsid w:val="007423A8"/>
    <w:rsid w:val="00745CAA"/>
    <w:rsid w:val="00747D47"/>
    <w:rsid w:val="00750ABC"/>
    <w:rsid w:val="00751301"/>
    <w:rsid w:val="00752752"/>
    <w:rsid w:val="007546AB"/>
    <w:rsid w:val="00760F50"/>
    <w:rsid w:val="00771BF0"/>
    <w:rsid w:val="00773C4B"/>
    <w:rsid w:val="0078261F"/>
    <w:rsid w:val="0078427A"/>
    <w:rsid w:val="007843C2"/>
    <w:rsid w:val="00784B4F"/>
    <w:rsid w:val="00790ECD"/>
    <w:rsid w:val="007931A1"/>
    <w:rsid w:val="00795450"/>
    <w:rsid w:val="007B0B3F"/>
    <w:rsid w:val="007B362F"/>
    <w:rsid w:val="007B41C4"/>
    <w:rsid w:val="007B7482"/>
    <w:rsid w:val="007C1974"/>
    <w:rsid w:val="007C3848"/>
    <w:rsid w:val="007C5C4C"/>
    <w:rsid w:val="007C7A33"/>
    <w:rsid w:val="007C7D46"/>
    <w:rsid w:val="007D4344"/>
    <w:rsid w:val="007D65F7"/>
    <w:rsid w:val="007E0ED3"/>
    <w:rsid w:val="007E2FB1"/>
    <w:rsid w:val="007E3394"/>
    <w:rsid w:val="007E3C37"/>
    <w:rsid w:val="007F0103"/>
    <w:rsid w:val="007F16E4"/>
    <w:rsid w:val="007F17E4"/>
    <w:rsid w:val="007F5BC8"/>
    <w:rsid w:val="008000E2"/>
    <w:rsid w:val="00802EEA"/>
    <w:rsid w:val="00803ADF"/>
    <w:rsid w:val="008045F5"/>
    <w:rsid w:val="00806882"/>
    <w:rsid w:val="00812553"/>
    <w:rsid w:val="008148E0"/>
    <w:rsid w:val="00815764"/>
    <w:rsid w:val="00816471"/>
    <w:rsid w:val="0081651C"/>
    <w:rsid w:val="00821C55"/>
    <w:rsid w:val="008235FE"/>
    <w:rsid w:val="00823915"/>
    <w:rsid w:val="00823A85"/>
    <w:rsid w:val="008263A6"/>
    <w:rsid w:val="00826895"/>
    <w:rsid w:val="00837CDF"/>
    <w:rsid w:val="00840954"/>
    <w:rsid w:val="00841CB5"/>
    <w:rsid w:val="00842612"/>
    <w:rsid w:val="0084394C"/>
    <w:rsid w:val="008479C8"/>
    <w:rsid w:val="00850967"/>
    <w:rsid w:val="00851CE0"/>
    <w:rsid w:val="00852D8D"/>
    <w:rsid w:val="0085439F"/>
    <w:rsid w:val="0085465B"/>
    <w:rsid w:val="00861B50"/>
    <w:rsid w:val="0086492D"/>
    <w:rsid w:val="00871E38"/>
    <w:rsid w:val="00872411"/>
    <w:rsid w:val="00875963"/>
    <w:rsid w:val="00891B83"/>
    <w:rsid w:val="008933AF"/>
    <w:rsid w:val="00895FE4"/>
    <w:rsid w:val="008A3EEC"/>
    <w:rsid w:val="008A53F0"/>
    <w:rsid w:val="008A7717"/>
    <w:rsid w:val="008B0CE3"/>
    <w:rsid w:val="008B3A4A"/>
    <w:rsid w:val="008B3A8F"/>
    <w:rsid w:val="008C19C2"/>
    <w:rsid w:val="008C682F"/>
    <w:rsid w:val="008D168C"/>
    <w:rsid w:val="008D41EA"/>
    <w:rsid w:val="008D4C58"/>
    <w:rsid w:val="008D7C4A"/>
    <w:rsid w:val="008E1CAC"/>
    <w:rsid w:val="008E3653"/>
    <w:rsid w:val="008E3B4F"/>
    <w:rsid w:val="008F339C"/>
    <w:rsid w:val="008F3779"/>
    <w:rsid w:val="008F4E2F"/>
    <w:rsid w:val="009022D2"/>
    <w:rsid w:val="00903DCD"/>
    <w:rsid w:val="00904093"/>
    <w:rsid w:val="00904BC6"/>
    <w:rsid w:val="00904FBF"/>
    <w:rsid w:val="00905650"/>
    <w:rsid w:val="00905C4E"/>
    <w:rsid w:val="00906FB9"/>
    <w:rsid w:val="009115A4"/>
    <w:rsid w:val="00912EAA"/>
    <w:rsid w:val="00913D62"/>
    <w:rsid w:val="00914292"/>
    <w:rsid w:val="00916014"/>
    <w:rsid w:val="00920805"/>
    <w:rsid w:val="0092249F"/>
    <w:rsid w:val="00925F46"/>
    <w:rsid w:val="00931938"/>
    <w:rsid w:val="00933C41"/>
    <w:rsid w:val="00941044"/>
    <w:rsid w:val="00944A02"/>
    <w:rsid w:val="00944AD9"/>
    <w:rsid w:val="00944B03"/>
    <w:rsid w:val="0094548F"/>
    <w:rsid w:val="00946E83"/>
    <w:rsid w:val="0095011F"/>
    <w:rsid w:val="00952F1A"/>
    <w:rsid w:val="00953000"/>
    <w:rsid w:val="00953C7E"/>
    <w:rsid w:val="00954CA5"/>
    <w:rsid w:val="00955A24"/>
    <w:rsid w:val="0096226C"/>
    <w:rsid w:val="009627D8"/>
    <w:rsid w:val="00962BEB"/>
    <w:rsid w:val="00962EC9"/>
    <w:rsid w:val="00963E2D"/>
    <w:rsid w:val="00964780"/>
    <w:rsid w:val="009661AF"/>
    <w:rsid w:val="00971D54"/>
    <w:rsid w:val="00972C0E"/>
    <w:rsid w:val="00972FE2"/>
    <w:rsid w:val="009748F9"/>
    <w:rsid w:val="00975479"/>
    <w:rsid w:val="00982473"/>
    <w:rsid w:val="0098660D"/>
    <w:rsid w:val="00992ECB"/>
    <w:rsid w:val="009942E6"/>
    <w:rsid w:val="00997517"/>
    <w:rsid w:val="009977F0"/>
    <w:rsid w:val="009A0BBC"/>
    <w:rsid w:val="009A1A78"/>
    <w:rsid w:val="009A796C"/>
    <w:rsid w:val="009B2CCE"/>
    <w:rsid w:val="009B3B9D"/>
    <w:rsid w:val="009B56EF"/>
    <w:rsid w:val="009B72A0"/>
    <w:rsid w:val="009C1F4A"/>
    <w:rsid w:val="009C5470"/>
    <w:rsid w:val="009C54B2"/>
    <w:rsid w:val="009C6723"/>
    <w:rsid w:val="009C6B82"/>
    <w:rsid w:val="009D191A"/>
    <w:rsid w:val="009D2F74"/>
    <w:rsid w:val="009D4C6A"/>
    <w:rsid w:val="009D6487"/>
    <w:rsid w:val="009D71AE"/>
    <w:rsid w:val="009D744A"/>
    <w:rsid w:val="009D7DB8"/>
    <w:rsid w:val="009E5320"/>
    <w:rsid w:val="009E7F35"/>
    <w:rsid w:val="009F1D69"/>
    <w:rsid w:val="009F230B"/>
    <w:rsid w:val="009F2D9A"/>
    <w:rsid w:val="009F764B"/>
    <w:rsid w:val="00A00355"/>
    <w:rsid w:val="00A02A6E"/>
    <w:rsid w:val="00A03005"/>
    <w:rsid w:val="00A04764"/>
    <w:rsid w:val="00A0572B"/>
    <w:rsid w:val="00A05967"/>
    <w:rsid w:val="00A06C6A"/>
    <w:rsid w:val="00A104B1"/>
    <w:rsid w:val="00A105A8"/>
    <w:rsid w:val="00A14A87"/>
    <w:rsid w:val="00A21774"/>
    <w:rsid w:val="00A24BD9"/>
    <w:rsid w:val="00A25A48"/>
    <w:rsid w:val="00A31656"/>
    <w:rsid w:val="00A33650"/>
    <w:rsid w:val="00A356A1"/>
    <w:rsid w:val="00A36A34"/>
    <w:rsid w:val="00A431C9"/>
    <w:rsid w:val="00A43692"/>
    <w:rsid w:val="00A46104"/>
    <w:rsid w:val="00A50E28"/>
    <w:rsid w:val="00A51017"/>
    <w:rsid w:val="00A520FE"/>
    <w:rsid w:val="00A52203"/>
    <w:rsid w:val="00A54A26"/>
    <w:rsid w:val="00A567C9"/>
    <w:rsid w:val="00A56C8C"/>
    <w:rsid w:val="00A574BE"/>
    <w:rsid w:val="00A615BE"/>
    <w:rsid w:val="00A61BB1"/>
    <w:rsid w:val="00A62359"/>
    <w:rsid w:val="00A640AF"/>
    <w:rsid w:val="00A649B5"/>
    <w:rsid w:val="00A653CD"/>
    <w:rsid w:val="00A66590"/>
    <w:rsid w:val="00A66AE8"/>
    <w:rsid w:val="00A707A6"/>
    <w:rsid w:val="00A75CED"/>
    <w:rsid w:val="00A81A04"/>
    <w:rsid w:val="00A8413B"/>
    <w:rsid w:val="00A8574B"/>
    <w:rsid w:val="00A86BAB"/>
    <w:rsid w:val="00A871BA"/>
    <w:rsid w:val="00A87AFD"/>
    <w:rsid w:val="00A87D14"/>
    <w:rsid w:val="00A911BC"/>
    <w:rsid w:val="00A9688F"/>
    <w:rsid w:val="00A97496"/>
    <w:rsid w:val="00AA02BD"/>
    <w:rsid w:val="00AA3D39"/>
    <w:rsid w:val="00AA3DA4"/>
    <w:rsid w:val="00AA434A"/>
    <w:rsid w:val="00AA6E49"/>
    <w:rsid w:val="00AB3A52"/>
    <w:rsid w:val="00AB4317"/>
    <w:rsid w:val="00AB503E"/>
    <w:rsid w:val="00AB759B"/>
    <w:rsid w:val="00AC424F"/>
    <w:rsid w:val="00AC5317"/>
    <w:rsid w:val="00AD0517"/>
    <w:rsid w:val="00AE01BB"/>
    <w:rsid w:val="00AF4028"/>
    <w:rsid w:val="00AF5783"/>
    <w:rsid w:val="00AF60ED"/>
    <w:rsid w:val="00B0496F"/>
    <w:rsid w:val="00B07733"/>
    <w:rsid w:val="00B10A24"/>
    <w:rsid w:val="00B13CF5"/>
    <w:rsid w:val="00B13FA9"/>
    <w:rsid w:val="00B16E1C"/>
    <w:rsid w:val="00B25028"/>
    <w:rsid w:val="00B27EDD"/>
    <w:rsid w:val="00B32E33"/>
    <w:rsid w:val="00B33ACF"/>
    <w:rsid w:val="00B34533"/>
    <w:rsid w:val="00B4749A"/>
    <w:rsid w:val="00B4790D"/>
    <w:rsid w:val="00B53387"/>
    <w:rsid w:val="00B60B3E"/>
    <w:rsid w:val="00B63463"/>
    <w:rsid w:val="00B67782"/>
    <w:rsid w:val="00B779A5"/>
    <w:rsid w:val="00B802A8"/>
    <w:rsid w:val="00B83282"/>
    <w:rsid w:val="00B85ACE"/>
    <w:rsid w:val="00B87654"/>
    <w:rsid w:val="00B87694"/>
    <w:rsid w:val="00B97CAA"/>
    <w:rsid w:val="00BA1528"/>
    <w:rsid w:val="00BA2927"/>
    <w:rsid w:val="00BA7D72"/>
    <w:rsid w:val="00BB2FB9"/>
    <w:rsid w:val="00BB462B"/>
    <w:rsid w:val="00BB4861"/>
    <w:rsid w:val="00BB6780"/>
    <w:rsid w:val="00BB7D67"/>
    <w:rsid w:val="00BC1017"/>
    <w:rsid w:val="00BC14B9"/>
    <w:rsid w:val="00BC215A"/>
    <w:rsid w:val="00BC343C"/>
    <w:rsid w:val="00BC5B66"/>
    <w:rsid w:val="00BC7630"/>
    <w:rsid w:val="00BD0068"/>
    <w:rsid w:val="00BD03A6"/>
    <w:rsid w:val="00BE06F4"/>
    <w:rsid w:val="00BE28B8"/>
    <w:rsid w:val="00BF1CAF"/>
    <w:rsid w:val="00BF4F35"/>
    <w:rsid w:val="00BF7DD4"/>
    <w:rsid w:val="00C064D6"/>
    <w:rsid w:val="00C0796E"/>
    <w:rsid w:val="00C11863"/>
    <w:rsid w:val="00C17D62"/>
    <w:rsid w:val="00C2035D"/>
    <w:rsid w:val="00C21399"/>
    <w:rsid w:val="00C2437E"/>
    <w:rsid w:val="00C31F78"/>
    <w:rsid w:val="00C32706"/>
    <w:rsid w:val="00C36408"/>
    <w:rsid w:val="00C37828"/>
    <w:rsid w:val="00C405A4"/>
    <w:rsid w:val="00C40E1B"/>
    <w:rsid w:val="00C502B8"/>
    <w:rsid w:val="00C57FD3"/>
    <w:rsid w:val="00C612D8"/>
    <w:rsid w:val="00C629DE"/>
    <w:rsid w:val="00C6507C"/>
    <w:rsid w:val="00C6573E"/>
    <w:rsid w:val="00C70CCB"/>
    <w:rsid w:val="00C72B67"/>
    <w:rsid w:val="00C72BD9"/>
    <w:rsid w:val="00C72DB6"/>
    <w:rsid w:val="00C732A1"/>
    <w:rsid w:val="00C73FE8"/>
    <w:rsid w:val="00C74A8B"/>
    <w:rsid w:val="00C77229"/>
    <w:rsid w:val="00C7736F"/>
    <w:rsid w:val="00C80CFB"/>
    <w:rsid w:val="00C81C0D"/>
    <w:rsid w:val="00C84808"/>
    <w:rsid w:val="00C944F4"/>
    <w:rsid w:val="00C9646F"/>
    <w:rsid w:val="00C96762"/>
    <w:rsid w:val="00C9790F"/>
    <w:rsid w:val="00CA33FE"/>
    <w:rsid w:val="00CA419E"/>
    <w:rsid w:val="00CA6297"/>
    <w:rsid w:val="00CA6C04"/>
    <w:rsid w:val="00CA740D"/>
    <w:rsid w:val="00CB2457"/>
    <w:rsid w:val="00CB50DE"/>
    <w:rsid w:val="00CB63B6"/>
    <w:rsid w:val="00CC2388"/>
    <w:rsid w:val="00CC3BC2"/>
    <w:rsid w:val="00CC488D"/>
    <w:rsid w:val="00CC7D5F"/>
    <w:rsid w:val="00CD02B6"/>
    <w:rsid w:val="00CD106B"/>
    <w:rsid w:val="00CD374B"/>
    <w:rsid w:val="00CD3DFD"/>
    <w:rsid w:val="00CD558A"/>
    <w:rsid w:val="00CD748B"/>
    <w:rsid w:val="00CD7E1E"/>
    <w:rsid w:val="00CE73FF"/>
    <w:rsid w:val="00CE7E7F"/>
    <w:rsid w:val="00CF082F"/>
    <w:rsid w:val="00CF2197"/>
    <w:rsid w:val="00CF2F33"/>
    <w:rsid w:val="00CF32FA"/>
    <w:rsid w:val="00CF384E"/>
    <w:rsid w:val="00CF5B9F"/>
    <w:rsid w:val="00D07722"/>
    <w:rsid w:val="00D16859"/>
    <w:rsid w:val="00D20DB0"/>
    <w:rsid w:val="00D21F34"/>
    <w:rsid w:val="00D2257A"/>
    <w:rsid w:val="00D227B5"/>
    <w:rsid w:val="00D24BCC"/>
    <w:rsid w:val="00D24BFE"/>
    <w:rsid w:val="00D25347"/>
    <w:rsid w:val="00D25602"/>
    <w:rsid w:val="00D259D0"/>
    <w:rsid w:val="00D26B48"/>
    <w:rsid w:val="00D27B71"/>
    <w:rsid w:val="00D3386F"/>
    <w:rsid w:val="00D36A53"/>
    <w:rsid w:val="00D37BAC"/>
    <w:rsid w:val="00D42608"/>
    <w:rsid w:val="00D4349D"/>
    <w:rsid w:val="00D538CD"/>
    <w:rsid w:val="00D54308"/>
    <w:rsid w:val="00D55731"/>
    <w:rsid w:val="00D55986"/>
    <w:rsid w:val="00D616A1"/>
    <w:rsid w:val="00D620F1"/>
    <w:rsid w:val="00D64D11"/>
    <w:rsid w:val="00D67B00"/>
    <w:rsid w:val="00D727E6"/>
    <w:rsid w:val="00D75758"/>
    <w:rsid w:val="00D762F7"/>
    <w:rsid w:val="00D76CAB"/>
    <w:rsid w:val="00D812F1"/>
    <w:rsid w:val="00D877AF"/>
    <w:rsid w:val="00D9199D"/>
    <w:rsid w:val="00D91D98"/>
    <w:rsid w:val="00DA3E61"/>
    <w:rsid w:val="00DB2E70"/>
    <w:rsid w:val="00DB3DC8"/>
    <w:rsid w:val="00DB4691"/>
    <w:rsid w:val="00DB5C28"/>
    <w:rsid w:val="00DB638A"/>
    <w:rsid w:val="00DB7044"/>
    <w:rsid w:val="00DC3F37"/>
    <w:rsid w:val="00DC575B"/>
    <w:rsid w:val="00DD02F9"/>
    <w:rsid w:val="00DD06DE"/>
    <w:rsid w:val="00DD12DB"/>
    <w:rsid w:val="00DD3876"/>
    <w:rsid w:val="00DD3890"/>
    <w:rsid w:val="00DD4143"/>
    <w:rsid w:val="00DD4A2F"/>
    <w:rsid w:val="00DD7947"/>
    <w:rsid w:val="00DE6BD4"/>
    <w:rsid w:val="00DF30AD"/>
    <w:rsid w:val="00DF5D46"/>
    <w:rsid w:val="00E01629"/>
    <w:rsid w:val="00E047AD"/>
    <w:rsid w:val="00E101B9"/>
    <w:rsid w:val="00E12743"/>
    <w:rsid w:val="00E12D31"/>
    <w:rsid w:val="00E212FF"/>
    <w:rsid w:val="00E225D3"/>
    <w:rsid w:val="00E235A7"/>
    <w:rsid w:val="00E2444B"/>
    <w:rsid w:val="00E26CEC"/>
    <w:rsid w:val="00E31269"/>
    <w:rsid w:val="00E31560"/>
    <w:rsid w:val="00E3234D"/>
    <w:rsid w:val="00E33A33"/>
    <w:rsid w:val="00E3478D"/>
    <w:rsid w:val="00E35B66"/>
    <w:rsid w:val="00E400BC"/>
    <w:rsid w:val="00E416CD"/>
    <w:rsid w:val="00E42F6F"/>
    <w:rsid w:val="00E4322B"/>
    <w:rsid w:val="00E43F36"/>
    <w:rsid w:val="00E44A9A"/>
    <w:rsid w:val="00E516FF"/>
    <w:rsid w:val="00E55CB6"/>
    <w:rsid w:val="00E56D84"/>
    <w:rsid w:val="00E6165D"/>
    <w:rsid w:val="00E6406B"/>
    <w:rsid w:val="00E646A3"/>
    <w:rsid w:val="00E64FF5"/>
    <w:rsid w:val="00E65A7C"/>
    <w:rsid w:val="00E67544"/>
    <w:rsid w:val="00E72862"/>
    <w:rsid w:val="00E7753D"/>
    <w:rsid w:val="00E82918"/>
    <w:rsid w:val="00E82F7B"/>
    <w:rsid w:val="00E85D28"/>
    <w:rsid w:val="00E91E40"/>
    <w:rsid w:val="00E93139"/>
    <w:rsid w:val="00E93D18"/>
    <w:rsid w:val="00EA114B"/>
    <w:rsid w:val="00EA2C21"/>
    <w:rsid w:val="00EA5542"/>
    <w:rsid w:val="00EB349C"/>
    <w:rsid w:val="00EC2FBF"/>
    <w:rsid w:val="00EC4700"/>
    <w:rsid w:val="00EC57FB"/>
    <w:rsid w:val="00ED25FF"/>
    <w:rsid w:val="00ED3EB7"/>
    <w:rsid w:val="00EE0780"/>
    <w:rsid w:val="00EE1EA2"/>
    <w:rsid w:val="00EE4543"/>
    <w:rsid w:val="00EE47A4"/>
    <w:rsid w:val="00EE6C58"/>
    <w:rsid w:val="00EE7652"/>
    <w:rsid w:val="00EE77E7"/>
    <w:rsid w:val="00EE7FBE"/>
    <w:rsid w:val="00EF1191"/>
    <w:rsid w:val="00EF2CBC"/>
    <w:rsid w:val="00EF3570"/>
    <w:rsid w:val="00EF3ED7"/>
    <w:rsid w:val="00EF61A3"/>
    <w:rsid w:val="00EF6C5A"/>
    <w:rsid w:val="00EF6E35"/>
    <w:rsid w:val="00F00E61"/>
    <w:rsid w:val="00F03966"/>
    <w:rsid w:val="00F0552F"/>
    <w:rsid w:val="00F06A9E"/>
    <w:rsid w:val="00F07841"/>
    <w:rsid w:val="00F14A59"/>
    <w:rsid w:val="00F17496"/>
    <w:rsid w:val="00F17CEB"/>
    <w:rsid w:val="00F26A51"/>
    <w:rsid w:val="00F27267"/>
    <w:rsid w:val="00F31FD1"/>
    <w:rsid w:val="00F40F33"/>
    <w:rsid w:val="00F43D74"/>
    <w:rsid w:val="00F450D0"/>
    <w:rsid w:val="00F4561B"/>
    <w:rsid w:val="00F512AE"/>
    <w:rsid w:val="00F54A8C"/>
    <w:rsid w:val="00F57A50"/>
    <w:rsid w:val="00F60738"/>
    <w:rsid w:val="00F61F2E"/>
    <w:rsid w:val="00F66FB3"/>
    <w:rsid w:val="00F70293"/>
    <w:rsid w:val="00F713CB"/>
    <w:rsid w:val="00F75232"/>
    <w:rsid w:val="00F755CA"/>
    <w:rsid w:val="00F776F1"/>
    <w:rsid w:val="00F80E58"/>
    <w:rsid w:val="00F81765"/>
    <w:rsid w:val="00F817B3"/>
    <w:rsid w:val="00F81D8F"/>
    <w:rsid w:val="00F8527C"/>
    <w:rsid w:val="00F85CED"/>
    <w:rsid w:val="00F91173"/>
    <w:rsid w:val="00F92E40"/>
    <w:rsid w:val="00F93558"/>
    <w:rsid w:val="00F9365B"/>
    <w:rsid w:val="00F96F64"/>
    <w:rsid w:val="00F97424"/>
    <w:rsid w:val="00FA6FB9"/>
    <w:rsid w:val="00FA7138"/>
    <w:rsid w:val="00FA7394"/>
    <w:rsid w:val="00FB08FD"/>
    <w:rsid w:val="00FB16AF"/>
    <w:rsid w:val="00FB7019"/>
    <w:rsid w:val="00FB751D"/>
    <w:rsid w:val="00FC3BF0"/>
    <w:rsid w:val="00FC47FF"/>
    <w:rsid w:val="00FC7B12"/>
    <w:rsid w:val="00FD0D4C"/>
    <w:rsid w:val="00FD49B9"/>
    <w:rsid w:val="00FD563A"/>
    <w:rsid w:val="00FD57AE"/>
    <w:rsid w:val="00FD6E2B"/>
    <w:rsid w:val="00FD7266"/>
    <w:rsid w:val="00FD75CD"/>
    <w:rsid w:val="00FE01F9"/>
    <w:rsid w:val="00FE021E"/>
    <w:rsid w:val="00FE02D7"/>
    <w:rsid w:val="00FE1716"/>
    <w:rsid w:val="00FE2285"/>
    <w:rsid w:val="00FE4A32"/>
    <w:rsid w:val="00FF3A6E"/>
    <w:rsid w:val="00FF536E"/>
    <w:rsid w:val="00FF6E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3AA7"/>
  <w15:docId w15:val="{3A16E1EE-F735-4B5B-A0EF-E3C84FD2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A09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0572B"/>
    <w:pPr>
      <w:spacing w:after="0" w:line="240" w:lineRule="auto"/>
    </w:pPr>
  </w:style>
  <w:style w:type="table" w:styleId="Lentelstinklelis">
    <w:name w:val="Table Grid"/>
    <w:basedOn w:val="prastojilentel"/>
    <w:uiPriority w:val="39"/>
    <w:rsid w:val="00A05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eksto skyrius,ERP-List Paragraph,List Paragraph11,Bullet EY,List Paragraph1"/>
    <w:basedOn w:val="prastasis"/>
    <w:link w:val="SraopastraipaDiagrama"/>
    <w:uiPriority w:val="9"/>
    <w:qFormat/>
    <w:rsid w:val="00EE1EA2"/>
    <w:pPr>
      <w:spacing w:after="200" w:line="276" w:lineRule="auto"/>
      <w:ind w:left="720"/>
      <w:contextualSpacing/>
    </w:pPr>
    <w:rPr>
      <w:rFonts w:ascii="Calibri" w:eastAsia="Calibri" w:hAnsi="Calibri" w:cs="Times New Roman"/>
    </w:rPr>
  </w:style>
  <w:style w:type="character" w:customStyle="1" w:styleId="SraopastraipaDiagrama">
    <w:name w:val="Sąrašo pastraipa Diagrama"/>
    <w:aliases w:val="Teksto skyrius Diagrama,ERP-List Paragraph Diagrama,List Paragraph11 Diagrama,Bullet EY Diagrama,List Paragraph1 Diagrama"/>
    <w:link w:val="Sraopastraipa"/>
    <w:uiPriority w:val="34"/>
    <w:locked/>
    <w:rsid w:val="00EE1EA2"/>
    <w:rPr>
      <w:rFonts w:ascii="Calibri" w:eastAsia="Calibri" w:hAnsi="Calibri" w:cs="Times New Roman"/>
    </w:rPr>
  </w:style>
  <w:style w:type="paragraph" w:customStyle="1" w:styleId="KTpstrnum">
    <w:name w:val="KT pstr num"/>
    <w:basedOn w:val="prastasis"/>
    <w:link w:val="KTpstrnumChar"/>
    <w:qFormat/>
    <w:rsid w:val="00EE1EA2"/>
    <w:pPr>
      <w:numPr>
        <w:numId w:val="2"/>
      </w:numPr>
      <w:spacing w:after="0" w:line="240" w:lineRule="auto"/>
      <w:jc w:val="both"/>
    </w:pPr>
    <w:rPr>
      <w:rFonts w:ascii="Times New Roman" w:eastAsia="Calibri" w:hAnsi="Times New Roman" w:cs="Times New Roman"/>
      <w:sz w:val="24"/>
      <w:szCs w:val="24"/>
    </w:rPr>
  </w:style>
  <w:style w:type="character" w:customStyle="1" w:styleId="KTpstrnumChar">
    <w:name w:val="KT pstr num Char"/>
    <w:basedOn w:val="SraopastraipaDiagrama"/>
    <w:link w:val="KTpstrnum"/>
    <w:rsid w:val="00EE1EA2"/>
    <w:rPr>
      <w:rFonts w:ascii="Times New Roman" w:eastAsia="Calibri" w:hAnsi="Times New Roman" w:cs="Times New Roman"/>
      <w:sz w:val="24"/>
      <w:szCs w:val="24"/>
    </w:rPr>
  </w:style>
  <w:style w:type="paragraph" w:styleId="Puslapioinaostekstas">
    <w:name w:val="footnote text"/>
    <w:basedOn w:val="prastasis"/>
    <w:link w:val="PuslapioinaostekstasDiagrama"/>
    <w:uiPriority w:val="99"/>
    <w:semiHidden/>
    <w:unhideWhenUsed/>
    <w:rsid w:val="00EE1EA2"/>
    <w:pPr>
      <w:spacing w:after="0" w:line="240" w:lineRule="auto"/>
      <w:jc w:val="both"/>
    </w:pPr>
    <w:rPr>
      <w:rFonts w:ascii="Times New Roman" w:hAnsi="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E1EA2"/>
    <w:rPr>
      <w:rFonts w:ascii="Times New Roman" w:hAnsi="Times New Roman"/>
      <w:sz w:val="20"/>
      <w:szCs w:val="20"/>
    </w:rPr>
  </w:style>
  <w:style w:type="character" w:styleId="Puslapioinaosnuoroda">
    <w:name w:val="footnote reference"/>
    <w:basedOn w:val="Numatytasispastraiposriftas"/>
    <w:uiPriority w:val="99"/>
    <w:semiHidden/>
    <w:unhideWhenUsed/>
    <w:rsid w:val="00EE1EA2"/>
    <w:rPr>
      <w:vertAlign w:val="superscript"/>
    </w:rPr>
  </w:style>
  <w:style w:type="character" w:styleId="Hipersaitas">
    <w:name w:val="Hyperlink"/>
    <w:basedOn w:val="Numatytasispastraiposriftas"/>
    <w:uiPriority w:val="99"/>
    <w:unhideWhenUsed/>
    <w:rsid w:val="00EE1EA2"/>
    <w:rPr>
      <w:color w:val="0563C1" w:themeColor="hyperlink"/>
      <w:u w:val="single"/>
    </w:rPr>
  </w:style>
  <w:style w:type="character" w:styleId="Komentaronuoroda">
    <w:name w:val="annotation reference"/>
    <w:basedOn w:val="Numatytasispastraiposriftas"/>
    <w:uiPriority w:val="99"/>
    <w:semiHidden/>
    <w:unhideWhenUsed/>
    <w:rsid w:val="00A66AE8"/>
    <w:rPr>
      <w:sz w:val="16"/>
      <w:szCs w:val="16"/>
    </w:rPr>
  </w:style>
  <w:style w:type="paragraph" w:styleId="Komentarotekstas">
    <w:name w:val="annotation text"/>
    <w:basedOn w:val="prastasis"/>
    <w:link w:val="KomentarotekstasDiagrama"/>
    <w:uiPriority w:val="99"/>
    <w:semiHidden/>
    <w:unhideWhenUsed/>
    <w:rsid w:val="00A66A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66AE8"/>
    <w:rPr>
      <w:sz w:val="20"/>
      <w:szCs w:val="20"/>
    </w:rPr>
  </w:style>
  <w:style w:type="paragraph" w:styleId="Komentarotema">
    <w:name w:val="annotation subject"/>
    <w:basedOn w:val="Komentarotekstas"/>
    <w:next w:val="Komentarotekstas"/>
    <w:link w:val="KomentarotemaDiagrama"/>
    <w:uiPriority w:val="99"/>
    <w:semiHidden/>
    <w:unhideWhenUsed/>
    <w:rsid w:val="00A66AE8"/>
    <w:rPr>
      <w:b/>
      <w:bCs/>
    </w:rPr>
  </w:style>
  <w:style w:type="character" w:customStyle="1" w:styleId="KomentarotemaDiagrama">
    <w:name w:val="Komentaro tema Diagrama"/>
    <w:basedOn w:val="KomentarotekstasDiagrama"/>
    <w:link w:val="Komentarotema"/>
    <w:uiPriority w:val="99"/>
    <w:semiHidden/>
    <w:rsid w:val="00A66AE8"/>
    <w:rPr>
      <w:b/>
      <w:bCs/>
      <w:sz w:val="20"/>
      <w:szCs w:val="20"/>
    </w:rPr>
  </w:style>
  <w:style w:type="paragraph" w:styleId="Debesliotekstas">
    <w:name w:val="Balloon Text"/>
    <w:basedOn w:val="prastasis"/>
    <w:link w:val="DebesliotekstasDiagrama"/>
    <w:uiPriority w:val="99"/>
    <w:semiHidden/>
    <w:unhideWhenUsed/>
    <w:rsid w:val="00A66AE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AE8"/>
    <w:rPr>
      <w:rFonts w:ascii="Segoe UI" w:hAnsi="Segoe UI" w:cs="Segoe UI"/>
      <w:sz w:val="18"/>
      <w:szCs w:val="18"/>
    </w:rPr>
  </w:style>
  <w:style w:type="paragraph" w:customStyle="1" w:styleId="naispant">
    <w:name w:val="naispant"/>
    <w:basedOn w:val="prastasis"/>
    <w:rsid w:val="00FD75CD"/>
    <w:pPr>
      <w:spacing w:before="75" w:after="75" w:line="240" w:lineRule="auto"/>
      <w:ind w:left="375" w:firstLine="375"/>
      <w:jc w:val="both"/>
    </w:pPr>
    <w:rPr>
      <w:rFonts w:ascii="Times New Roman" w:eastAsia="Times New Roman" w:hAnsi="Times New Roman" w:cs="Times New Roman"/>
      <w:b/>
      <w:bCs/>
      <w:sz w:val="24"/>
      <w:szCs w:val="24"/>
      <w:lang w:val="lv-LV" w:eastAsia="lv-LV"/>
    </w:rPr>
  </w:style>
  <w:style w:type="paragraph" w:customStyle="1" w:styleId="naisf">
    <w:name w:val="naisf"/>
    <w:basedOn w:val="prastasis"/>
    <w:rsid w:val="003E4920"/>
    <w:pPr>
      <w:spacing w:before="75" w:after="75" w:line="240" w:lineRule="auto"/>
      <w:ind w:firstLine="375"/>
      <w:jc w:val="both"/>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17560">
      <w:bodyDiv w:val="1"/>
      <w:marLeft w:val="0"/>
      <w:marRight w:val="0"/>
      <w:marTop w:val="0"/>
      <w:marBottom w:val="0"/>
      <w:divBdr>
        <w:top w:val="none" w:sz="0" w:space="0" w:color="auto"/>
        <w:left w:val="none" w:sz="0" w:space="0" w:color="auto"/>
        <w:bottom w:val="none" w:sz="0" w:space="0" w:color="auto"/>
        <w:right w:val="none" w:sz="0" w:space="0" w:color="auto"/>
      </w:divBdr>
    </w:div>
    <w:div w:id="843014913">
      <w:bodyDiv w:val="1"/>
      <w:marLeft w:val="0"/>
      <w:marRight w:val="0"/>
      <w:marTop w:val="0"/>
      <w:marBottom w:val="0"/>
      <w:divBdr>
        <w:top w:val="none" w:sz="0" w:space="0" w:color="auto"/>
        <w:left w:val="none" w:sz="0" w:space="0" w:color="auto"/>
        <w:bottom w:val="none" w:sz="0" w:space="0" w:color="auto"/>
        <w:right w:val="none" w:sz="0" w:space="0" w:color="auto"/>
      </w:divBdr>
    </w:div>
    <w:div w:id="18226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64FF5-C3F3-4084-842B-AA510D5B1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3142</TotalTime>
  <Pages>15</Pages>
  <Words>7579</Words>
  <Characters>43204</Characters>
  <Application>Microsoft Office Word</Application>
  <DocSecurity>0</DocSecurity>
  <Lines>360</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Baniūnienė</dc:creator>
  <cp:lastModifiedBy>Vaida Budzevičienė</cp:lastModifiedBy>
  <cp:revision>472</cp:revision>
  <dcterms:created xsi:type="dcterms:W3CDTF">2019-06-14T08:54:00Z</dcterms:created>
  <dcterms:modified xsi:type="dcterms:W3CDTF">2019-11-18T07:33:00Z</dcterms:modified>
</cp:coreProperties>
</file>