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9E1F" w14:textId="77777777" w:rsidR="00A62D24" w:rsidRPr="00BC2380" w:rsidRDefault="007C0F46">
      <w:pPr>
        <w:jc w:val="center"/>
        <w:rPr>
          <w:b/>
          <w:color w:val="000000"/>
          <w:szCs w:val="24"/>
          <w:lang w:eastAsia="lt-LT"/>
        </w:rPr>
      </w:pPr>
      <w:r w:rsidRPr="00BC2380">
        <w:rPr>
          <w:b/>
          <w:color w:val="000000"/>
          <w:szCs w:val="24"/>
          <w:lang w:eastAsia="lt-LT"/>
        </w:rPr>
        <w:t>Administracinės naštos pokytis pinigine išraiška pagal institucijas</w:t>
      </w:r>
    </w:p>
    <w:p w14:paraId="18E09E20" w14:textId="77777777" w:rsidR="00A62D24" w:rsidRPr="00BC2380" w:rsidRDefault="00A62D24">
      <w:pPr>
        <w:jc w:val="center"/>
        <w:rPr>
          <w:szCs w:val="24"/>
        </w:rPr>
      </w:pPr>
    </w:p>
    <w:p w14:paraId="18E09E21" w14:textId="77777777" w:rsidR="00A62D24" w:rsidRPr="00BC2380" w:rsidRDefault="00A62D24">
      <w:pPr>
        <w:pStyle w:val="NoSpacing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E09E22" w14:textId="77777777" w:rsidR="00A62D24" w:rsidRPr="00BC2380" w:rsidRDefault="007C0F46" w:rsidP="001A6EA8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380">
        <w:rPr>
          <w:rFonts w:ascii="Times New Roman" w:hAnsi="Times New Roman"/>
          <w:sz w:val="24"/>
          <w:szCs w:val="24"/>
        </w:rPr>
        <w:t>Administracinės naštos ūkio subjektams mažinimo tikslas – bendras administracinės naštos, kurią sukelia ūkio subjektams institucijos kompetencijos srityje inicijuotas teisinis reguliavimas, lygis per kalendorinius metus turi išlikti nepakitęs arba mažėti.</w:t>
      </w:r>
    </w:p>
    <w:p w14:paraId="18E09E24" w14:textId="5B6B4A1B" w:rsidR="00A62D24" w:rsidRPr="00BC2380" w:rsidRDefault="007C0F46" w:rsidP="001A6EA8">
      <w:pPr>
        <w:spacing w:line="276" w:lineRule="auto"/>
        <w:ind w:firstLine="709"/>
        <w:rPr>
          <w:rFonts w:eastAsia="Calibri"/>
          <w:szCs w:val="24"/>
        </w:rPr>
      </w:pPr>
      <w:r w:rsidRPr="00BC2380">
        <w:rPr>
          <w:rFonts w:eastAsia="Calibri"/>
          <w:szCs w:val="24"/>
        </w:rPr>
        <w:t>Ekonomikos ir inovacijų ministerija įvertino nuo 201</w:t>
      </w:r>
      <w:r w:rsidR="005A54D8" w:rsidRP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</w:t>
      </w:r>
      <w:r w:rsidR="0004026B">
        <w:rPr>
          <w:rFonts w:eastAsia="Calibri"/>
          <w:szCs w:val="24"/>
        </w:rPr>
        <w:t>liepos</w:t>
      </w:r>
      <w:r w:rsidRPr="00BC2380">
        <w:rPr>
          <w:rFonts w:eastAsia="Calibri"/>
          <w:szCs w:val="24"/>
        </w:rPr>
        <w:t xml:space="preserve"> 1 d. iki 201</w:t>
      </w:r>
      <w:r w:rsidR="005A54D8" w:rsidRP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</w:t>
      </w:r>
      <w:r w:rsidR="0004026B">
        <w:rPr>
          <w:rFonts w:eastAsia="Calibri"/>
          <w:szCs w:val="24"/>
        </w:rPr>
        <w:t>gruodžio</w:t>
      </w:r>
      <w:r w:rsidRPr="00BC2380">
        <w:rPr>
          <w:rFonts w:eastAsia="Calibri"/>
          <w:szCs w:val="24"/>
        </w:rPr>
        <w:t xml:space="preserve"> 3</w:t>
      </w:r>
      <w:r w:rsidR="0004026B">
        <w:rPr>
          <w:rFonts w:eastAsia="Calibri"/>
          <w:szCs w:val="24"/>
        </w:rPr>
        <w:t>1</w:t>
      </w:r>
      <w:r w:rsidR="00D0487F">
        <w:rPr>
          <w:rFonts w:eastAsia="Calibri"/>
          <w:szCs w:val="24"/>
        </w:rPr>
        <w:t> </w:t>
      </w:r>
      <w:r w:rsidRPr="00BC2380">
        <w:rPr>
          <w:rFonts w:eastAsia="Calibri"/>
          <w:szCs w:val="24"/>
        </w:rPr>
        <w:t>d. institucijų pateiktas Administracinės naštos ūkio subjektams apskaičiavimo ataskaitas. Siekiant pavaizduoti realų administracinės naštos pokytį už 201</w:t>
      </w:r>
      <w:r w:rsidR="005A54D8" w:rsidRP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I</w:t>
      </w:r>
      <w:r w:rsidR="0004026B">
        <w:rPr>
          <w:rFonts w:eastAsia="Calibri"/>
          <w:szCs w:val="24"/>
        </w:rPr>
        <w:t>I</w:t>
      </w:r>
      <w:r w:rsidRPr="00BC2380">
        <w:rPr>
          <w:rFonts w:eastAsia="Calibri"/>
          <w:szCs w:val="24"/>
        </w:rPr>
        <w:t xml:space="preserve"> pusmetį, </w:t>
      </w:r>
      <w:r w:rsidRPr="00BC2380">
        <w:rPr>
          <w:rFonts w:eastAsia="Calibri"/>
          <w:b/>
          <w:szCs w:val="24"/>
        </w:rPr>
        <w:t>į skaičiavimus buvo įtraukti tik tie teisės aktų projektai, kurie buvo priimti 201</w:t>
      </w:r>
      <w:r w:rsidR="005A54D8" w:rsidRPr="00BC2380">
        <w:rPr>
          <w:rFonts w:eastAsia="Calibri"/>
          <w:b/>
          <w:szCs w:val="24"/>
        </w:rPr>
        <w:t>9</w:t>
      </w:r>
      <w:r w:rsidRPr="00BC2380">
        <w:rPr>
          <w:rFonts w:eastAsia="Calibri"/>
          <w:b/>
          <w:szCs w:val="24"/>
        </w:rPr>
        <w:t xml:space="preserve"> metų I</w:t>
      </w:r>
      <w:r w:rsidR="0004026B">
        <w:rPr>
          <w:rFonts w:eastAsia="Calibri"/>
          <w:b/>
          <w:szCs w:val="24"/>
        </w:rPr>
        <w:t>I</w:t>
      </w:r>
      <w:r w:rsidRPr="00BC2380">
        <w:rPr>
          <w:rFonts w:eastAsia="Calibri"/>
          <w:b/>
          <w:szCs w:val="24"/>
        </w:rPr>
        <w:t xml:space="preserve"> pusmetį </w:t>
      </w:r>
      <w:r w:rsidRPr="00BC2380">
        <w:rPr>
          <w:rFonts w:eastAsia="Calibri"/>
          <w:szCs w:val="24"/>
        </w:rPr>
        <w:t xml:space="preserve">(su keliomis išimtimis). Į šiuos skaičiavimus taip pat buvo įtraukti ir </w:t>
      </w:r>
      <w:r w:rsidRPr="00BC2380">
        <w:rPr>
          <w:rFonts w:eastAsia="Calibri"/>
          <w:b/>
          <w:szCs w:val="24"/>
        </w:rPr>
        <w:t>tie teisės aktų projektai, kurių</w:t>
      </w:r>
      <w:r w:rsidRPr="00BC2380">
        <w:rPr>
          <w:rFonts w:eastAsia="Calibri"/>
          <w:szCs w:val="24"/>
        </w:rPr>
        <w:t xml:space="preserve"> </w:t>
      </w:r>
      <w:r w:rsidRPr="00BC2380">
        <w:rPr>
          <w:rFonts w:eastAsia="Calibri"/>
          <w:b/>
          <w:szCs w:val="24"/>
        </w:rPr>
        <w:t xml:space="preserve">Administracinės naštos ūkio subjektams apskaičiavimo ataskaitos buvo teiktos derinti </w:t>
      </w:r>
      <w:r w:rsidR="0090153E">
        <w:rPr>
          <w:rFonts w:eastAsia="Calibri"/>
          <w:b/>
          <w:szCs w:val="24"/>
        </w:rPr>
        <w:t xml:space="preserve">2016, </w:t>
      </w:r>
      <w:r w:rsidRPr="00BC2380">
        <w:rPr>
          <w:rFonts w:eastAsia="Calibri"/>
          <w:b/>
          <w:szCs w:val="24"/>
        </w:rPr>
        <w:t>201</w:t>
      </w:r>
      <w:r w:rsidR="005A54D8" w:rsidRPr="00BC2380">
        <w:rPr>
          <w:rFonts w:eastAsia="Calibri"/>
          <w:b/>
          <w:szCs w:val="24"/>
        </w:rPr>
        <w:t>8</w:t>
      </w:r>
      <w:r w:rsidRPr="00BC2380">
        <w:rPr>
          <w:rFonts w:eastAsia="Calibri"/>
          <w:b/>
          <w:szCs w:val="24"/>
        </w:rPr>
        <w:t xml:space="preserve"> metais</w:t>
      </w:r>
      <w:r w:rsidRPr="00BC2380">
        <w:rPr>
          <w:rFonts w:eastAsia="Calibri"/>
          <w:szCs w:val="24"/>
        </w:rPr>
        <w:t xml:space="preserve">, </w:t>
      </w:r>
      <w:r w:rsidRPr="00BC2380">
        <w:rPr>
          <w:rFonts w:eastAsia="Calibri"/>
          <w:b/>
          <w:szCs w:val="24"/>
        </w:rPr>
        <w:t>tačiau</w:t>
      </w:r>
      <w:r w:rsidRPr="00BC2380">
        <w:rPr>
          <w:rFonts w:eastAsia="Calibri"/>
          <w:szCs w:val="24"/>
        </w:rPr>
        <w:t xml:space="preserve"> </w:t>
      </w:r>
      <w:r w:rsidRPr="00BC2380">
        <w:rPr>
          <w:rFonts w:eastAsia="Calibri"/>
          <w:b/>
          <w:szCs w:val="24"/>
        </w:rPr>
        <w:t>teisės aktai buvo priimti 201</w:t>
      </w:r>
      <w:r w:rsidR="005A54D8" w:rsidRPr="00BC2380">
        <w:rPr>
          <w:rFonts w:eastAsia="Calibri"/>
          <w:b/>
          <w:szCs w:val="24"/>
        </w:rPr>
        <w:t>9</w:t>
      </w:r>
      <w:r w:rsidRPr="00BC2380">
        <w:rPr>
          <w:rFonts w:eastAsia="Calibri"/>
          <w:b/>
          <w:szCs w:val="24"/>
        </w:rPr>
        <w:t xml:space="preserve"> metais</w:t>
      </w:r>
      <w:r w:rsidRPr="00BC2380">
        <w:rPr>
          <w:rFonts w:eastAsia="Calibri"/>
          <w:szCs w:val="24"/>
        </w:rPr>
        <w:t xml:space="preserve">. </w:t>
      </w:r>
    </w:p>
    <w:p w14:paraId="18E09E26" w14:textId="3E06C434" w:rsidR="00A62D24" w:rsidRDefault="00A62D24">
      <w:pPr>
        <w:ind w:firstLine="709"/>
        <w:rPr>
          <w:rFonts w:eastAsia="Calibri"/>
          <w:szCs w:val="24"/>
        </w:rPr>
      </w:pPr>
    </w:p>
    <w:p w14:paraId="01179163" w14:textId="5FF068BE" w:rsidR="0090153E" w:rsidRPr="00DD0131" w:rsidRDefault="0090153E" w:rsidP="0090153E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2380">
        <w:rPr>
          <w:rFonts w:ascii="Times New Roman" w:hAnsi="Times New Roman"/>
          <w:b/>
          <w:sz w:val="24"/>
          <w:szCs w:val="24"/>
        </w:rPr>
        <w:t>Administracinė našta ūkio subjektams per 2019 m. I</w:t>
      </w:r>
      <w:r>
        <w:rPr>
          <w:rFonts w:ascii="Times New Roman" w:hAnsi="Times New Roman"/>
          <w:b/>
          <w:sz w:val="24"/>
          <w:szCs w:val="24"/>
        </w:rPr>
        <w:t>I</w:t>
      </w:r>
      <w:r w:rsidRPr="00BC2380">
        <w:rPr>
          <w:rFonts w:ascii="Times New Roman" w:hAnsi="Times New Roman"/>
          <w:b/>
          <w:sz w:val="24"/>
          <w:szCs w:val="24"/>
        </w:rPr>
        <w:t xml:space="preserve"> pusmetį sumažėjo </w:t>
      </w:r>
      <w:r w:rsidR="006D16DB" w:rsidRPr="00DD0131">
        <w:rPr>
          <w:rFonts w:ascii="Times New Roman" w:hAnsi="Times New Roman"/>
          <w:b/>
          <w:sz w:val="24"/>
          <w:szCs w:val="24"/>
          <w:u w:val="single"/>
        </w:rPr>
        <w:t>1.10</w:t>
      </w:r>
      <w:r w:rsidR="0085264D" w:rsidRPr="00DD0131">
        <w:rPr>
          <w:rFonts w:ascii="Times New Roman" w:hAnsi="Times New Roman"/>
          <w:b/>
          <w:sz w:val="24"/>
          <w:szCs w:val="24"/>
          <w:u w:val="single"/>
        </w:rPr>
        <w:t>2</w:t>
      </w:r>
      <w:r w:rsidR="006D16DB" w:rsidRPr="00DD0131">
        <w:rPr>
          <w:rFonts w:ascii="Times New Roman" w:hAnsi="Times New Roman"/>
          <w:b/>
          <w:sz w:val="24"/>
          <w:szCs w:val="24"/>
          <w:u w:val="single"/>
        </w:rPr>
        <w:t>.</w:t>
      </w:r>
      <w:r w:rsidR="0085264D" w:rsidRPr="00DD0131">
        <w:rPr>
          <w:rFonts w:ascii="Times New Roman" w:hAnsi="Times New Roman"/>
          <w:b/>
          <w:sz w:val="24"/>
          <w:szCs w:val="24"/>
          <w:u w:val="single"/>
        </w:rPr>
        <w:t>601,39</w:t>
      </w:r>
      <w:r w:rsidRPr="00DD0131">
        <w:rPr>
          <w:rFonts w:ascii="Times New Roman" w:hAnsi="Times New Roman"/>
          <w:b/>
          <w:sz w:val="24"/>
          <w:szCs w:val="24"/>
          <w:u w:val="single"/>
        </w:rPr>
        <w:t xml:space="preserve"> eurų. </w:t>
      </w:r>
    </w:p>
    <w:p w14:paraId="003131F3" w14:textId="77777777" w:rsidR="0090153E" w:rsidRPr="00BC2380" w:rsidRDefault="0090153E" w:rsidP="0090153E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A55E67B" w14:textId="23867630" w:rsidR="0090153E" w:rsidRPr="00BC2380" w:rsidRDefault="0090153E" w:rsidP="0090153E">
      <w:pPr>
        <w:jc w:val="center"/>
        <w:rPr>
          <w:szCs w:val="24"/>
        </w:rPr>
      </w:pPr>
      <w:r w:rsidRPr="00BC2380">
        <w:rPr>
          <w:b/>
          <w:color w:val="000000"/>
          <w:szCs w:val="24"/>
          <w:lang w:eastAsia="lt-LT"/>
        </w:rPr>
        <w:t>Administracinės naštos pokytis pagal institucijas 2019 m. I</w:t>
      </w:r>
      <w:r>
        <w:rPr>
          <w:b/>
          <w:color w:val="000000"/>
          <w:szCs w:val="24"/>
          <w:lang w:eastAsia="lt-LT"/>
        </w:rPr>
        <w:t>I</w:t>
      </w:r>
      <w:r w:rsidRPr="00BC2380">
        <w:rPr>
          <w:b/>
          <w:color w:val="000000"/>
          <w:szCs w:val="24"/>
          <w:lang w:eastAsia="lt-LT"/>
        </w:rPr>
        <w:t xml:space="preserve"> pusmetį</w:t>
      </w:r>
      <w:r w:rsidRPr="00BC2380">
        <w:rPr>
          <w:rStyle w:val="FootnoteReference"/>
          <w:b/>
          <w:color w:val="000000"/>
          <w:szCs w:val="24"/>
          <w:lang w:eastAsia="lt-LT"/>
        </w:rPr>
        <w:footnoteReference w:id="1"/>
      </w:r>
    </w:p>
    <w:p w14:paraId="4B33D386" w14:textId="1E468B55" w:rsidR="0090153E" w:rsidRDefault="0090153E">
      <w:pPr>
        <w:ind w:firstLine="709"/>
        <w:rPr>
          <w:rFonts w:eastAsia="Calibri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</w:tblGrid>
      <w:tr w:rsidR="00217881" w:rsidRPr="00BC2380" w14:paraId="43DB8ACB" w14:textId="77777777" w:rsidTr="00CA4088">
        <w:trPr>
          <w:trHeight w:val="600"/>
        </w:trPr>
        <w:tc>
          <w:tcPr>
            <w:tcW w:w="704" w:type="dxa"/>
            <w:tcBorders>
              <w:bottom w:val="single" w:sz="4" w:space="0" w:color="auto"/>
            </w:tcBorders>
          </w:tcPr>
          <w:p w14:paraId="49331763" w14:textId="77777777" w:rsidR="00217881" w:rsidRPr="00BC2380" w:rsidRDefault="00217881" w:rsidP="00CA4088">
            <w:pPr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Eil. Nr.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8151704" w14:textId="77777777" w:rsidR="00217881" w:rsidRPr="00BC2380" w:rsidRDefault="00217881" w:rsidP="00CA4088">
            <w:pPr>
              <w:jc w:val="center"/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Institucija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C20DD6D" w14:textId="14505A87" w:rsidR="00217881" w:rsidRPr="00BC2380" w:rsidRDefault="00217881" w:rsidP="00CA4088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BC2380">
              <w:rPr>
                <w:b/>
                <w:color w:val="000000"/>
                <w:szCs w:val="24"/>
                <w:lang w:eastAsia="lt-LT"/>
              </w:rPr>
              <w:t>Pokytis (eurais) 2019 m.  I</w:t>
            </w:r>
            <w:r w:rsidR="003D4B7F">
              <w:rPr>
                <w:b/>
                <w:color w:val="000000"/>
                <w:szCs w:val="24"/>
                <w:lang w:eastAsia="lt-LT"/>
              </w:rPr>
              <w:t>I</w:t>
            </w:r>
            <w:r w:rsidRPr="00BC2380">
              <w:rPr>
                <w:b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BC2380">
              <w:rPr>
                <w:b/>
                <w:color w:val="000000"/>
                <w:szCs w:val="24"/>
                <w:lang w:eastAsia="lt-LT"/>
              </w:rPr>
              <w:t>pusm</w:t>
            </w:r>
            <w:proofErr w:type="spellEnd"/>
            <w:r w:rsidRPr="00BC2380">
              <w:rPr>
                <w:b/>
                <w:color w:val="000000"/>
                <w:szCs w:val="24"/>
                <w:lang w:eastAsia="lt-LT"/>
              </w:rPr>
              <w:t>.</w:t>
            </w:r>
          </w:p>
        </w:tc>
      </w:tr>
      <w:tr w:rsidR="0057380C" w:rsidRPr="00BC2380" w14:paraId="3874E3D0" w14:textId="77777777" w:rsidTr="00B8528C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8755693" w14:textId="76B18C16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2ED3" w14:textId="0B2FD6C1" w:rsidR="0057380C" w:rsidRPr="007125B3" w:rsidRDefault="0057380C" w:rsidP="0057380C">
            <w:pPr>
              <w:rPr>
                <w:bCs/>
                <w:szCs w:val="24"/>
              </w:rPr>
            </w:pPr>
            <w:r>
              <w:rPr>
                <w:szCs w:val="24"/>
              </w:rPr>
              <w:t>Finansų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444B" w14:textId="5D9C83FC" w:rsidR="0057380C" w:rsidRDefault="0057380C" w:rsidP="0057380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-797 309,75</w:t>
            </w:r>
            <w:r w:rsidR="004E1EA3">
              <w:rPr>
                <w:rStyle w:val="FootnoteReference"/>
                <w:szCs w:val="24"/>
              </w:rPr>
              <w:footnoteReference w:id="2"/>
            </w:r>
          </w:p>
        </w:tc>
      </w:tr>
      <w:tr w:rsidR="0057380C" w:rsidRPr="00BC2380" w14:paraId="742F5F7B" w14:textId="77777777" w:rsidTr="00AC7786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1AC6006" w14:textId="1458147E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9C1F" w14:textId="149E5BA5" w:rsidR="0057380C" w:rsidRDefault="0057380C" w:rsidP="0057380C">
            <w:pPr>
              <w:rPr>
                <w:szCs w:val="24"/>
              </w:rPr>
            </w:pPr>
            <w:r>
              <w:rPr>
                <w:szCs w:val="24"/>
              </w:rPr>
              <w:t>Žemės ūkio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3836" w14:textId="269FB5E7" w:rsidR="0057380C" w:rsidRDefault="0057380C" w:rsidP="0057380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-415 250,00</w:t>
            </w:r>
          </w:p>
        </w:tc>
      </w:tr>
      <w:tr w:rsidR="0057380C" w:rsidRPr="00BC2380" w14:paraId="6352B068" w14:textId="77777777" w:rsidTr="00AC7786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E7C7560" w14:textId="1216D9DA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A942" w14:textId="246FD653" w:rsidR="0057380C" w:rsidRPr="007125B3" w:rsidRDefault="0057380C" w:rsidP="0057380C">
            <w:pPr>
              <w:rPr>
                <w:bCs/>
                <w:szCs w:val="24"/>
              </w:rPr>
            </w:pPr>
            <w:r>
              <w:rPr>
                <w:szCs w:val="24"/>
              </w:rPr>
              <w:t>Ekonomikos ir inovacijų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2A76" w14:textId="717E03F1" w:rsidR="0057380C" w:rsidRDefault="0057380C" w:rsidP="0057380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-196 064,20 </w:t>
            </w:r>
          </w:p>
        </w:tc>
      </w:tr>
      <w:tr w:rsidR="0057380C" w:rsidRPr="00BC2380" w14:paraId="4D03E115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2223871" w14:textId="11B03CE4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C0816" w14:textId="315A1A44" w:rsidR="0057380C" w:rsidRDefault="0057380C" w:rsidP="0057380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Susisiekimo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2750" w14:textId="45B6340E" w:rsidR="0057380C" w:rsidRPr="0085264D" w:rsidRDefault="0057380C" w:rsidP="0057380C">
            <w:pPr>
              <w:jc w:val="right"/>
              <w:rPr>
                <w:szCs w:val="24"/>
              </w:rPr>
            </w:pPr>
            <w:r w:rsidRPr="0085264D">
              <w:rPr>
                <w:szCs w:val="24"/>
              </w:rPr>
              <w:t>-99 287,65</w:t>
            </w:r>
          </w:p>
        </w:tc>
      </w:tr>
      <w:tr w:rsidR="0057380C" w:rsidRPr="00BC2380" w14:paraId="0D16A71A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1F77C1" w14:textId="311CAF40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20E38" w14:textId="2CF1E213" w:rsidR="0057380C" w:rsidRPr="007125B3" w:rsidRDefault="0057380C" w:rsidP="0057380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transporto saugos administracija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2B6C" w14:textId="48585082" w:rsidR="0057380C" w:rsidRPr="0085264D" w:rsidRDefault="0057380C" w:rsidP="0057380C">
            <w:pPr>
              <w:jc w:val="right"/>
              <w:rPr>
                <w:szCs w:val="24"/>
              </w:rPr>
            </w:pPr>
            <w:r w:rsidRPr="0085264D">
              <w:rPr>
                <w:szCs w:val="24"/>
              </w:rPr>
              <w:t>-28 159,25</w:t>
            </w:r>
          </w:p>
        </w:tc>
      </w:tr>
      <w:tr w:rsidR="0057380C" w:rsidRPr="00BC2380" w14:paraId="37B5E204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8FEC529" w14:textId="347BFB79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E937A" w14:textId="6E2CEEEB" w:rsidR="0057380C" w:rsidRDefault="0057380C" w:rsidP="0057380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Sveikatos apsaugos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AA81" w14:textId="5D614863" w:rsidR="0057380C" w:rsidRPr="0085264D" w:rsidRDefault="0057380C" w:rsidP="0057380C">
            <w:pPr>
              <w:jc w:val="right"/>
              <w:rPr>
                <w:szCs w:val="24"/>
              </w:rPr>
            </w:pPr>
            <w:r w:rsidRPr="0085264D">
              <w:rPr>
                <w:szCs w:val="24"/>
              </w:rPr>
              <w:t>-13 052,73</w:t>
            </w:r>
          </w:p>
        </w:tc>
      </w:tr>
      <w:tr w:rsidR="0057380C" w:rsidRPr="00BC2380" w14:paraId="6B283B6A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9155442" w14:textId="136B26E7" w:rsidR="0057380C" w:rsidRPr="00BC2380" w:rsidRDefault="0057380C" w:rsidP="0057380C">
            <w:pPr>
              <w:rPr>
                <w:szCs w:val="24"/>
              </w:rPr>
            </w:pPr>
            <w:r w:rsidRPr="00BC2380">
              <w:rPr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E2A38" w14:textId="7CD5EF3B" w:rsidR="0057380C" w:rsidRPr="007125B3" w:rsidRDefault="0057380C" w:rsidP="0057380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statistikos departamentas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4957" w14:textId="3D333D98" w:rsidR="0057380C" w:rsidRDefault="0057380C" w:rsidP="0057380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-4 289,96</w:t>
            </w:r>
          </w:p>
        </w:tc>
      </w:tr>
      <w:tr w:rsidR="0085264D" w:rsidRPr="00BC2380" w14:paraId="5F2500DB" w14:textId="77777777" w:rsidTr="00CF312F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3902BD7" w14:textId="10C02C82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A1E3" w14:textId="3A99AB1E" w:rsidR="0085264D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Ryšių reguliavimo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3F95" w14:textId="3446745E" w:rsidR="0085264D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-2 297,84</w:t>
            </w:r>
          </w:p>
        </w:tc>
      </w:tr>
      <w:tr w:rsidR="0085264D" w:rsidRPr="00BC2380" w14:paraId="41B586BC" w14:textId="77777777" w:rsidTr="00CF312F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22B8829" w14:textId="34FD426D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6A1B" w14:textId="0DEB109E" w:rsidR="0085264D" w:rsidRPr="007125B3" w:rsidRDefault="0085264D" w:rsidP="0085264D">
            <w:pPr>
              <w:rPr>
                <w:bCs/>
                <w:szCs w:val="24"/>
              </w:rPr>
            </w:pPr>
            <w:r>
              <w:rPr>
                <w:szCs w:val="24"/>
              </w:rPr>
              <w:t>Energetikos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7488" w14:textId="0DE94868" w:rsidR="0085264D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-934,92</w:t>
            </w:r>
          </w:p>
        </w:tc>
      </w:tr>
      <w:tr w:rsidR="0085264D" w:rsidRPr="00BC2380" w14:paraId="70B18CB9" w14:textId="77777777" w:rsidTr="00F40151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3452F8D" w14:textId="72EA28C2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E2B6E" w14:textId="498B6A70" w:rsidR="0085264D" w:rsidRPr="007125B3" w:rsidRDefault="0085264D" w:rsidP="0085264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apsaugos ir darbo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ACB" w14:textId="047F2E6C" w:rsidR="0085264D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-431,47</w:t>
            </w:r>
          </w:p>
        </w:tc>
      </w:tr>
      <w:tr w:rsidR="0085264D" w:rsidRPr="00BC2380" w14:paraId="1AF1AC83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D3426DF" w14:textId="1C2AA087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434CB" w14:textId="1E248FA5" w:rsidR="0085264D" w:rsidRPr="007125B3" w:rsidRDefault="0085264D" w:rsidP="0085264D">
            <w:pPr>
              <w:rPr>
                <w:bCs/>
                <w:szCs w:val="24"/>
              </w:rPr>
            </w:pPr>
            <w:r w:rsidRPr="007125B3">
              <w:rPr>
                <w:bCs/>
                <w:szCs w:val="24"/>
              </w:rPr>
              <w:t>Audito, apskaitos, turto vertinimo ir nemokumo valdymo tarnyba prie 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2C49" w14:textId="7BA77F6F" w:rsidR="0085264D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-349,00</w:t>
            </w:r>
          </w:p>
        </w:tc>
      </w:tr>
      <w:tr w:rsidR="0085264D" w:rsidRPr="00BC2380" w14:paraId="71E4CF89" w14:textId="77777777" w:rsidTr="00F40151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6872AC" w14:textId="2A5D0CDF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2406" w14:textId="63D0C500" w:rsidR="0085264D" w:rsidRPr="007125B3" w:rsidRDefault="0085264D" w:rsidP="0085264D">
            <w:pPr>
              <w:rPr>
                <w:bCs/>
                <w:szCs w:val="24"/>
              </w:rPr>
            </w:pPr>
            <w:r>
              <w:rPr>
                <w:szCs w:val="24"/>
              </w:rPr>
              <w:t>Valstybinė atominės energetikos saugos inspekcija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D777" w14:textId="5B227E9E" w:rsidR="0085264D" w:rsidRPr="00BC2380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-294,06</w:t>
            </w:r>
          </w:p>
        </w:tc>
      </w:tr>
      <w:tr w:rsidR="0085264D" w:rsidRPr="00BC2380" w14:paraId="76D13917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1FABCC4" w14:textId="4EC398D5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B11A" w14:textId="556069A2" w:rsidR="0085264D" w:rsidRPr="009751BE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Viešųjų pirkimų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FCB4" w14:textId="6EC15DD1" w:rsidR="0085264D" w:rsidRPr="009751BE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-53,50</w:t>
            </w:r>
          </w:p>
        </w:tc>
      </w:tr>
      <w:tr w:rsidR="0085264D" w:rsidRPr="00BC2380" w14:paraId="2BEDFDF0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3880DEE" w14:textId="40CB0AB5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56ED" w14:textId="0B38FF55" w:rsidR="0085264D" w:rsidRPr="009751BE" w:rsidRDefault="0085264D" w:rsidP="0085264D">
            <w:pPr>
              <w:rPr>
                <w:szCs w:val="24"/>
              </w:rPr>
            </w:pPr>
            <w:r w:rsidRPr="00517291">
              <w:rPr>
                <w:szCs w:val="24"/>
              </w:rPr>
              <w:t>Muitinės departamentas prie 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986A" w14:textId="24A822A4" w:rsidR="0085264D" w:rsidRPr="009751BE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+114,80</w:t>
            </w:r>
          </w:p>
        </w:tc>
      </w:tr>
      <w:tr w:rsidR="0085264D" w:rsidRPr="00BC2380" w14:paraId="49D4F818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D4139E6" w14:textId="58AAAACE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2556" w14:textId="6145C159" w:rsidR="0085264D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Lietuvos bankas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4CF3" w14:textId="4C175005" w:rsidR="0085264D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+221,40</w:t>
            </w:r>
          </w:p>
        </w:tc>
      </w:tr>
      <w:tr w:rsidR="0085264D" w:rsidRPr="00BC2380" w14:paraId="08501B85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F58D2CB" w14:textId="266774E8" w:rsidR="0085264D" w:rsidRPr="00BC2380" w:rsidRDefault="0085264D" w:rsidP="0085264D">
            <w:pPr>
              <w:rPr>
                <w:szCs w:val="24"/>
              </w:rPr>
            </w:pPr>
            <w:r w:rsidRPr="00BC2380">
              <w:rPr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8B9C" w14:textId="35659DBE" w:rsidR="0085264D" w:rsidRPr="00D0487F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 xml:space="preserve">Lošimų priežiūros tarnyba prie </w:t>
            </w:r>
            <w:r w:rsidRPr="00517291">
              <w:rPr>
                <w:szCs w:val="24"/>
              </w:rPr>
              <w:t>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E604" w14:textId="16615845" w:rsidR="0085264D" w:rsidRPr="00D0487F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+272,65</w:t>
            </w:r>
          </w:p>
        </w:tc>
      </w:tr>
      <w:tr w:rsidR="0085264D" w:rsidRPr="00BC2380" w14:paraId="72CC46A1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6740543" w14:textId="69FCBA7A" w:rsidR="0085264D" w:rsidRPr="00BC2380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DF23" w14:textId="2F84052A" w:rsidR="0085264D" w:rsidRPr="00517291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Valstybinė maisto ir veterinarijos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2F09" w14:textId="76C6FBA3" w:rsidR="0085264D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+5 681,64</w:t>
            </w:r>
          </w:p>
        </w:tc>
      </w:tr>
      <w:tr w:rsidR="0085264D" w:rsidRPr="00BC2380" w14:paraId="023FD60D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829B4B1" w14:textId="00BE3963" w:rsidR="0085264D" w:rsidRPr="00BC2380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CEA2" w14:textId="4AB0A52F" w:rsidR="0085264D" w:rsidRPr="00BC2380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Aplinkos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E41D" w14:textId="75BDD769" w:rsidR="0085264D" w:rsidRPr="00BC2380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+53 369,45</w:t>
            </w:r>
          </w:p>
        </w:tc>
      </w:tr>
      <w:tr w:rsidR="0085264D" w:rsidRPr="00BC2380" w14:paraId="1DB2F7EE" w14:textId="77777777" w:rsidTr="00CA4088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60355F6" w14:textId="1CAC3E85" w:rsidR="0085264D" w:rsidRPr="00BC2380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AE46" w14:textId="0EFDC119" w:rsidR="0085264D" w:rsidRPr="00BC2380" w:rsidRDefault="0085264D" w:rsidP="0085264D">
            <w:pPr>
              <w:rPr>
                <w:szCs w:val="24"/>
              </w:rPr>
            </w:pPr>
            <w:r>
              <w:rPr>
                <w:szCs w:val="24"/>
              </w:rPr>
              <w:t>Vidaus reikalų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6DDF" w14:textId="37E58990" w:rsidR="0085264D" w:rsidRPr="00BC2380" w:rsidRDefault="0085264D" w:rsidP="008526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+395 513,00</w:t>
            </w:r>
          </w:p>
        </w:tc>
      </w:tr>
    </w:tbl>
    <w:p w14:paraId="4A72739F" w14:textId="23CA7919" w:rsidR="0090153E" w:rsidRDefault="0090153E">
      <w:pPr>
        <w:ind w:firstLine="709"/>
        <w:rPr>
          <w:rFonts w:eastAsia="Calibri"/>
          <w:szCs w:val="24"/>
        </w:rPr>
      </w:pPr>
    </w:p>
    <w:p w14:paraId="299481DC" w14:textId="41469D3A" w:rsidR="0090153E" w:rsidRDefault="0090153E">
      <w:pPr>
        <w:ind w:firstLine="709"/>
        <w:rPr>
          <w:rFonts w:eastAsia="Calibri"/>
          <w:szCs w:val="24"/>
        </w:rPr>
      </w:pPr>
    </w:p>
    <w:p w14:paraId="3552EF2E" w14:textId="1F372A04" w:rsidR="003D4B7F" w:rsidRDefault="003D4B7F" w:rsidP="003D4B7F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380">
        <w:rPr>
          <w:rFonts w:ascii="Times New Roman" w:hAnsi="Times New Roman"/>
          <w:b/>
          <w:sz w:val="24"/>
          <w:szCs w:val="24"/>
        </w:rPr>
        <w:t xml:space="preserve">Administracinė našta ūkio subjektams </w:t>
      </w:r>
      <w:r w:rsidR="008774B3">
        <w:rPr>
          <w:rFonts w:ascii="Times New Roman" w:hAnsi="Times New Roman"/>
          <w:b/>
          <w:sz w:val="24"/>
          <w:szCs w:val="24"/>
        </w:rPr>
        <w:t xml:space="preserve">iš viso </w:t>
      </w:r>
      <w:r w:rsidRPr="00BC2380">
        <w:rPr>
          <w:rFonts w:ascii="Times New Roman" w:hAnsi="Times New Roman"/>
          <w:b/>
          <w:sz w:val="24"/>
          <w:szCs w:val="24"/>
        </w:rPr>
        <w:t xml:space="preserve">per 2019 m. sumažėjo </w:t>
      </w:r>
      <w:r w:rsidRPr="00DD0131">
        <w:rPr>
          <w:rFonts w:ascii="Times New Roman" w:hAnsi="Times New Roman"/>
          <w:b/>
          <w:sz w:val="24"/>
          <w:szCs w:val="24"/>
          <w:u w:val="single"/>
        </w:rPr>
        <w:t>12.</w:t>
      </w:r>
      <w:r w:rsidR="004D0A90" w:rsidRPr="00DD0131">
        <w:rPr>
          <w:rFonts w:ascii="Times New Roman" w:hAnsi="Times New Roman"/>
          <w:b/>
          <w:sz w:val="24"/>
          <w:szCs w:val="24"/>
          <w:u w:val="single"/>
        </w:rPr>
        <w:t>796.621,68</w:t>
      </w:r>
      <w:r w:rsidRPr="00DD0131">
        <w:rPr>
          <w:rFonts w:ascii="Times New Roman" w:hAnsi="Times New Roman"/>
          <w:b/>
          <w:sz w:val="24"/>
          <w:szCs w:val="24"/>
          <w:u w:val="single"/>
        </w:rPr>
        <w:t xml:space="preserve"> eurų</w:t>
      </w:r>
      <w:r w:rsidRPr="00BC2380">
        <w:rPr>
          <w:rFonts w:ascii="Times New Roman" w:hAnsi="Times New Roman"/>
          <w:b/>
          <w:sz w:val="24"/>
          <w:szCs w:val="24"/>
        </w:rPr>
        <w:t xml:space="preserve">. </w:t>
      </w:r>
    </w:p>
    <w:p w14:paraId="48DF5337" w14:textId="3A88300F" w:rsidR="003D4B7F" w:rsidRDefault="003D4B7F" w:rsidP="003D4B7F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152A5CA" w14:textId="26A98FF9" w:rsidR="0036075A" w:rsidRPr="00BC2380" w:rsidRDefault="0036075A" w:rsidP="0036075A">
      <w:pPr>
        <w:jc w:val="center"/>
        <w:rPr>
          <w:szCs w:val="24"/>
        </w:rPr>
      </w:pPr>
      <w:r w:rsidRPr="00BC2380">
        <w:rPr>
          <w:b/>
          <w:color w:val="000000"/>
          <w:szCs w:val="24"/>
          <w:lang w:eastAsia="lt-LT"/>
        </w:rPr>
        <w:t xml:space="preserve">Administracinės naštos pokytis pagal institucijas </w:t>
      </w:r>
      <w:r w:rsidR="004142E5">
        <w:rPr>
          <w:b/>
          <w:color w:val="000000"/>
          <w:szCs w:val="24"/>
          <w:lang w:eastAsia="lt-LT"/>
        </w:rPr>
        <w:t xml:space="preserve">iš viso per </w:t>
      </w:r>
      <w:r w:rsidRPr="00BC2380">
        <w:rPr>
          <w:b/>
          <w:color w:val="000000"/>
          <w:szCs w:val="24"/>
          <w:lang w:eastAsia="lt-LT"/>
        </w:rPr>
        <w:t>2019 m.</w:t>
      </w:r>
    </w:p>
    <w:p w14:paraId="2BFC18DD" w14:textId="77777777" w:rsidR="0036075A" w:rsidRPr="00BC2380" w:rsidRDefault="0036075A" w:rsidP="003D4B7F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</w:tblGrid>
      <w:tr w:rsidR="008774B3" w:rsidRPr="00BC2380" w14:paraId="13252786" w14:textId="77777777" w:rsidTr="00560BAE">
        <w:trPr>
          <w:trHeight w:val="600"/>
        </w:trPr>
        <w:tc>
          <w:tcPr>
            <w:tcW w:w="704" w:type="dxa"/>
            <w:tcBorders>
              <w:bottom w:val="single" w:sz="4" w:space="0" w:color="auto"/>
            </w:tcBorders>
          </w:tcPr>
          <w:p w14:paraId="3E1683DF" w14:textId="77777777" w:rsidR="008774B3" w:rsidRPr="00BC2380" w:rsidRDefault="008774B3" w:rsidP="00EB030A">
            <w:pPr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Eil. Nr.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0CDD8C8" w14:textId="77777777" w:rsidR="008774B3" w:rsidRPr="00BC2380" w:rsidRDefault="008774B3" w:rsidP="00EB030A">
            <w:pPr>
              <w:jc w:val="center"/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Institucija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02312B" w14:textId="53213B3B" w:rsidR="008774B3" w:rsidRPr="00BC2380" w:rsidRDefault="008774B3" w:rsidP="00EB030A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BC2380">
              <w:rPr>
                <w:b/>
                <w:color w:val="000000"/>
                <w:szCs w:val="24"/>
                <w:lang w:eastAsia="lt-LT"/>
              </w:rPr>
              <w:t>Pokytis (eurais) 2019 m.</w:t>
            </w:r>
          </w:p>
        </w:tc>
      </w:tr>
      <w:tr w:rsidR="00560BAE" w14:paraId="3866196E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6A0A16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AFA1" w14:textId="0D50F7EA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Valstybinė maisto ir veterinarijos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91D3" w14:textId="0D1C55F2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-9</w:t>
            </w:r>
            <w:r w:rsidR="004458EB">
              <w:rPr>
                <w:color w:val="000000"/>
                <w:szCs w:val="24"/>
              </w:rPr>
              <w:t> </w:t>
            </w:r>
            <w:r w:rsidRPr="00560BAE">
              <w:rPr>
                <w:color w:val="000000"/>
                <w:szCs w:val="24"/>
              </w:rPr>
              <w:t>226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511,53</w:t>
            </w:r>
          </w:p>
        </w:tc>
      </w:tr>
      <w:tr w:rsidR="00560BAE" w14:paraId="58672A28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EA5944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6A69" w14:textId="76437F2E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>Sveikatos apsaugos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F66A" w14:textId="64F63ED0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-2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264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789,19</w:t>
            </w:r>
          </w:p>
        </w:tc>
      </w:tr>
      <w:tr w:rsidR="00560BAE" w14:paraId="14E4C3A0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8C91EDF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F86D" w14:textId="16730A3D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Finansų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35E8" w14:textId="155D1D26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-966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830,60</w:t>
            </w:r>
          </w:p>
        </w:tc>
      </w:tr>
      <w:tr w:rsidR="00560BAE" w:rsidRPr="0085264D" w14:paraId="1FBF2F96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7318966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D157" w14:textId="565C89D2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Žemės ūkio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D4CB" w14:textId="3033EA3C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-561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497,29</w:t>
            </w:r>
          </w:p>
        </w:tc>
      </w:tr>
      <w:tr w:rsidR="00560BAE" w:rsidRPr="0085264D" w14:paraId="13D6CF1F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4915E0B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8996" w14:textId="372017F4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Ekonomikos ir inovacijų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252C" w14:textId="52ADD8D0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bCs/>
                <w:szCs w:val="24"/>
              </w:rPr>
              <w:t>-114</w:t>
            </w:r>
            <w:r w:rsidR="004458EB">
              <w:rPr>
                <w:bCs/>
                <w:szCs w:val="24"/>
              </w:rPr>
              <w:t xml:space="preserve"> </w:t>
            </w:r>
            <w:r w:rsidRPr="00560BAE">
              <w:rPr>
                <w:bCs/>
                <w:szCs w:val="24"/>
              </w:rPr>
              <w:t>529,65</w:t>
            </w:r>
          </w:p>
        </w:tc>
      </w:tr>
      <w:tr w:rsidR="00560BAE" w:rsidRPr="0085264D" w14:paraId="04A91FEB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2D48C57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A24D" w14:textId="6543BD3C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Susisiekimo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1C66" w14:textId="7263754E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bCs/>
                <w:szCs w:val="24"/>
              </w:rPr>
              <w:t>-99</w:t>
            </w:r>
            <w:r w:rsidR="004458EB">
              <w:rPr>
                <w:bCs/>
                <w:szCs w:val="24"/>
              </w:rPr>
              <w:t xml:space="preserve"> </w:t>
            </w:r>
            <w:r w:rsidRPr="00560BAE">
              <w:rPr>
                <w:bCs/>
                <w:szCs w:val="24"/>
              </w:rPr>
              <w:t>387,15</w:t>
            </w:r>
          </w:p>
        </w:tc>
      </w:tr>
      <w:tr w:rsidR="00560BAE" w14:paraId="187C5E4C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73A29F3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363B" w14:textId="72BF9F94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Energetikos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3EF0" w14:textId="6C98380E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bCs/>
                <w:szCs w:val="24"/>
              </w:rPr>
              <w:t>-21</w:t>
            </w:r>
            <w:r w:rsidR="004458EB">
              <w:rPr>
                <w:bCs/>
                <w:szCs w:val="24"/>
              </w:rPr>
              <w:t xml:space="preserve"> </w:t>
            </w:r>
            <w:r w:rsidRPr="00560BAE">
              <w:rPr>
                <w:bCs/>
                <w:szCs w:val="24"/>
              </w:rPr>
              <w:t>485,58</w:t>
            </w:r>
          </w:p>
        </w:tc>
      </w:tr>
      <w:tr w:rsidR="00560BAE" w14:paraId="343286F3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63A4CAB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2BC4" w14:textId="3C59E97A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>Lietuvos transporto saugos administracija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7CA8E" w14:textId="26AB61B4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bCs/>
                <w:szCs w:val="24"/>
              </w:rPr>
              <w:t>-5</w:t>
            </w:r>
            <w:r w:rsidR="004458EB">
              <w:rPr>
                <w:bCs/>
                <w:szCs w:val="24"/>
              </w:rPr>
              <w:t xml:space="preserve"> </w:t>
            </w:r>
            <w:r w:rsidRPr="00560BAE">
              <w:rPr>
                <w:bCs/>
                <w:szCs w:val="24"/>
              </w:rPr>
              <w:t>968,37</w:t>
            </w:r>
          </w:p>
        </w:tc>
      </w:tr>
      <w:tr w:rsidR="00560BAE" w14:paraId="241A0008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6FD832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A752" w14:textId="605EB8C5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Lietuvos statistikos departamentas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AE42" w14:textId="17D01088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-5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175,93</w:t>
            </w:r>
          </w:p>
        </w:tc>
      </w:tr>
      <w:tr w:rsidR="00560BAE" w14:paraId="3DA69479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7FF585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B527" w14:textId="2CE35A66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Socialinės apsaugos ir darbo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57BC" w14:textId="2416F897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-2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253,86</w:t>
            </w:r>
          </w:p>
        </w:tc>
      </w:tr>
      <w:tr w:rsidR="00560BAE" w14:paraId="1DE4C3EA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A9AC33E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00D5" w14:textId="290FC60F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>Ryšių reguliavimo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C703" w14:textId="204B81C3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bCs/>
                <w:szCs w:val="24"/>
              </w:rPr>
              <w:t>-2</w:t>
            </w:r>
            <w:r w:rsidR="004458EB">
              <w:rPr>
                <w:bCs/>
                <w:szCs w:val="24"/>
              </w:rPr>
              <w:t xml:space="preserve"> </w:t>
            </w:r>
            <w:r w:rsidRPr="00560BAE">
              <w:rPr>
                <w:bCs/>
                <w:szCs w:val="24"/>
              </w:rPr>
              <w:t>106,47</w:t>
            </w:r>
          </w:p>
        </w:tc>
      </w:tr>
      <w:tr w:rsidR="00560BAE" w:rsidRPr="00BC2380" w14:paraId="7F414FD2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C3CAB5E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1A4D" w14:textId="35EC4FEC" w:rsidR="00560BAE" w:rsidRPr="007D74BA" w:rsidRDefault="00560BAE" w:rsidP="00560BAE">
            <w:pPr>
              <w:rPr>
                <w:bCs/>
                <w:szCs w:val="24"/>
              </w:rPr>
            </w:pPr>
            <w:r w:rsidRPr="007D74BA">
              <w:rPr>
                <w:color w:val="000000"/>
                <w:szCs w:val="24"/>
              </w:rPr>
              <w:t xml:space="preserve">Lošimų priežiūros tarnyba prie </w:t>
            </w:r>
            <w:r w:rsidR="00F47619" w:rsidRPr="007125B3">
              <w:rPr>
                <w:bCs/>
                <w:szCs w:val="24"/>
              </w:rPr>
              <w:t>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DE34" w14:textId="4FF923FC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bCs/>
                <w:szCs w:val="24"/>
              </w:rPr>
              <w:t>-765,84</w:t>
            </w:r>
          </w:p>
        </w:tc>
      </w:tr>
      <w:tr w:rsidR="00560BAE" w:rsidRPr="009751BE" w14:paraId="25D9973E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7A030D1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696A" w14:textId="1CE5CE93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 xml:space="preserve">Audito, apskaitos, turto vertinimo ir nemokumo valdymo tarnyba prie </w:t>
            </w:r>
            <w:r w:rsidR="00F47619" w:rsidRPr="007125B3">
              <w:rPr>
                <w:bCs/>
                <w:szCs w:val="24"/>
              </w:rPr>
              <w:t>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D6C9" w14:textId="59995B40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-349</w:t>
            </w:r>
            <w:r w:rsidR="004458EB">
              <w:rPr>
                <w:color w:val="000000"/>
                <w:szCs w:val="24"/>
              </w:rPr>
              <w:t>,00</w:t>
            </w:r>
          </w:p>
        </w:tc>
      </w:tr>
      <w:tr w:rsidR="00560BAE" w:rsidRPr="009751BE" w14:paraId="1C021698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78BDE2C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FDC0" w14:textId="298843ED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>Valstybinė atominės energetikos saugos inspekcija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7854" w14:textId="566869D3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-294,06</w:t>
            </w:r>
          </w:p>
        </w:tc>
      </w:tr>
      <w:tr w:rsidR="00560BAE" w14:paraId="7B999619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298429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E28D" w14:textId="6BA2AD97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>Viešųjų pirkimų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03E8" w14:textId="46ACFA5C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-53,5</w:t>
            </w:r>
            <w:r w:rsidR="000935A2">
              <w:rPr>
                <w:color w:val="000000"/>
                <w:szCs w:val="24"/>
              </w:rPr>
              <w:t>0</w:t>
            </w:r>
          </w:p>
        </w:tc>
      </w:tr>
      <w:tr w:rsidR="00560BAE" w:rsidRPr="00D0487F" w14:paraId="43F45B3E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E202D79" w14:textId="77777777" w:rsidR="00560BAE" w:rsidRPr="00BC2380" w:rsidRDefault="00560BAE" w:rsidP="00560BAE">
            <w:pPr>
              <w:rPr>
                <w:szCs w:val="24"/>
              </w:rPr>
            </w:pPr>
            <w:r w:rsidRPr="00BC2380">
              <w:rPr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667B" w14:textId="5AEA7988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szCs w:val="24"/>
              </w:rPr>
              <w:t>Kultūros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4943" w14:textId="5B5F9C5F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9,51</w:t>
            </w:r>
          </w:p>
        </w:tc>
      </w:tr>
      <w:tr w:rsidR="00560BAE" w:rsidRPr="00D0487F" w14:paraId="74A66439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29D9E77" w14:textId="0630479C" w:rsidR="00560BAE" w:rsidRPr="00BC2380" w:rsidRDefault="00560BAE" w:rsidP="00560BAE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FA3E" w14:textId="00427055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 xml:space="preserve">Muitinės departamentas prie </w:t>
            </w:r>
            <w:r w:rsidR="006510E6" w:rsidRPr="007125B3">
              <w:rPr>
                <w:bCs/>
                <w:szCs w:val="24"/>
              </w:rPr>
              <w:t>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1383" w14:textId="750D7C60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114,8</w:t>
            </w:r>
            <w:r w:rsidR="000935A2">
              <w:rPr>
                <w:color w:val="000000"/>
                <w:szCs w:val="24"/>
              </w:rPr>
              <w:t>0</w:t>
            </w:r>
          </w:p>
        </w:tc>
      </w:tr>
      <w:tr w:rsidR="00560BAE" w:rsidRPr="00D0487F" w14:paraId="1E25F124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E5FE488" w14:textId="789EAB0B" w:rsidR="00560BAE" w:rsidRPr="00BC2380" w:rsidRDefault="00560BAE" w:rsidP="00560BAE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F8C5" w14:textId="2C4F906B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>Lietuvos bankas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5C5C" w14:textId="216970BA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221,4</w:t>
            </w:r>
            <w:r w:rsidR="000935A2">
              <w:rPr>
                <w:color w:val="000000"/>
                <w:szCs w:val="24"/>
              </w:rPr>
              <w:t>0</w:t>
            </w:r>
          </w:p>
        </w:tc>
      </w:tr>
      <w:tr w:rsidR="00560BAE" w:rsidRPr="00D0487F" w14:paraId="76D8870F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0A0C300" w14:textId="26685A45" w:rsidR="00560BAE" w:rsidRPr="00BC2380" w:rsidRDefault="00560BAE" w:rsidP="00560BAE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B76F" w14:textId="0B9B5A0E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 xml:space="preserve">Valstybinė mokesčių inspekcija prie </w:t>
            </w:r>
            <w:r w:rsidR="006510E6" w:rsidRPr="007125B3">
              <w:rPr>
                <w:bCs/>
                <w:szCs w:val="24"/>
              </w:rPr>
              <w:t>Lietuvos Respublikos finansų ministerijos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EE66" w14:textId="6B4E8E9F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3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049,71</w:t>
            </w:r>
          </w:p>
        </w:tc>
      </w:tr>
      <w:tr w:rsidR="00560BAE" w:rsidRPr="00D0487F" w14:paraId="2A47EAB5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BC239A4" w14:textId="45CD0791" w:rsidR="00560BAE" w:rsidRPr="00BC2380" w:rsidRDefault="00560BAE" w:rsidP="00560BAE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37B3" w14:textId="56C081D7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footnoteReference w:customMarkFollows="1" w:id="3"/>
              <w:t>Aplinkos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8FE5" w14:textId="3FC26AF0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79</w:t>
            </w:r>
            <w:r w:rsidR="004458EB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720,02</w:t>
            </w:r>
          </w:p>
        </w:tc>
      </w:tr>
      <w:tr w:rsidR="00560BAE" w:rsidRPr="00D0487F" w14:paraId="71E9C377" w14:textId="77777777" w:rsidTr="00560BAE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403E32B" w14:textId="1A7D2F35" w:rsidR="00560BAE" w:rsidRPr="00BC2380" w:rsidRDefault="00560BAE" w:rsidP="00560BAE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B20D" w14:textId="3D8B00D4" w:rsidR="00560BAE" w:rsidRPr="007D74BA" w:rsidRDefault="00560BAE" w:rsidP="00560BAE">
            <w:pPr>
              <w:rPr>
                <w:szCs w:val="24"/>
              </w:rPr>
            </w:pPr>
            <w:r w:rsidRPr="007D74BA">
              <w:rPr>
                <w:color w:val="000000"/>
                <w:szCs w:val="24"/>
              </w:rPr>
              <w:t>Vidaus reikalų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76DC" w14:textId="653A7BCA" w:rsidR="00560BAE" w:rsidRPr="00560BAE" w:rsidRDefault="00560BAE" w:rsidP="00560BAE">
            <w:pPr>
              <w:jc w:val="right"/>
              <w:rPr>
                <w:szCs w:val="24"/>
              </w:rPr>
            </w:pPr>
            <w:r w:rsidRPr="00560BAE">
              <w:rPr>
                <w:color w:val="000000"/>
                <w:szCs w:val="24"/>
              </w:rPr>
              <w:t>392</w:t>
            </w:r>
            <w:r w:rsidR="007B5B8A">
              <w:rPr>
                <w:color w:val="000000"/>
                <w:szCs w:val="24"/>
              </w:rPr>
              <w:t xml:space="preserve"> </w:t>
            </w:r>
            <w:r w:rsidRPr="00560BAE">
              <w:rPr>
                <w:color w:val="000000"/>
                <w:szCs w:val="24"/>
              </w:rPr>
              <w:t>260,9</w:t>
            </w:r>
            <w:r w:rsidR="004458EB">
              <w:rPr>
                <w:color w:val="000000"/>
                <w:szCs w:val="24"/>
              </w:rPr>
              <w:t>0</w:t>
            </w:r>
          </w:p>
        </w:tc>
      </w:tr>
    </w:tbl>
    <w:p w14:paraId="4D0A9EC6" w14:textId="2B79F091" w:rsidR="0090153E" w:rsidRDefault="0090153E">
      <w:pPr>
        <w:ind w:firstLine="709"/>
        <w:rPr>
          <w:rFonts w:eastAsia="Calibri"/>
          <w:szCs w:val="24"/>
        </w:rPr>
      </w:pPr>
    </w:p>
    <w:p w14:paraId="000EADF7" w14:textId="4E34948D" w:rsidR="0090153E" w:rsidRDefault="0090153E">
      <w:pPr>
        <w:ind w:firstLine="709"/>
        <w:rPr>
          <w:rFonts w:eastAsia="Calibri"/>
          <w:szCs w:val="24"/>
        </w:rPr>
      </w:pPr>
    </w:p>
    <w:p w14:paraId="5233CB6D" w14:textId="280FF2C9" w:rsidR="0090153E" w:rsidRDefault="0090153E">
      <w:pPr>
        <w:ind w:firstLine="709"/>
        <w:rPr>
          <w:rFonts w:eastAsia="Calibri"/>
          <w:szCs w:val="24"/>
        </w:rPr>
      </w:pPr>
    </w:p>
    <w:p w14:paraId="06E1C8DD" w14:textId="1EE37079" w:rsidR="0090153E" w:rsidRDefault="0090153E">
      <w:pPr>
        <w:ind w:firstLine="709"/>
        <w:rPr>
          <w:rFonts w:eastAsia="Calibri"/>
          <w:szCs w:val="24"/>
        </w:rPr>
      </w:pPr>
    </w:p>
    <w:p w14:paraId="165E8F8D" w14:textId="44B5D389" w:rsidR="0090153E" w:rsidRDefault="0090153E">
      <w:pPr>
        <w:ind w:firstLine="709"/>
        <w:rPr>
          <w:rFonts w:eastAsia="Calibri"/>
          <w:szCs w:val="24"/>
        </w:rPr>
      </w:pPr>
    </w:p>
    <w:p w14:paraId="0E811B45" w14:textId="09FFDA25" w:rsidR="0090153E" w:rsidRDefault="0090153E">
      <w:pPr>
        <w:ind w:firstLine="709"/>
        <w:rPr>
          <w:rFonts w:eastAsia="Calibri"/>
          <w:szCs w:val="24"/>
        </w:rPr>
      </w:pPr>
    </w:p>
    <w:p w14:paraId="37607A22" w14:textId="0B3A4924" w:rsidR="0090153E" w:rsidRDefault="0090153E">
      <w:pPr>
        <w:ind w:firstLine="709"/>
        <w:rPr>
          <w:rFonts w:eastAsia="Calibri"/>
          <w:szCs w:val="24"/>
        </w:rPr>
      </w:pPr>
    </w:p>
    <w:p w14:paraId="561494F0" w14:textId="6EA29121" w:rsidR="0090153E" w:rsidRDefault="0090153E">
      <w:pPr>
        <w:ind w:firstLine="709"/>
        <w:rPr>
          <w:rFonts w:eastAsia="Calibri"/>
          <w:szCs w:val="24"/>
        </w:rPr>
      </w:pPr>
    </w:p>
    <w:p w14:paraId="6DA685F0" w14:textId="52051BDF" w:rsidR="0090153E" w:rsidRDefault="0090153E">
      <w:pPr>
        <w:ind w:firstLine="709"/>
        <w:rPr>
          <w:rFonts w:eastAsia="Calibri"/>
          <w:szCs w:val="24"/>
        </w:rPr>
      </w:pPr>
    </w:p>
    <w:p w14:paraId="290B20BD" w14:textId="77777777" w:rsidR="004E2FFF" w:rsidRDefault="004E2FFF">
      <w:pPr>
        <w:ind w:firstLine="709"/>
        <w:rPr>
          <w:rFonts w:eastAsia="Calibri"/>
          <w:szCs w:val="24"/>
        </w:rPr>
      </w:pPr>
    </w:p>
    <w:p w14:paraId="18E09E27" w14:textId="77777777" w:rsidR="00A62D24" w:rsidRPr="00DD0131" w:rsidRDefault="007C0F46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2380">
        <w:rPr>
          <w:rFonts w:ascii="Times New Roman" w:hAnsi="Times New Roman"/>
          <w:b/>
          <w:sz w:val="24"/>
          <w:szCs w:val="24"/>
        </w:rPr>
        <w:lastRenderedPageBreak/>
        <w:t>Administracinė našta ūkio subjektams per 201</w:t>
      </w:r>
      <w:r w:rsidR="005A54D8" w:rsidRPr="00BC2380">
        <w:rPr>
          <w:rFonts w:ascii="Times New Roman" w:hAnsi="Times New Roman"/>
          <w:b/>
          <w:sz w:val="24"/>
          <w:szCs w:val="24"/>
        </w:rPr>
        <w:t>9</w:t>
      </w:r>
      <w:r w:rsidRPr="00BC2380">
        <w:rPr>
          <w:rFonts w:ascii="Times New Roman" w:hAnsi="Times New Roman"/>
          <w:b/>
          <w:sz w:val="24"/>
          <w:szCs w:val="24"/>
        </w:rPr>
        <w:t xml:space="preserve"> m. I pusmetį sumažėjo </w:t>
      </w:r>
      <w:r w:rsidR="007B697F" w:rsidRPr="00DD0131">
        <w:rPr>
          <w:rFonts w:ascii="Times New Roman" w:hAnsi="Times New Roman"/>
          <w:b/>
          <w:sz w:val="24"/>
          <w:szCs w:val="24"/>
          <w:u w:val="single"/>
        </w:rPr>
        <w:t>11.</w:t>
      </w:r>
      <w:r w:rsidR="004C7369" w:rsidRPr="00DD0131">
        <w:rPr>
          <w:rFonts w:ascii="Times New Roman" w:hAnsi="Times New Roman"/>
          <w:b/>
          <w:sz w:val="24"/>
          <w:szCs w:val="24"/>
          <w:u w:val="single"/>
        </w:rPr>
        <w:t>694.020,29</w:t>
      </w:r>
      <w:r w:rsidR="005A54D8" w:rsidRPr="00DD01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D0131">
        <w:rPr>
          <w:rFonts w:ascii="Times New Roman" w:hAnsi="Times New Roman"/>
          <w:b/>
          <w:sz w:val="24"/>
          <w:szCs w:val="24"/>
          <w:u w:val="single"/>
        </w:rPr>
        <w:t xml:space="preserve">eurų. </w:t>
      </w:r>
    </w:p>
    <w:p w14:paraId="18E09E28" w14:textId="77777777" w:rsidR="00A62D24" w:rsidRPr="00BC2380" w:rsidRDefault="00A62D24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E09E29" w14:textId="3595B96F" w:rsidR="00A62D24" w:rsidRPr="00BC2380" w:rsidRDefault="007C0F46">
      <w:pPr>
        <w:jc w:val="center"/>
        <w:rPr>
          <w:szCs w:val="24"/>
        </w:rPr>
      </w:pPr>
      <w:r w:rsidRPr="00BC2380">
        <w:rPr>
          <w:b/>
          <w:color w:val="000000"/>
          <w:szCs w:val="24"/>
          <w:lang w:eastAsia="lt-LT"/>
        </w:rPr>
        <w:t>Administracinės naštos pokytis pagal institucijas 201</w:t>
      </w:r>
      <w:r w:rsidR="00BC2380" w:rsidRPr="00BC2380">
        <w:rPr>
          <w:b/>
          <w:color w:val="000000"/>
          <w:szCs w:val="24"/>
          <w:lang w:eastAsia="lt-LT"/>
        </w:rPr>
        <w:t>9</w:t>
      </w:r>
      <w:r w:rsidRPr="00BC2380">
        <w:rPr>
          <w:b/>
          <w:color w:val="000000"/>
          <w:szCs w:val="24"/>
          <w:lang w:eastAsia="lt-LT"/>
        </w:rPr>
        <w:t xml:space="preserve"> m. I pusmetį</w:t>
      </w:r>
    </w:p>
    <w:p w14:paraId="18E09E2A" w14:textId="77777777" w:rsidR="00A62D24" w:rsidRPr="00BC2380" w:rsidRDefault="00A62D24">
      <w:pPr>
        <w:pStyle w:val="NoSpacing1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</w:tblGrid>
      <w:tr w:rsidR="00A62D24" w:rsidRPr="00BC2380" w14:paraId="18E09E2E" w14:textId="77777777" w:rsidTr="003C1B12">
        <w:trPr>
          <w:trHeight w:val="600"/>
        </w:trPr>
        <w:tc>
          <w:tcPr>
            <w:tcW w:w="704" w:type="dxa"/>
            <w:tcBorders>
              <w:bottom w:val="single" w:sz="4" w:space="0" w:color="auto"/>
            </w:tcBorders>
          </w:tcPr>
          <w:p w14:paraId="18E09E2B" w14:textId="77777777" w:rsidR="00A62D24" w:rsidRPr="00BC2380" w:rsidRDefault="007C0F46">
            <w:pPr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Eil. Nr.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E09E2C" w14:textId="77777777" w:rsidR="00A62D24" w:rsidRPr="00BC2380" w:rsidRDefault="007C0F46">
            <w:pPr>
              <w:jc w:val="center"/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Institucija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8E09E2D" w14:textId="24640C70" w:rsidR="00A62D24" w:rsidRPr="00BC2380" w:rsidRDefault="007C0F46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BC2380">
              <w:rPr>
                <w:b/>
                <w:color w:val="000000"/>
                <w:szCs w:val="24"/>
                <w:lang w:eastAsia="lt-LT"/>
              </w:rPr>
              <w:t>Pokytis (eurais) 201</w:t>
            </w:r>
            <w:r w:rsidR="00BC2380" w:rsidRPr="00BC2380">
              <w:rPr>
                <w:b/>
                <w:color w:val="000000"/>
                <w:szCs w:val="24"/>
                <w:lang w:eastAsia="lt-LT"/>
              </w:rPr>
              <w:t>9</w:t>
            </w:r>
            <w:r w:rsidRPr="00BC2380">
              <w:rPr>
                <w:b/>
                <w:color w:val="000000"/>
                <w:szCs w:val="24"/>
                <w:lang w:eastAsia="lt-LT"/>
              </w:rPr>
              <w:t xml:space="preserve"> m.  I </w:t>
            </w:r>
            <w:proofErr w:type="spellStart"/>
            <w:r w:rsidRPr="00BC2380">
              <w:rPr>
                <w:b/>
                <w:color w:val="000000"/>
                <w:szCs w:val="24"/>
                <w:lang w:eastAsia="lt-LT"/>
              </w:rPr>
              <w:t>pusm</w:t>
            </w:r>
            <w:proofErr w:type="spellEnd"/>
            <w:r w:rsidRPr="00BC2380">
              <w:rPr>
                <w:b/>
                <w:color w:val="000000"/>
                <w:szCs w:val="24"/>
                <w:lang w:eastAsia="lt-LT"/>
              </w:rPr>
              <w:t>.</w:t>
            </w:r>
          </w:p>
        </w:tc>
      </w:tr>
      <w:tr w:rsidR="005A54D8" w:rsidRPr="00BC2380" w14:paraId="18E09E3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2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09E30" w14:textId="6D00697B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Valstybinė maisto ir veterinarijos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1" w14:textId="43DB8C18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-9 232 193,17</w:t>
            </w:r>
          </w:p>
        </w:tc>
      </w:tr>
      <w:tr w:rsidR="005A54D8" w:rsidRPr="00BC2380" w14:paraId="18E09E3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4" w14:textId="589A4AA9" w:rsidR="005A54D8" w:rsidRPr="009751BE" w:rsidRDefault="005A54D8" w:rsidP="005A54D8">
            <w:pPr>
              <w:rPr>
                <w:szCs w:val="24"/>
              </w:rPr>
            </w:pPr>
            <w:r w:rsidRPr="009751BE">
              <w:rPr>
                <w:szCs w:val="24"/>
              </w:rPr>
              <w:t>Sveikatos apsaugos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5" w14:textId="31AEF054" w:rsidR="005A54D8" w:rsidRPr="009751BE" w:rsidRDefault="007B697F" w:rsidP="005A54D8">
            <w:pPr>
              <w:jc w:val="right"/>
              <w:rPr>
                <w:szCs w:val="24"/>
              </w:rPr>
            </w:pPr>
            <w:r w:rsidRPr="009751BE">
              <w:rPr>
                <w:szCs w:val="24"/>
              </w:rPr>
              <w:t>-2</w:t>
            </w:r>
            <w:r w:rsidR="00112F30">
              <w:rPr>
                <w:szCs w:val="24"/>
              </w:rPr>
              <w:t xml:space="preserve"> </w:t>
            </w:r>
            <w:r w:rsidRPr="009751BE">
              <w:rPr>
                <w:szCs w:val="24"/>
              </w:rPr>
              <w:t>2</w:t>
            </w:r>
            <w:r w:rsidR="004C7369" w:rsidRPr="009751BE">
              <w:rPr>
                <w:szCs w:val="24"/>
              </w:rPr>
              <w:t>51</w:t>
            </w:r>
            <w:r w:rsidR="00112F30">
              <w:rPr>
                <w:szCs w:val="24"/>
              </w:rPr>
              <w:t xml:space="preserve"> </w:t>
            </w:r>
            <w:r w:rsidR="004C7369" w:rsidRPr="009751BE">
              <w:rPr>
                <w:szCs w:val="24"/>
              </w:rPr>
              <w:t>736,46</w:t>
            </w:r>
          </w:p>
        </w:tc>
      </w:tr>
      <w:tr w:rsidR="005A54D8" w:rsidRPr="00BC2380" w14:paraId="18E09E3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8" w14:textId="545F4BD6" w:rsidR="005A54D8" w:rsidRPr="009751BE" w:rsidRDefault="005A54D8" w:rsidP="005A54D8">
            <w:pPr>
              <w:rPr>
                <w:szCs w:val="24"/>
              </w:rPr>
            </w:pPr>
            <w:r w:rsidRPr="009751BE">
              <w:rPr>
                <w:szCs w:val="24"/>
              </w:rPr>
              <w:t>Finansų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9" w14:textId="66ED31D9" w:rsidR="005A54D8" w:rsidRPr="009751BE" w:rsidRDefault="005A54D8" w:rsidP="005A54D8">
            <w:pPr>
              <w:jc w:val="right"/>
              <w:rPr>
                <w:szCs w:val="24"/>
              </w:rPr>
            </w:pPr>
            <w:r w:rsidRPr="009751BE">
              <w:rPr>
                <w:szCs w:val="24"/>
              </w:rPr>
              <w:t>-169 520,85</w:t>
            </w:r>
          </w:p>
        </w:tc>
      </w:tr>
      <w:tr w:rsidR="005A54D8" w:rsidRPr="00BC2380" w14:paraId="18E09E3E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B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C" w14:textId="349E3B42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Žemės ūkio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D" w14:textId="35541C42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-146 247,29</w:t>
            </w:r>
          </w:p>
        </w:tc>
      </w:tr>
      <w:tr w:rsidR="005A54D8" w:rsidRPr="00BC2380" w14:paraId="18E09E4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0" w14:textId="76CCDC2D" w:rsidR="005A54D8" w:rsidRPr="00D0487F" w:rsidRDefault="005A54D8" w:rsidP="005A54D8">
            <w:pPr>
              <w:rPr>
                <w:szCs w:val="24"/>
              </w:rPr>
            </w:pPr>
            <w:r w:rsidRPr="00D0487F">
              <w:rPr>
                <w:szCs w:val="24"/>
              </w:rPr>
              <w:t>Energetikos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1" w14:textId="2C27A023" w:rsidR="005A54D8" w:rsidRPr="00D0487F" w:rsidRDefault="005A54D8" w:rsidP="005A54D8">
            <w:pPr>
              <w:jc w:val="right"/>
              <w:rPr>
                <w:szCs w:val="24"/>
              </w:rPr>
            </w:pPr>
            <w:r w:rsidRPr="00D0487F">
              <w:rPr>
                <w:szCs w:val="24"/>
              </w:rPr>
              <w:t>-20 550,66</w:t>
            </w:r>
          </w:p>
        </w:tc>
      </w:tr>
      <w:tr w:rsidR="005A54D8" w:rsidRPr="00BC2380" w14:paraId="18E09E4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4" w14:textId="073726E0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Vidaus reikalų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5" w14:textId="152D053A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-3 252,1</w:t>
            </w:r>
            <w:r w:rsidR="002D2D3D">
              <w:rPr>
                <w:color w:val="000000"/>
                <w:szCs w:val="24"/>
              </w:rPr>
              <w:t>0</w:t>
            </w:r>
          </w:p>
        </w:tc>
      </w:tr>
      <w:tr w:rsidR="005A54D8" w:rsidRPr="00BC2380" w14:paraId="18E09E4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8" w14:textId="13F92C2C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Socialinės apsaugos ir darbo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9" w14:textId="59205685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-1 822,39</w:t>
            </w:r>
          </w:p>
        </w:tc>
      </w:tr>
      <w:tr w:rsidR="005A54D8" w:rsidRPr="00BC2380" w14:paraId="18E09E4E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B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C" w14:textId="48A4118B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Lošimų priežiūros tarnyba prie FM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D" w14:textId="5941EA8B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-1 038,49</w:t>
            </w:r>
          </w:p>
        </w:tc>
      </w:tr>
      <w:tr w:rsidR="005A54D8" w:rsidRPr="00BC2380" w14:paraId="18E09E5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0" w14:textId="50CFC9A9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Lietuvos statistikos departamentas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1" w14:textId="4E783934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-885,97</w:t>
            </w:r>
          </w:p>
        </w:tc>
      </w:tr>
      <w:tr w:rsidR="005A54D8" w:rsidRPr="00BC2380" w14:paraId="18E09E5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4" w14:textId="75374D70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Susisiekimo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5" w14:textId="65A2C1D0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-99,50</w:t>
            </w:r>
          </w:p>
        </w:tc>
      </w:tr>
      <w:tr w:rsidR="005A54D8" w:rsidRPr="00BC2380" w14:paraId="18E09E5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8" w14:textId="2FF239C8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Kultūros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9" w14:textId="28ACF112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9,51</w:t>
            </w:r>
          </w:p>
        </w:tc>
      </w:tr>
      <w:tr w:rsidR="005A54D8" w:rsidRPr="00BC2380" w14:paraId="18E09E5E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B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09E5C" w14:textId="5201A8A2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Ryšių reguliavimo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D" w14:textId="0DA8F737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191,37</w:t>
            </w:r>
          </w:p>
        </w:tc>
      </w:tr>
      <w:tr w:rsidR="005A54D8" w:rsidRPr="00BC2380" w14:paraId="18E09E6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0" w14:textId="6D4330C8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Valstybinė mokesčių inspekcija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1" w14:textId="2620AAE2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3 049,71</w:t>
            </w:r>
          </w:p>
        </w:tc>
      </w:tr>
      <w:tr w:rsidR="005A54D8" w:rsidRPr="00BC2380" w14:paraId="18E09E6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6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4" w14:textId="0E8594C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Lietuvos transporto saugos administracija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5" w14:textId="4E4878E4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22 190,88</w:t>
            </w:r>
          </w:p>
        </w:tc>
      </w:tr>
      <w:tr w:rsidR="005A54D8" w:rsidRPr="00BC2380" w14:paraId="18E09E6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6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8" w14:textId="390D0CEC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Aplinkos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9" w14:textId="4D52A608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26 350,57</w:t>
            </w:r>
          </w:p>
        </w:tc>
      </w:tr>
      <w:tr w:rsidR="005A54D8" w:rsidRPr="00BC2380" w14:paraId="01E56209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7B0D07" w14:textId="057899D1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B1BD" w14:textId="04082A4B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Ekonomikos ir inovacijų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8497" w14:textId="76B86DA0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81 534,55</w:t>
            </w:r>
          </w:p>
        </w:tc>
      </w:tr>
    </w:tbl>
    <w:p w14:paraId="18E09E6B" w14:textId="77777777" w:rsidR="00A62D24" w:rsidRPr="00BC2380" w:rsidRDefault="00A62D24">
      <w:pPr>
        <w:pStyle w:val="NoSpacing1"/>
        <w:ind w:firstLine="709"/>
        <w:rPr>
          <w:rFonts w:ascii="Times New Roman" w:hAnsi="Times New Roman"/>
          <w:b/>
          <w:sz w:val="24"/>
          <w:szCs w:val="24"/>
        </w:rPr>
      </w:pPr>
    </w:p>
    <w:p w14:paraId="18E09E6C" w14:textId="77777777" w:rsidR="00A62D24" w:rsidRPr="00BC2380" w:rsidRDefault="00A62D24">
      <w:pPr>
        <w:ind w:firstLine="709"/>
        <w:rPr>
          <w:rFonts w:eastAsia="Calibri"/>
          <w:color w:val="FFFFFF" w:themeColor="background1"/>
          <w:szCs w:val="24"/>
        </w:rPr>
      </w:pPr>
    </w:p>
    <w:p w14:paraId="42B8E318" w14:textId="7117D7A0" w:rsidR="002E7560" w:rsidRDefault="007C0F46" w:rsidP="00E040AD">
      <w:pPr>
        <w:ind w:firstLine="709"/>
        <w:rPr>
          <w:rFonts w:eastAsia="Calibri"/>
          <w:color w:val="FFFFFF" w:themeColor="background1"/>
          <w:szCs w:val="24"/>
          <w:highlight w:val="yellow"/>
        </w:rPr>
      </w:pPr>
      <w:r w:rsidRPr="00BC2380">
        <w:rPr>
          <w:rFonts w:eastAsia="Calibri"/>
          <w:color w:val="FFFFFF" w:themeColor="background1"/>
          <w:szCs w:val="24"/>
        </w:rPr>
        <w:t>.</w:t>
      </w:r>
      <w:r w:rsidRPr="00BC2380">
        <w:rPr>
          <w:b/>
          <w:szCs w:val="24"/>
        </w:rPr>
        <w:t xml:space="preserve"> </w:t>
      </w:r>
    </w:p>
    <w:p w14:paraId="07375E40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6BCF1BC0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5E38659C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52C30F79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3D6F73B4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32EE7F1E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51A28056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58B05EBB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05F457F9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63F7E772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46F1B78C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2B186B5C" w14:textId="77777777" w:rsidR="00CA2611" w:rsidRDefault="00CA2611" w:rsidP="00CA2611">
      <w:pPr>
        <w:rPr>
          <w:rFonts w:eastAsia="Calibri"/>
          <w:color w:val="FFFFFF" w:themeColor="background1"/>
          <w:szCs w:val="24"/>
          <w:highlight w:val="yellow"/>
        </w:rPr>
      </w:pPr>
    </w:p>
    <w:p w14:paraId="16330347" w14:textId="77777777" w:rsidR="00CA2611" w:rsidRPr="00CA2611" w:rsidRDefault="00CA2611" w:rsidP="00CA2611">
      <w:pPr>
        <w:rPr>
          <w:rFonts w:eastAsia="Calibri"/>
          <w:szCs w:val="24"/>
          <w:highlight w:val="yellow"/>
        </w:rPr>
      </w:pPr>
    </w:p>
    <w:p w14:paraId="26F747C8" w14:textId="2A2D10AA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1DE50E78" w14:textId="7768DAB9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0C9BCFD7" w14:textId="50811C7C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042E8F6D" w14:textId="0940FBED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1D0D76D6" w14:textId="2894AB03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6A715F90" w14:textId="1A6C1079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3EC0C0C8" w14:textId="03B095CC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286F5E1F" w14:textId="537A88C7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1EDE1901" w14:textId="77777777" w:rsidR="00CA2611" w:rsidRDefault="00CA2611" w:rsidP="00CA2611">
      <w:pPr>
        <w:jc w:val="right"/>
        <w:rPr>
          <w:rFonts w:eastAsia="Calibri"/>
          <w:color w:val="FFFFFF" w:themeColor="background1"/>
          <w:szCs w:val="24"/>
          <w:highlight w:val="yellow"/>
        </w:rPr>
      </w:pPr>
    </w:p>
    <w:p w14:paraId="7849E8CF" w14:textId="77777777" w:rsidR="00CA2611" w:rsidRDefault="00CA2611" w:rsidP="00CA2611">
      <w:pPr>
        <w:rPr>
          <w:rFonts w:eastAsia="Calibri"/>
          <w:color w:val="FFFFFF" w:themeColor="background1"/>
          <w:szCs w:val="24"/>
          <w:highlight w:val="yellow"/>
        </w:rPr>
      </w:pPr>
    </w:p>
    <w:p w14:paraId="18E09F38" w14:textId="67490B78" w:rsidR="00CA2611" w:rsidRPr="00CA2611" w:rsidRDefault="00CA2611" w:rsidP="00CA2611">
      <w:pPr>
        <w:rPr>
          <w:rFonts w:eastAsia="Calibri"/>
          <w:szCs w:val="24"/>
          <w:highlight w:val="yellow"/>
        </w:rPr>
        <w:sectPr w:rsidR="00CA2611" w:rsidRPr="00CA2611">
          <w:headerReference w:type="default" r:id="rId11"/>
          <w:headerReference w:type="first" r:id="rId12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385A7FA2" w14:textId="0B2A33D6" w:rsidR="009D0662" w:rsidRPr="00BC2380" w:rsidRDefault="009D0662" w:rsidP="009D0662">
      <w:pPr>
        <w:spacing w:after="160" w:line="259" w:lineRule="auto"/>
        <w:jc w:val="center"/>
        <w:rPr>
          <w:szCs w:val="24"/>
          <w:lang w:eastAsia="lt-LT"/>
        </w:rPr>
      </w:pPr>
      <w:r w:rsidRPr="00BC2380">
        <w:rPr>
          <w:rFonts w:eastAsia="Calibri"/>
          <w:szCs w:val="24"/>
        </w:rPr>
        <w:lastRenderedPageBreak/>
        <w:t>201</w:t>
      </w:r>
      <w:r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I</w:t>
      </w:r>
      <w:r>
        <w:rPr>
          <w:rFonts w:eastAsia="Calibri"/>
          <w:szCs w:val="24"/>
        </w:rPr>
        <w:t>I</w:t>
      </w:r>
      <w:r w:rsidRPr="00BC2380">
        <w:rPr>
          <w:rFonts w:eastAsia="Calibri"/>
          <w:szCs w:val="24"/>
        </w:rPr>
        <w:t xml:space="preserve"> pusmetį administracinė našta ūkio subjektams </w:t>
      </w:r>
      <w:r w:rsidRPr="007115CA">
        <w:rPr>
          <w:rFonts w:eastAsia="Calibri"/>
          <w:b/>
          <w:szCs w:val="24"/>
        </w:rPr>
        <w:t>sumažėjo</w:t>
      </w:r>
      <w:r w:rsidRPr="007115CA">
        <w:rPr>
          <w:rFonts w:eastAsia="Calibri"/>
          <w:szCs w:val="24"/>
        </w:rPr>
        <w:t xml:space="preserve"> </w:t>
      </w:r>
      <w:r w:rsidR="005F7138" w:rsidRPr="00DD0131">
        <w:rPr>
          <w:b/>
          <w:szCs w:val="24"/>
          <w:u w:val="single"/>
        </w:rPr>
        <w:t xml:space="preserve">1.102.601,39 </w:t>
      </w:r>
      <w:r w:rsidR="000B7BFA" w:rsidRPr="000B7BFA">
        <w:rPr>
          <w:b/>
          <w:szCs w:val="24"/>
          <w:u w:val="single"/>
        </w:rPr>
        <w:t>eurų</w:t>
      </w:r>
      <w:r w:rsidRPr="00BC2380">
        <w:rPr>
          <w:rFonts w:eastAsia="Calibri"/>
          <w:b/>
          <w:szCs w:val="24"/>
        </w:rPr>
        <w:t>.</w:t>
      </w:r>
      <w:r w:rsidRPr="00BC2380">
        <w:rPr>
          <w:szCs w:val="24"/>
          <w:lang w:eastAsia="lt-LT"/>
        </w:rPr>
        <w:t xml:space="preserve"> </w:t>
      </w:r>
    </w:p>
    <w:p w14:paraId="1B5F5122" w14:textId="35E4393C" w:rsidR="009D0662" w:rsidRDefault="000E79C8" w:rsidP="00477980">
      <w:pPr>
        <w:spacing w:after="160" w:line="259" w:lineRule="auto"/>
        <w:jc w:val="center"/>
        <w:rPr>
          <w:rFonts w:eastAsia="Calibri"/>
          <w:szCs w:val="24"/>
        </w:rPr>
      </w:pPr>
      <w:r>
        <w:rPr>
          <w:noProof/>
          <w:lang w:eastAsia="lt-LT"/>
        </w:rPr>
        <w:drawing>
          <wp:inline distT="0" distB="0" distL="0" distR="0" wp14:anchorId="0F7480F3" wp14:editId="20601936">
            <wp:extent cx="9607502" cy="4742597"/>
            <wp:effectExtent l="0" t="0" r="13335" b="12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D0C5C73A-6E17-40C4-872B-B69BE54568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D31E64" w14:textId="77777777" w:rsidR="009D0662" w:rsidRDefault="009D0662" w:rsidP="00477980">
      <w:pPr>
        <w:spacing w:after="160" w:line="259" w:lineRule="auto"/>
        <w:jc w:val="center"/>
        <w:rPr>
          <w:rFonts w:eastAsia="Calibri"/>
          <w:szCs w:val="24"/>
        </w:rPr>
      </w:pPr>
    </w:p>
    <w:p w14:paraId="2677714B" w14:textId="77777777" w:rsidR="009D0662" w:rsidRDefault="009D0662" w:rsidP="00477980">
      <w:pPr>
        <w:spacing w:after="160" w:line="259" w:lineRule="auto"/>
        <w:jc w:val="center"/>
        <w:rPr>
          <w:rFonts w:eastAsia="Calibri"/>
          <w:szCs w:val="24"/>
        </w:rPr>
      </w:pPr>
    </w:p>
    <w:p w14:paraId="3216EF39" w14:textId="77777777" w:rsidR="009D0662" w:rsidRDefault="009D0662" w:rsidP="00477980">
      <w:pPr>
        <w:spacing w:after="160" w:line="259" w:lineRule="auto"/>
        <w:jc w:val="center"/>
        <w:rPr>
          <w:rFonts w:eastAsia="Calibri"/>
          <w:szCs w:val="24"/>
        </w:rPr>
      </w:pPr>
    </w:p>
    <w:p w14:paraId="013E9D74" w14:textId="385FAD22" w:rsidR="00477980" w:rsidRPr="00BC2380" w:rsidRDefault="00702AE3" w:rsidP="00477980">
      <w:pPr>
        <w:spacing w:after="160" w:line="259" w:lineRule="auto"/>
        <w:jc w:val="center"/>
        <w:rPr>
          <w:szCs w:val="24"/>
          <w:lang w:eastAsia="lt-LT"/>
        </w:rPr>
      </w:pPr>
      <w:r>
        <w:rPr>
          <w:rFonts w:eastAsia="Calibri"/>
          <w:szCs w:val="24"/>
        </w:rPr>
        <w:lastRenderedPageBreak/>
        <w:t>P</w:t>
      </w:r>
      <w:r w:rsidR="00477980">
        <w:rPr>
          <w:rFonts w:eastAsia="Calibri"/>
          <w:szCs w:val="24"/>
        </w:rPr>
        <w:t xml:space="preserve">er visus </w:t>
      </w:r>
      <w:r w:rsidR="00477980" w:rsidRPr="00BC2380">
        <w:rPr>
          <w:rFonts w:eastAsia="Calibri"/>
          <w:szCs w:val="24"/>
        </w:rPr>
        <w:t>201</w:t>
      </w:r>
      <w:r w:rsidR="00CD64B9">
        <w:rPr>
          <w:rFonts w:eastAsia="Calibri"/>
          <w:szCs w:val="24"/>
        </w:rPr>
        <w:t>9</w:t>
      </w:r>
      <w:r w:rsidR="00477980" w:rsidRPr="00BC2380">
        <w:rPr>
          <w:rFonts w:eastAsia="Calibri"/>
          <w:szCs w:val="24"/>
        </w:rPr>
        <w:t xml:space="preserve"> m. administracinė našta ūkio subjektams </w:t>
      </w:r>
      <w:r w:rsidR="00477980" w:rsidRPr="00BC2380">
        <w:rPr>
          <w:rFonts w:eastAsia="Calibri"/>
          <w:b/>
          <w:szCs w:val="24"/>
        </w:rPr>
        <w:t>sumažėjo</w:t>
      </w:r>
      <w:r w:rsidR="00477980" w:rsidRPr="00BC2380">
        <w:rPr>
          <w:rFonts w:eastAsia="Calibri"/>
          <w:szCs w:val="24"/>
        </w:rPr>
        <w:t xml:space="preserve"> </w:t>
      </w:r>
      <w:r w:rsidR="00E94AB4" w:rsidRPr="00BA35E7">
        <w:rPr>
          <w:b/>
          <w:szCs w:val="24"/>
          <w:u w:val="single"/>
        </w:rPr>
        <w:t xml:space="preserve">12.796.621,68 </w:t>
      </w:r>
      <w:r w:rsidR="00477980" w:rsidRPr="00BA35E7">
        <w:rPr>
          <w:rFonts w:eastAsia="Calibri"/>
          <w:b/>
          <w:szCs w:val="24"/>
          <w:u w:val="single"/>
        </w:rPr>
        <w:t>eurų</w:t>
      </w:r>
      <w:r w:rsidR="00477980" w:rsidRPr="00BA35E7">
        <w:rPr>
          <w:rFonts w:eastAsia="Calibri"/>
          <w:b/>
          <w:szCs w:val="24"/>
        </w:rPr>
        <w:t>.</w:t>
      </w:r>
      <w:r w:rsidR="00477980" w:rsidRPr="00BA35E7">
        <w:rPr>
          <w:szCs w:val="24"/>
          <w:lang w:eastAsia="lt-LT"/>
        </w:rPr>
        <w:t xml:space="preserve"> </w:t>
      </w:r>
      <w:r w:rsidR="00C254A5" w:rsidRPr="00BA35E7">
        <w:rPr>
          <w:szCs w:val="24"/>
          <w:lang w:eastAsia="lt-LT"/>
        </w:rPr>
        <w:t xml:space="preserve"> </w:t>
      </w:r>
    </w:p>
    <w:p w14:paraId="40E5C301" w14:textId="77777777" w:rsidR="0030558D" w:rsidRDefault="00B80FD5" w:rsidP="008119CC">
      <w:pPr>
        <w:spacing w:after="160" w:line="259" w:lineRule="auto"/>
        <w:jc w:val="center"/>
      </w:pPr>
      <w:r>
        <w:rPr>
          <w:rFonts w:ascii="Arial" w:hAnsi="Arial" w:cs="Arial"/>
          <w:noProof/>
          <w:szCs w:val="24"/>
          <w:lang w:eastAsia="lt-LT"/>
        </w:rPr>
        <w:drawing>
          <wp:anchor distT="0" distB="0" distL="114300" distR="114300" simplePos="0" relativeHeight="254313472" behindDoc="0" locked="0" layoutInCell="1" allowOverlap="1" wp14:anchorId="18E09F56" wp14:editId="46C00F02">
            <wp:simplePos x="0" y="0"/>
            <wp:positionH relativeFrom="margin">
              <wp:posOffset>8577590</wp:posOffset>
            </wp:positionH>
            <wp:positionV relativeFrom="paragraph">
              <wp:posOffset>176234</wp:posOffset>
            </wp:positionV>
            <wp:extent cx="691563" cy="576501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5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72D">
        <w:rPr>
          <w:noProof/>
          <w:lang w:eastAsia="lt-LT"/>
        </w:rPr>
        <w:drawing>
          <wp:inline distT="0" distB="0" distL="0" distR="0" wp14:anchorId="19F8AFEC" wp14:editId="7F777CE3">
            <wp:extent cx="9420896" cy="4739005"/>
            <wp:effectExtent l="0" t="0" r="889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ACD11B1-D2F0-43EE-AD7F-8A3B670E61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bookmarkEnd w:id="0"/>
    </w:p>
    <w:p w14:paraId="603FB35E" w14:textId="77777777" w:rsidR="0030558D" w:rsidRDefault="0030558D" w:rsidP="0030558D">
      <w:pPr>
        <w:spacing w:after="160" w:line="259" w:lineRule="auto"/>
        <w:jc w:val="center"/>
        <w:rPr>
          <w:rFonts w:eastAsia="Calibri"/>
          <w:szCs w:val="24"/>
        </w:rPr>
      </w:pPr>
    </w:p>
    <w:p w14:paraId="1CFE72C9" w14:textId="77777777" w:rsidR="0030558D" w:rsidRDefault="0030558D" w:rsidP="0030558D">
      <w:pPr>
        <w:spacing w:after="160" w:line="259" w:lineRule="auto"/>
        <w:jc w:val="center"/>
        <w:rPr>
          <w:rFonts w:eastAsia="Calibri"/>
          <w:szCs w:val="24"/>
        </w:rPr>
      </w:pPr>
    </w:p>
    <w:p w14:paraId="052CB360" w14:textId="77777777" w:rsidR="0030558D" w:rsidRDefault="0030558D" w:rsidP="0030558D">
      <w:pPr>
        <w:spacing w:after="160" w:line="259" w:lineRule="auto"/>
        <w:jc w:val="center"/>
        <w:rPr>
          <w:rFonts w:eastAsia="Calibri"/>
          <w:szCs w:val="24"/>
        </w:rPr>
      </w:pPr>
    </w:p>
    <w:p w14:paraId="4FAB43FC" w14:textId="688659B7" w:rsidR="0030558D" w:rsidRPr="00BC2380" w:rsidRDefault="0030558D" w:rsidP="0030558D">
      <w:pPr>
        <w:spacing w:after="160" w:line="259" w:lineRule="auto"/>
        <w:jc w:val="center"/>
        <w:rPr>
          <w:szCs w:val="24"/>
          <w:lang w:eastAsia="lt-LT"/>
        </w:rPr>
      </w:pPr>
      <w:r w:rsidRPr="00BC2380">
        <w:rPr>
          <w:rFonts w:eastAsia="Calibri"/>
          <w:szCs w:val="24"/>
        </w:rPr>
        <w:lastRenderedPageBreak/>
        <w:t>201</w:t>
      </w:r>
      <w:r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I pusmetį administracinė našta ūkio subjektams </w:t>
      </w:r>
      <w:r w:rsidRPr="00BC2380">
        <w:rPr>
          <w:rFonts w:eastAsia="Calibri"/>
          <w:b/>
          <w:szCs w:val="24"/>
        </w:rPr>
        <w:t>sumažėjo</w:t>
      </w:r>
      <w:r w:rsidRPr="00BC2380">
        <w:rPr>
          <w:rFonts w:eastAsia="Calibri"/>
          <w:szCs w:val="24"/>
        </w:rPr>
        <w:t xml:space="preserve"> </w:t>
      </w:r>
      <w:r>
        <w:rPr>
          <w:b/>
          <w:szCs w:val="24"/>
          <w:u w:val="single"/>
        </w:rPr>
        <w:t>11.694.020,29</w:t>
      </w:r>
      <w:r w:rsidRPr="00BC2380">
        <w:rPr>
          <w:b/>
          <w:szCs w:val="24"/>
          <w:u w:val="single"/>
        </w:rPr>
        <w:t xml:space="preserve"> </w:t>
      </w:r>
      <w:r w:rsidRPr="00BC2380">
        <w:rPr>
          <w:rFonts w:eastAsia="Calibri"/>
          <w:b/>
          <w:szCs w:val="24"/>
          <w:u w:val="single"/>
        </w:rPr>
        <w:t>eurų</w:t>
      </w:r>
      <w:r w:rsidRPr="00BC2380">
        <w:rPr>
          <w:rFonts w:eastAsia="Calibri"/>
          <w:b/>
          <w:szCs w:val="24"/>
        </w:rPr>
        <w:t>.</w:t>
      </w:r>
      <w:r w:rsidRPr="00BC2380">
        <w:rPr>
          <w:szCs w:val="24"/>
          <w:lang w:eastAsia="lt-LT"/>
        </w:rPr>
        <w:t xml:space="preserve"> </w:t>
      </w:r>
    </w:p>
    <w:p w14:paraId="6127D1DF" w14:textId="17424473" w:rsidR="0030558D" w:rsidRDefault="0030558D" w:rsidP="008119CC">
      <w:pPr>
        <w:spacing w:after="160" w:line="259" w:lineRule="auto"/>
        <w:jc w:val="center"/>
      </w:pPr>
      <w:r>
        <w:rPr>
          <w:noProof/>
          <w:lang w:eastAsia="lt-LT"/>
        </w:rPr>
        <w:drawing>
          <wp:inline distT="0" distB="0" distL="0" distR="0" wp14:anchorId="6448B5D5" wp14:editId="0B1FEC23">
            <wp:extent cx="9156879" cy="4810125"/>
            <wp:effectExtent l="0" t="0" r="6350" b="9525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AB2686B7-679D-4D18-939A-7CF86D019A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E09F43" w14:textId="076734BA" w:rsidR="00A62D24" w:rsidRDefault="007C0F46" w:rsidP="008119CC">
      <w:pPr>
        <w:spacing w:after="160" w:line="259" w:lineRule="auto"/>
        <w:jc w:val="center"/>
      </w:pPr>
      <w:r>
        <w:rPr>
          <w:rFonts w:ascii="Arial" w:hAnsi="Arial" w:cs="Arial"/>
          <w:noProof/>
          <w:szCs w:val="24"/>
          <w:lang w:eastAsia="lt-LT"/>
        </w:rPr>
        <w:drawing>
          <wp:anchor distT="0" distB="0" distL="114300" distR="114300" simplePos="0" relativeHeight="255092736" behindDoc="0" locked="0" layoutInCell="1" allowOverlap="1" wp14:anchorId="18E09F5A" wp14:editId="2B4ED991">
            <wp:simplePos x="0" y="0"/>
            <wp:positionH relativeFrom="column">
              <wp:posOffset>517525</wp:posOffset>
            </wp:positionH>
            <wp:positionV relativeFrom="paragraph">
              <wp:posOffset>2261870</wp:posOffset>
            </wp:positionV>
            <wp:extent cx="1128395" cy="1139190"/>
            <wp:effectExtent l="0" t="0" r="14605" b="3810"/>
            <wp:wrapNone/>
            <wp:docPr id="30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hart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2D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52A9" w14:textId="77777777" w:rsidR="00064276" w:rsidRDefault="00064276">
      <w:r>
        <w:separator/>
      </w:r>
    </w:p>
  </w:endnote>
  <w:endnote w:type="continuationSeparator" w:id="0">
    <w:p w14:paraId="28FB400D" w14:textId="77777777" w:rsidR="00064276" w:rsidRDefault="0006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9DD2A" w14:textId="77777777" w:rsidR="00064276" w:rsidRDefault="00064276">
      <w:r>
        <w:separator/>
      </w:r>
    </w:p>
  </w:footnote>
  <w:footnote w:type="continuationSeparator" w:id="0">
    <w:p w14:paraId="4E3C82AC" w14:textId="77777777" w:rsidR="00064276" w:rsidRDefault="00064276">
      <w:r>
        <w:continuationSeparator/>
      </w:r>
    </w:p>
  </w:footnote>
  <w:footnote w:id="1">
    <w:p w14:paraId="4C77F2A8" w14:textId="77777777" w:rsidR="0090153E" w:rsidRDefault="0090153E" w:rsidP="0090153E">
      <w:pPr>
        <w:tabs>
          <w:tab w:val="left" w:pos="0"/>
        </w:tabs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18"/>
          <w:lang w:eastAsia="lt-LT"/>
        </w:rPr>
        <w:t>Tais atvejais</w:t>
      </w:r>
      <w:r>
        <w:rPr>
          <w:rFonts w:eastAsia="Calibri"/>
          <w:sz w:val="18"/>
          <w:szCs w:val="18"/>
        </w:rPr>
        <w:t>, kai ministerijoms pavaldžios įstaigos pateikė įstatymų, Vyriausybės nutarimų ar ministrų įsakymų projektus, šių projektų administracinė našta buvo priskaičiuota prie atsakingų ministerijų administracinės naštos dydžio.</w:t>
      </w:r>
    </w:p>
    <w:p w14:paraId="30A4EFAC" w14:textId="77777777" w:rsidR="0090153E" w:rsidRDefault="0090153E" w:rsidP="0090153E">
      <w:pPr>
        <w:pStyle w:val="FootnoteText"/>
      </w:pPr>
    </w:p>
  </w:footnote>
  <w:footnote w:id="2">
    <w:p w14:paraId="588030CA" w14:textId="7D78BCC1" w:rsidR="004E1EA3" w:rsidRPr="008774B3" w:rsidRDefault="004E1EA3">
      <w:pPr>
        <w:pStyle w:val="FootnoteText"/>
        <w:rPr>
          <w:color w:val="FF000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9328E" w:rsidRPr="00C46E2B">
        <w:rPr>
          <w:rFonts w:eastAsia="Calibri"/>
          <w:sz w:val="18"/>
          <w:szCs w:val="18"/>
        </w:rPr>
        <w:t xml:space="preserve">Pažymėtina, kad </w:t>
      </w:r>
      <w:r w:rsidR="00622FEB" w:rsidRPr="00C46E2B">
        <w:rPr>
          <w:color w:val="000000"/>
          <w:sz w:val="18"/>
          <w:szCs w:val="18"/>
        </w:rPr>
        <w:t>Lietuvos Respublikos finansų ministro 2019 m. liepos 4 d. įsakym</w:t>
      </w:r>
      <w:r w:rsidR="00C46E2B">
        <w:rPr>
          <w:color w:val="000000"/>
          <w:sz w:val="18"/>
          <w:szCs w:val="18"/>
        </w:rPr>
        <w:t>o</w:t>
      </w:r>
      <w:r w:rsidR="00622FEB" w:rsidRPr="00C46E2B">
        <w:rPr>
          <w:color w:val="000000"/>
          <w:sz w:val="18"/>
          <w:szCs w:val="18"/>
        </w:rPr>
        <w:t xml:space="preserve"> Nr. 1K-206 „Dėl finansų ministro 2003 m. vasario 17 d. įsakymo Nr. 1K-038 „Dėl akcizų apskaičiavimo dokumentų“ pakeitimo“</w:t>
      </w:r>
      <w:r w:rsidR="0089328E" w:rsidRPr="00C46E2B">
        <w:rPr>
          <w:rFonts w:eastAsia="Calibri"/>
          <w:sz w:val="18"/>
          <w:szCs w:val="18"/>
        </w:rPr>
        <w:t xml:space="preserve"> priėmimą inicijavo Valstybinė mokesčių inspekcija prie Finansų ministerijos, siekdama sumažinti mokesčių mokėtojams tenkančią administracinę naštą</w:t>
      </w:r>
      <w:r w:rsidR="0089328E" w:rsidRPr="00024949">
        <w:rPr>
          <w:rFonts w:eastAsia="Calibri"/>
          <w:sz w:val="18"/>
          <w:szCs w:val="18"/>
        </w:rPr>
        <w:t>, tačiau tai yra finansų ministro įsakymo pakeitimas, teisės akto sukeliamas administracinės naštos pokytis priskirtinas Finansų ministerijos kompetencijai.</w:t>
      </w:r>
      <w:r w:rsidR="00D33042" w:rsidRPr="00024949">
        <w:rPr>
          <w:rFonts w:eastAsia="Calibri"/>
          <w:sz w:val="18"/>
          <w:szCs w:val="18"/>
        </w:rPr>
        <w:t xml:space="preserve"> Administracinės naštos sumažėjimas ūkio subjektams dėl šio teisės akto pakeitimo yra </w:t>
      </w:r>
      <w:r w:rsidR="00411C8D" w:rsidRPr="00024949">
        <w:rPr>
          <w:rFonts w:eastAsia="Calibri"/>
          <w:sz w:val="18"/>
          <w:szCs w:val="18"/>
        </w:rPr>
        <w:t>810</w:t>
      </w:r>
      <w:r w:rsidR="00F954EE" w:rsidRPr="00024949">
        <w:rPr>
          <w:rFonts w:eastAsia="Calibri"/>
          <w:sz w:val="18"/>
          <w:szCs w:val="18"/>
        </w:rPr>
        <w:t xml:space="preserve"> </w:t>
      </w:r>
      <w:r w:rsidR="00411C8D" w:rsidRPr="00024949">
        <w:rPr>
          <w:rFonts w:eastAsia="Calibri"/>
          <w:sz w:val="18"/>
          <w:szCs w:val="18"/>
        </w:rPr>
        <w:t>087,66 eur</w:t>
      </w:r>
      <w:r w:rsidR="008C63C8" w:rsidRPr="00024949">
        <w:rPr>
          <w:rFonts w:eastAsia="Calibri"/>
          <w:sz w:val="18"/>
          <w:szCs w:val="18"/>
        </w:rPr>
        <w:t>o</w:t>
      </w:r>
      <w:r w:rsidR="00411C8D" w:rsidRPr="00024949">
        <w:rPr>
          <w:rFonts w:eastAsia="Calibri"/>
          <w:sz w:val="18"/>
          <w:szCs w:val="18"/>
        </w:rPr>
        <w:t>.</w:t>
      </w:r>
    </w:p>
  </w:footnote>
  <w:footnote w:id="3">
    <w:p w14:paraId="70B07BD1" w14:textId="77777777" w:rsidR="00560BAE" w:rsidRDefault="00560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476844"/>
    </w:sdtPr>
    <w:sdtEndPr/>
    <w:sdtContent>
      <w:p w14:paraId="18E09F6A" w14:textId="4C921C97" w:rsidR="00A62D24" w:rsidRDefault="007C0F4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77">
          <w:rPr>
            <w:noProof/>
          </w:rPr>
          <w:t>6</w:t>
        </w:r>
        <w:r>
          <w:fldChar w:fldCharType="end"/>
        </w:r>
      </w:p>
    </w:sdtContent>
  </w:sdt>
  <w:p w14:paraId="18E09F6B" w14:textId="77777777" w:rsidR="00A62D24" w:rsidRDefault="00A62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9F6C" w14:textId="5F5559E3" w:rsidR="00A62D24" w:rsidRDefault="007C0F46">
    <w:pPr>
      <w:pStyle w:val="Header"/>
      <w:jc w:val="right"/>
    </w:pPr>
    <w:r>
      <w:t>Priedas Nr</w:t>
    </w:r>
    <w:r w:rsidRPr="00090173">
      <w:t>.</w:t>
    </w:r>
    <w:r>
      <w:rPr>
        <w:color w:val="FF0000"/>
      </w:rPr>
      <w:t xml:space="preserve"> </w:t>
    </w:r>
    <w:r w:rsidR="00090173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E5"/>
    <w:rsid w:val="00004103"/>
    <w:rsid w:val="00013ACA"/>
    <w:rsid w:val="0001453B"/>
    <w:rsid w:val="00024949"/>
    <w:rsid w:val="00027F82"/>
    <w:rsid w:val="00032429"/>
    <w:rsid w:val="000330D4"/>
    <w:rsid w:val="00035EA5"/>
    <w:rsid w:val="0004026B"/>
    <w:rsid w:val="00042E48"/>
    <w:rsid w:val="000440E8"/>
    <w:rsid w:val="000538EC"/>
    <w:rsid w:val="000539D5"/>
    <w:rsid w:val="00054994"/>
    <w:rsid w:val="0006159F"/>
    <w:rsid w:val="0006216B"/>
    <w:rsid w:val="00063BFD"/>
    <w:rsid w:val="00064276"/>
    <w:rsid w:val="00075272"/>
    <w:rsid w:val="000837D9"/>
    <w:rsid w:val="00084362"/>
    <w:rsid w:val="00084DE3"/>
    <w:rsid w:val="00090173"/>
    <w:rsid w:val="00092B64"/>
    <w:rsid w:val="000935A2"/>
    <w:rsid w:val="0009677E"/>
    <w:rsid w:val="000A51D2"/>
    <w:rsid w:val="000B05C2"/>
    <w:rsid w:val="000B15A0"/>
    <w:rsid w:val="000B7BFA"/>
    <w:rsid w:val="000C207C"/>
    <w:rsid w:val="000D0714"/>
    <w:rsid w:val="000D5A6D"/>
    <w:rsid w:val="000D6AD8"/>
    <w:rsid w:val="000E1841"/>
    <w:rsid w:val="000E79C8"/>
    <w:rsid w:val="000F0E95"/>
    <w:rsid w:val="000F1DC3"/>
    <w:rsid w:val="000F2E27"/>
    <w:rsid w:val="00100A32"/>
    <w:rsid w:val="0010211B"/>
    <w:rsid w:val="00103C63"/>
    <w:rsid w:val="001042DF"/>
    <w:rsid w:val="001047E7"/>
    <w:rsid w:val="001059D8"/>
    <w:rsid w:val="00106D81"/>
    <w:rsid w:val="00107604"/>
    <w:rsid w:val="00107B3E"/>
    <w:rsid w:val="00112F30"/>
    <w:rsid w:val="0011347B"/>
    <w:rsid w:val="00114D5E"/>
    <w:rsid w:val="00115C41"/>
    <w:rsid w:val="00122B83"/>
    <w:rsid w:val="001276C7"/>
    <w:rsid w:val="00127EB3"/>
    <w:rsid w:val="0013414B"/>
    <w:rsid w:val="00135097"/>
    <w:rsid w:val="00144617"/>
    <w:rsid w:val="00150EEA"/>
    <w:rsid w:val="001521F1"/>
    <w:rsid w:val="001539C7"/>
    <w:rsid w:val="00153C57"/>
    <w:rsid w:val="00155285"/>
    <w:rsid w:val="00157107"/>
    <w:rsid w:val="0016029C"/>
    <w:rsid w:val="001635C6"/>
    <w:rsid w:val="00165D3F"/>
    <w:rsid w:val="00172A0A"/>
    <w:rsid w:val="0017352F"/>
    <w:rsid w:val="001761B5"/>
    <w:rsid w:val="00176430"/>
    <w:rsid w:val="001773DA"/>
    <w:rsid w:val="00181A05"/>
    <w:rsid w:val="00186864"/>
    <w:rsid w:val="001A3040"/>
    <w:rsid w:val="001A3A14"/>
    <w:rsid w:val="001A6EA8"/>
    <w:rsid w:val="001B379B"/>
    <w:rsid w:val="001D49E6"/>
    <w:rsid w:val="001D6447"/>
    <w:rsid w:val="001E1F79"/>
    <w:rsid w:val="001E2881"/>
    <w:rsid w:val="001E4882"/>
    <w:rsid w:val="001E4CEC"/>
    <w:rsid w:val="00201DAF"/>
    <w:rsid w:val="00203F3D"/>
    <w:rsid w:val="002074B7"/>
    <w:rsid w:val="0021245A"/>
    <w:rsid w:val="00213149"/>
    <w:rsid w:val="002138DE"/>
    <w:rsid w:val="00217881"/>
    <w:rsid w:val="0022073A"/>
    <w:rsid w:val="002223C6"/>
    <w:rsid w:val="002269D0"/>
    <w:rsid w:val="00231BAD"/>
    <w:rsid w:val="002345CF"/>
    <w:rsid w:val="0024369E"/>
    <w:rsid w:val="0025512A"/>
    <w:rsid w:val="00260FA7"/>
    <w:rsid w:val="00265505"/>
    <w:rsid w:val="00266057"/>
    <w:rsid w:val="0026759F"/>
    <w:rsid w:val="00270B28"/>
    <w:rsid w:val="00272930"/>
    <w:rsid w:val="00276AB0"/>
    <w:rsid w:val="002829AC"/>
    <w:rsid w:val="00284885"/>
    <w:rsid w:val="00284DE3"/>
    <w:rsid w:val="00290921"/>
    <w:rsid w:val="002937CA"/>
    <w:rsid w:val="00296F12"/>
    <w:rsid w:val="0029794D"/>
    <w:rsid w:val="002A2343"/>
    <w:rsid w:val="002A64C9"/>
    <w:rsid w:val="002B2086"/>
    <w:rsid w:val="002B3FC9"/>
    <w:rsid w:val="002B5E5B"/>
    <w:rsid w:val="002C1088"/>
    <w:rsid w:val="002C2B74"/>
    <w:rsid w:val="002D2D3D"/>
    <w:rsid w:val="002D2E48"/>
    <w:rsid w:val="002D4363"/>
    <w:rsid w:val="002D6ACE"/>
    <w:rsid w:val="002D7DA4"/>
    <w:rsid w:val="002E0340"/>
    <w:rsid w:val="002E6D07"/>
    <w:rsid w:val="002E7560"/>
    <w:rsid w:val="002F0C53"/>
    <w:rsid w:val="002F53A8"/>
    <w:rsid w:val="002F582E"/>
    <w:rsid w:val="0030459A"/>
    <w:rsid w:val="0030558D"/>
    <w:rsid w:val="003065C9"/>
    <w:rsid w:val="00306A92"/>
    <w:rsid w:val="00306FB4"/>
    <w:rsid w:val="003101F1"/>
    <w:rsid w:val="00322770"/>
    <w:rsid w:val="00330E70"/>
    <w:rsid w:val="003310ED"/>
    <w:rsid w:val="003343D3"/>
    <w:rsid w:val="00334FD5"/>
    <w:rsid w:val="003457D2"/>
    <w:rsid w:val="00347FDA"/>
    <w:rsid w:val="00350A03"/>
    <w:rsid w:val="00352D18"/>
    <w:rsid w:val="003539DE"/>
    <w:rsid w:val="00355689"/>
    <w:rsid w:val="0036075A"/>
    <w:rsid w:val="00360E4C"/>
    <w:rsid w:val="00370D96"/>
    <w:rsid w:val="00372EB7"/>
    <w:rsid w:val="003749B1"/>
    <w:rsid w:val="0037649E"/>
    <w:rsid w:val="00380894"/>
    <w:rsid w:val="00383FC7"/>
    <w:rsid w:val="00387CA4"/>
    <w:rsid w:val="00387ECD"/>
    <w:rsid w:val="003945A8"/>
    <w:rsid w:val="003A17CF"/>
    <w:rsid w:val="003A3887"/>
    <w:rsid w:val="003A6FDA"/>
    <w:rsid w:val="003B6F52"/>
    <w:rsid w:val="003C1B12"/>
    <w:rsid w:val="003C265B"/>
    <w:rsid w:val="003C4C72"/>
    <w:rsid w:val="003D4B7F"/>
    <w:rsid w:val="003D6105"/>
    <w:rsid w:val="003E25FC"/>
    <w:rsid w:val="003E34FC"/>
    <w:rsid w:val="003E48A8"/>
    <w:rsid w:val="003E69D8"/>
    <w:rsid w:val="003E6FC9"/>
    <w:rsid w:val="003F0936"/>
    <w:rsid w:val="003F0C10"/>
    <w:rsid w:val="003F4738"/>
    <w:rsid w:val="00411C8D"/>
    <w:rsid w:val="004142E5"/>
    <w:rsid w:val="00415236"/>
    <w:rsid w:val="004204E2"/>
    <w:rsid w:val="0042058C"/>
    <w:rsid w:val="00420B9D"/>
    <w:rsid w:val="004355FE"/>
    <w:rsid w:val="00440FC7"/>
    <w:rsid w:val="004456E6"/>
    <w:rsid w:val="004458EB"/>
    <w:rsid w:val="00447005"/>
    <w:rsid w:val="00447E2A"/>
    <w:rsid w:val="00452FED"/>
    <w:rsid w:val="00453D4E"/>
    <w:rsid w:val="00456C48"/>
    <w:rsid w:val="00457068"/>
    <w:rsid w:val="00457414"/>
    <w:rsid w:val="004619E9"/>
    <w:rsid w:val="0046625B"/>
    <w:rsid w:val="004764AF"/>
    <w:rsid w:val="00477980"/>
    <w:rsid w:val="00483C3F"/>
    <w:rsid w:val="0048702B"/>
    <w:rsid w:val="00487EDE"/>
    <w:rsid w:val="00493E5E"/>
    <w:rsid w:val="004A1243"/>
    <w:rsid w:val="004A3083"/>
    <w:rsid w:val="004A36B6"/>
    <w:rsid w:val="004B5F10"/>
    <w:rsid w:val="004C529B"/>
    <w:rsid w:val="004C5C09"/>
    <w:rsid w:val="004C6AC2"/>
    <w:rsid w:val="004C7369"/>
    <w:rsid w:val="004C7BD5"/>
    <w:rsid w:val="004D0A90"/>
    <w:rsid w:val="004D48CE"/>
    <w:rsid w:val="004E1EA3"/>
    <w:rsid w:val="004E2FFF"/>
    <w:rsid w:val="004E34BB"/>
    <w:rsid w:val="004E3A6F"/>
    <w:rsid w:val="004E5B30"/>
    <w:rsid w:val="004F1D2A"/>
    <w:rsid w:val="004F2198"/>
    <w:rsid w:val="004F3786"/>
    <w:rsid w:val="0050090E"/>
    <w:rsid w:val="00504611"/>
    <w:rsid w:val="00506BEC"/>
    <w:rsid w:val="00511D32"/>
    <w:rsid w:val="00517291"/>
    <w:rsid w:val="0051798C"/>
    <w:rsid w:val="0052122A"/>
    <w:rsid w:val="00526A3D"/>
    <w:rsid w:val="00526B15"/>
    <w:rsid w:val="00533B56"/>
    <w:rsid w:val="005361F4"/>
    <w:rsid w:val="0053799A"/>
    <w:rsid w:val="00554044"/>
    <w:rsid w:val="00554824"/>
    <w:rsid w:val="005608B2"/>
    <w:rsid w:val="00560BAE"/>
    <w:rsid w:val="00563B52"/>
    <w:rsid w:val="00564C95"/>
    <w:rsid w:val="00564D48"/>
    <w:rsid w:val="005656F4"/>
    <w:rsid w:val="0057380C"/>
    <w:rsid w:val="0057593A"/>
    <w:rsid w:val="00580D8A"/>
    <w:rsid w:val="005810B6"/>
    <w:rsid w:val="00586FDC"/>
    <w:rsid w:val="00587936"/>
    <w:rsid w:val="00590E1F"/>
    <w:rsid w:val="00595861"/>
    <w:rsid w:val="00596043"/>
    <w:rsid w:val="005979DB"/>
    <w:rsid w:val="005A07D1"/>
    <w:rsid w:val="005A4999"/>
    <w:rsid w:val="005A54D8"/>
    <w:rsid w:val="005B1E1C"/>
    <w:rsid w:val="005C0C84"/>
    <w:rsid w:val="005C2971"/>
    <w:rsid w:val="005C2C0E"/>
    <w:rsid w:val="005C3675"/>
    <w:rsid w:val="005D39C3"/>
    <w:rsid w:val="005E0B69"/>
    <w:rsid w:val="005E1D5B"/>
    <w:rsid w:val="005F7138"/>
    <w:rsid w:val="005F7399"/>
    <w:rsid w:val="00606186"/>
    <w:rsid w:val="006100CB"/>
    <w:rsid w:val="00611B04"/>
    <w:rsid w:val="00612169"/>
    <w:rsid w:val="00614907"/>
    <w:rsid w:val="00615E7C"/>
    <w:rsid w:val="006214A2"/>
    <w:rsid w:val="00622FEB"/>
    <w:rsid w:val="00623319"/>
    <w:rsid w:val="0062379F"/>
    <w:rsid w:val="006465EF"/>
    <w:rsid w:val="006510E6"/>
    <w:rsid w:val="00652FC5"/>
    <w:rsid w:val="00654465"/>
    <w:rsid w:val="0066102F"/>
    <w:rsid w:val="006611BD"/>
    <w:rsid w:val="0066351C"/>
    <w:rsid w:val="00666596"/>
    <w:rsid w:val="00666F10"/>
    <w:rsid w:val="006702C3"/>
    <w:rsid w:val="0067358E"/>
    <w:rsid w:val="00685905"/>
    <w:rsid w:val="00692D4F"/>
    <w:rsid w:val="00697833"/>
    <w:rsid w:val="006A309D"/>
    <w:rsid w:val="006A47A9"/>
    <w:rsid w:val="006A59B4"/>
    <w:rsid w:val="006A69D7"/>
    <w:rsid w:val="006B2261"/>
    <w:rsid w:val="006B2A44"/>
    <w:rsid w:val="006B6A21"/>
    <w:rsid w:val="006B7243"/>
    <w:rsid w:val="006C4DFE"/>
    <w:rsid w:val="006D16DB"/>
    <w:rsid w:val="006D377B"/>
    <w:rsid w:val="006D678A"/>
    <w:rsid w:val="006D6C2E"/>
    <w:rsid w:val="006E1698"/>
    <w:rsid w:val="006F28A6"/>
    <w:rsid w:val="006F61A4"/>
    <w:rsid w:val="00702AE3"/>
    <w:rsid w:val="00703E02"/>
    <w:rsid w:val="007042F5"/>
    <w:rsid w:val="00707654"/>
    <w:rsid w:val="00711036"/>
    <w:rsid w:val="007115CA"/>
    <w:rsid w:val="007125B3"/>
    <w:rsid w:val="0071604E"/>
    <w:rsid w:val="00722890"/>
    <w:rsid w:val="007250DD"/>
    <w:rsid w:val="00725700"/>
    <w:rsid w:val="007267FB"/>
    <w:rsid w:val="007304FA"/>
    <w:rsid w:val="00737A2A"/>
    <w:rsid w:val="00744D06"/>
    <w:rsid w:val="00756B02"/>
    <w:rsid w:val="00762407"/>
    <w:rsid w:val="007649FD"/>
    <w:rsid w:val="007752CF"/>
    <w:rsid w:val="00775841"/>
    <w:rsid w:val="00776CE9"/>
    <w:rsid w:val="0078238D"/>
    <w:rsid w:val="00785C94"/>
    <w:rsid w:val="00786922"/>
    <w:rsid w:val="0079597A"/>
    <w:rsid w:val="007A0529"/>
    <w:rsid w:val="007A2845"/>
    <w:rsid w:val="007B025D"/>
    <w:rsid w:val="007B26E4"/>
    <w:rsid w:val="007B5B8A"/>
    <w:rsid w:val="007B697F"/>
    <w:rsid w:val="007C0F46"/>
    <w:rsid w:val="007C7942"/>
    <w:rsid w:val="007D197B"/>
    <w:rsid w:val="007D74BA"/>
    <w:rsid w:val="007E4FE1"/>
    <w:rsid w:val="007E5054"/>
    <w:rsid w:val="007E62FC"/>
    <w:rsid w:val="00804621"/>
    <w:rsid w:val="00805576"/>
    <w:rsid w:val="00807A6F"/>
    <w:rsid w:val="00811616"/>
    <w:rsid w:val="008119CC"/>
    <w:rsid w:val="00816EAD"/>
    <w:rsid w:val="008172CF"/>
    <w:rsid w:val="00820D85"/>
    <w:rsid w:val="00822221"/>
    <w:rsid w:val="008313BB"/>
    <w:rsid w:val="008323DA"/>
    <w:rsid w:val="00842057"/>
    <w:rsid w:val="00844B8E"/>
    <w:rsid w:val="00845136"/>
    <w:rsid w:val="00847E5A"/>
    <w:rsid w:val="00851ADD"/>
    <w:rsid w:val="0085264D"/>
    <w:rsid w:val="0086181D"/>
    <w:rsid w:val="00862400"/>
    <w:rsid w:val="00862E4F"/>
    <w:rsid w:val="0086318B"/>
    <w:rsid w:val="0086520C"/>
    <w:rsid w:val="00865C77"/>
    <w:rsid w:val="008774B3"/>
    <w:rsid w:val="008776D6"/>
    <w:rsid w:val="0088135E"/>
    <w:rsid w:val="008819FB"/>
    <w:rsid w:val="00882234"/>
    <w:rsid w:val="00886ED7"/>
    <w:rsid w:val="00892AFD"/>
    <w:rsid w:val="0089328E"/>
    <w:rsid w:val="00893678"/>
    <w:rsid w:val="008A00B7"/>
    <w:rsid w:val="008A08D0"/>
    <w:rsid w:val="008A0A08"/>
    <w:rsid w:val="008A20A8"/>
    <w:rsid w:val="008A77EA"/>
    <w:rsid w:val="008C19CF"/>
    <w:rsid w:val="008C3EE0"/>
    <w:rsid w:val="008C63C8"/>
    <w:rsid w:val="008D23DB"/>
    <w:rsid w:val="008D5100"/>
    <w:rsid w:val="008E3FFA"/>
    <w:rsid w:val="008F04A5"/>
    <w:rsid w:val="008F2B91"/>
    <w:rsid w:val="008F4261"/>
    <w:rsid w:val="0090153E"/>
    <w:rsid w:val="00914045"/>
    <w:rsid w:val="00917B23"/>
    <w:rsid w:val="009202C9"/>
    <w:rsid w:val="009237AD"/>
    <w:rsid w:val="0092434C"/>
    <w:rsid w:val="00924738"/>
    <w:rsid w:val="00926AA3"/>
    <w:rsid w:val="00930F1E"/>
    <w:rsid w:val="00931B22"/>
    <w:rsid w:val="00931D00"/>
    <w:rsid w:val="00932918"/>
    <w:rsid w:val="00932AED"/>
    <w:rsid w:val="00935BA8"/>
    <w:rsid w:val="00937D6E"/>
    <w:rsid w:val="00941E42"/>
    <w:rsid w:val="00950D47"/>
    <w:rsid w:val="00954550"/>
    <w:rsid w:val="00957D8E"/>
    <w:rsid w:val="00957DDC"/>
    <w:rsid w:val="00961150"/>
    <w:rsid w:val="00966682"/>
    <w:rsid w:val="009751BE"/>
    <w:rsid w:val="00991AA4"/>
    <w:rsid w:val="00994329"/>
    <w:rsid w:val="009958DF"/>
    <w:rsid w:val="009B12E1"/>
    <w:rsid w:val="009B4237"/>
    <w:rsid w:val="009B5003"/>
    <w:rsid w:val="009B6BFF"/>
    <w:rsid w:val="009C577D"/>
    <w:rsid w:val="009C659F"/>
    <w:rsid w:val="009D0662"/>
    <w:rsid w:val="009D3BDF"/>
    <w:rsid w:val="009D681E"/>
    <w:rsid w:val="009E5FA0"/>
    <w:rsid w:val="009E61FF"/>
    <w:rsid w:val="009F3756"/>
    <w:rsid w:val="009F5E27"/>
    <w:rsid w:val="009F652A"/>
    <w:rsid w:val="00A01A58"/>
    <w:rsid w:val="00A02BE5"/>
    <w:rsid w:val="00A04068"/>
    <w:rsid w:val="00A21CE5"/>
    <w:rsid w:val="00A24C38"/>
    <w:rsid w:val="00A2782A"/>
    <w:rsid w:val="00A27B70"/>
    <w:rsid w:val="00A27C76"/>
    <w:rsid w:val="00A30576"/>
    <w:rsid w:val="00A32CDC"/>
    <w:rsid w:val="00A33F02"/>
    <w:rsid w:val="00A509B7"/>
    <w:rsid w:val="00A53D7B"/>
    <w:rsid w:val="00A5662D"/>
    <w:rsid w:val="00A57E49"/>
    <w:rsid w:val="00A61AF6"/>
    <w:rsid w:val="00A62D24"/>
    <w:rsid w:val="00A638AE"/>
    <w:rsid w:val="00A740E1"/>
    <w:rsid w:val="00A83E94"/>
    <w:rsid w:val="00A84C44"/>
    <w:rsid w:val="00A84C81"/>
    <w:rsid w:val="00A92307"/>
    <w:rsid w:val="00A939FF"/>
    <w:rsid w:val="00A93C28"/>
    <w:rsid w:val="00A95BAA"/>
    <w:rsid w:val="00A961E2"/>
    <w:rsid w:val="00A9763E"/>
    <w:rsid w:val="00AA4F5A"/>
    <w:rsid w:val="00AA5F2A"/>
    <w:rsid w:val="00AB6BDF"/>
    <w:rsid w:val="00AC73DD"/>
    <w:rsid w:val="00AE4EB8"/>
    <w:rsid w:val="00AF18F3"/>
    <w:rsid w:val="00AF22BB"/>
    <w:rsid w:val="00AF22D0"/>
    <w:rsid w:val="00AF295A"/>
    <w:rsid w:val="00AF469F"/>
    <w:rsid w:val="00AF77BE"/>
    <w:rsid w:val="00B101EA"/>
    <w:rsid w:val="00B14377"/>
    <w:rsid w:val="00B1443E"/>
    <w:rsid w:val="00B204C8"/>
    <w:rsid w:val="00B24B27"/>
    <w:rsid w:val="00B32F71"/>
    <w:rsid w:val="00B33162"/>
    <w:rsid w:val="00B3345A"/>
    <w:rsid w:val="00B36EDA"/>
    <w:rsid w:val="00B376C6"/>
    <w:rsid w:val="00B37E0C"/>
    <w:rsid w:val="00B40855"/>
    <w:rsid w:val="00B42FD6"/>
    <w:rsid w:val="00B53C96"/>
    <w:rsid w:val="00B64DE0"/>
    <w:rsid w:val="00B7092C"/>
    <w:rsid w:val="00B80FD5"/>
    <w:rsid w:val="00B82F60"/>
    <w:rsid w:val="00B87BB4"/>
    <w:rsid w:val="00B9254F"/>
    <w:rsid w:val="00B94CAE"/>
    <w:rsid w:val="00BA35E7"/>
    <w:rsid w:val="00BA48B4"/>
    <w:rsid w:val="00BA54AE"/>
    <w:rsid w:val="00BC2380"/>
    <w:rsid w:val="00BE0D34"/>
    <w:rsid w:val="00BF3972"/>
    <w:rsid w:val="00BF4433"/>
    <w:rsid w:val="00BF6A8E"/>
    <w:rsid w:val="00C01D00"/>
    <w:rsid w:val="00C053B3"/>
    <w:rsid w:val="00C100FD"/>
    <w:rsid w:val="00C11902"/>
    <w:rsid w:val="00C11E8C"/>
    <w:rsid w:val="00C12CAA"/>
    <w:rsid w:val="00C1543D"/>
    <w:rsid w:val="00C15AC8"/>
    <w:rsid w:val="00C17B58"/>
    <w:rsid w:val="00C254A5"/>
    <w:rsid w:val="00C2773D"/>
    <w:rsid w:val="00C37E5A"/>
    <w:rsid w:val="00C42B0B"/>
    <w:rsid w:val="00C46E2B"/>
    <w:rsid w:val="00C47129"/>
    <w:rsid w:val="00C516A0"/>
    <w:rsid w:val="00C5572D"/>
    <w:rsid w:val="00C570B9"/>
    <w:rsid w:val="00C628AB"/>
    <w:rsid w:val="00C66A86"/>
    <w:rsid w:val="00C74FF9"/>
    <w:rsid w:val="00C828D7"/>
    <w:rsid w:val="00C860D9"/>
    <w:rsid w:val="00C87634"/>
    <w:rsid w:val="00C876A3"/>
    <w:rsid w:val="00C90BC9"/>
    <w:rsid w:val="00C93FD0"/>
    <w:rsid w:val="00CA2611"/>
    <w:rsid w:val="00CA5539"/>
    <w:rsid w:val="00CB0C1C"/>
    <w:rsid w:val="00CB1512"/>
    <w:rsid w:val="00CB5C83"/>
    <w:rsid w:val="00CB735E"/>
    <w:rsid w:val="00CC05E7"/>
    <w:rsid w:val="00CC3508"/>
    <w:rsid w:val="00CD3B77"/>
    <w:rsid w:val="00CD60FE"/>
    <w:rsid w:val="00CD64B9"/>
    <w:rsid w:val="00CE4EA5"/>
    <w:rsid w:val="00CF0FB4"/>
    <w:rsid w:val="00D0487F"/>
    <w:rsid w:val="00D070A3"/>
    <w:rsid w:val="00D211D6"/>
    <w:rsid w:val="00D229F3"/>
    <w:rsid w:val="00D23942"/>
    <w:rsid w:val="00D25F7C"/>
    <w:rsid w:val="00D31C44"/>
    <w:rsid w:val="00D33042"/>
    <w:rsid w:val="00D3574E"/>
    <w:rsid w:val="00D40DB7"/>
    <w:rsid w:val="00D43551"/>
    <w:rsid w:val="00D46196"/>
    <w:rsid w:val="00D50AEC"/>
    <w:rsid w:val="00D52D14"/>
    <w:rsid w:val="00D532B6"/>
    <w:rsid w:val="00D56E8C"/>
    <w:rsid w:val="00D613B3"/>
    <w:rsid w:val="00D65E7C"/>
    <w:rsid w:val="00D82449"/>
    <w:rsid w:val="00D84530"/>
    <w:rsid w:val="00D92538"/>
    <w:rsid w:val="00DA614A"/>
    <w:rsid w:val="00DA7D44"/>
    <w:rsid w:val="00DB2000"/>
    <w:rsid w:val="00DB512F"/>
    <w:rsid w:val="00DC28C6"/>
    <w:rsid w:val="00DC76EE"/>
    <w:rsid w:val="00DC7E94"/>
    <w:rsid w:val="00DC7EED"/>
    <w:rsid w:val="00DD0131"/>
    <w:rsid w:val="00DD749A"/>
    <w:rsid w:val="00DE0D02"/>
    <w:rsid w:val="00DE66D6"/>
    <w:rsid w:val="00DE76A2"/>
    <w:rsid w:val="00DF4060"/>
    <w:rsid w:val="00DF4B04"/>
    <w:rsid w:val="00DF5707"/>
    <w:rsid w:val="00DF74C2"/>
    <w:rsid w:val="00E040AD"/>
    <w:rsid w:val="00E05384"/>
    <w:rsid w:val="00E06469"/>
    <w:rsid w:val="00E10895"/>
    <w:rsid w:val="00E13537"/>
    <w:rsid w:val="00E16313"/>
    <w:rsid w:val="00E24AEB"/>
    <w:rsid w:val="00E254D4"/>
    <w:rsid w:val="00E25BF5"/>
    <w:rsid w:val="00E26146"/>
    <w:rsid w:val="00E2638E"/>
    <w:rsid w:val="00E36217"/>
    <w:rsid w:val="00E422A0"/>
    <w:rsid w:val="00E42DAD"/>
    <w:rsid w:val="00E43681"/>
    <w:rsid w:val="00E47E3E"/>
    <w:rsid w:val="00E47FD4"/>
    <w:rsid w:val="00E57423"/>
    <w:rsid w:val="00E61010"/>
    <w:rsid w:val="00E648A8"/>
    <w:rsid w:val="00E64DFA"/>
    <w:rsid w:val="00E65769"/>
    <w:rsid w:val="00E72F2C"/>
    <w:rsid w:val="00E7677E"/>
    <w:rsid w:val="00E76E98"/>
    <w:rsid w:val="00E771D6"/>
    <w:rsid w:val="00E77C4C"/>
    <w:rsid w:val="00E824A7"/>
    <w:rsid w:val="00E84954"/>
    <w:rsid w:val="00E9138D"/>
    <w:rsid w:val="00E94AB4"/>
    <w:rsid w:val="00E953A5"/>
    <w:rsid w:val="00EB497D"/>
    <w:rsid w:val="00EB72FE"/>
    <w:rsid w:val="00EB7BB2"/>
    <w:rsid w:val="00EC00D2"/>
    <w:rsid w:val="00EC687D"/>
    <w:rsid w:val="00ED15D4"/>
    <w:rsid w:val="00EE2005"/>
    <w:rsid w:val="00EE40D8"/>
    <w:rsid w:val="00EE6E77"/>
    <w:rsid w:val="00EF6936"/>
    <w:rsid w:val="00F012CB"/>
    <w:rsid w:val="00F04CCA"/>
    <w:rsid w:val="00F0657B"/>
    <w:rsid w:val="00F06A8D"/>
    <w:rsid w:val="00F11C5C"/>
    <w:rsid w:val="00F1235D"/>
    <w:rsid w:val="00F13083"/>
    <w:rsid w:val="00F13783"/>
    <w:rsid w:val="00F15531"/>
    <w:rsid w:val="00F21172"/>
    <w:rsid w:val="00F30776"/>
    <w:rsid w:val="00F337B5"/>
    <w:rsid w:val="00F413F3"/>
    <w:rsid w:val="00F47619"/>
    <w:rsid w:val="00F53220"/>
    <w:rsid w:val="00F537E1"/>
    <w:rsid w:val="00F6033D"/>
    <w:rsid w:val="00F70481"/>
    <w:rsid w:val="00F741A0"/>
    <w:rsid w:val="00F7626B"/>
    <w:rsid w:val="00F843C8"/>
    <w:rsid w:val="00F87582"/>
    <w:rsid w:val="00F92826"/>
    <w:rsid w:val="00F954EE"/>
    <w:rsid w:val="00F96F5E"/>
    <w:rsid w:val="00FA0CAF"/>
    <w:rsid w:val="00FA3703"/>
    <w:rsid w:val="00FA67E1"/>
    <w:rsid w:val="00FB0A46"/>
    <w:rsid w:val="00FB5219"/>
    <w:rsid w:val="00FB524C"/>
    <w:rsid w:val="00FC3CAD"/>
    <w:rsid w:val="00FD0BC0"/>
    <w:rsid w:val="00FD2CC4"/>
    <w:rsid w:val="00FD41E4"/>
    <w:rsid w:val="00FD72B3"/>
    <w:rsid w:val="00FE2152"/>
    <w:rsid w:val="00FE286D"/>
    <w:rsid w:val="00FE465D"/>
    <w:rsid w:val="00FE53CA"/>
    <w:rsid w:val="00FF1338"/>
    <w:rsid w:val="00FF3798"/>
    <w:rsid w:val="00FF73B2"/>
    <w:rsid w:val="03FA3157"/>
    <w:rsid w:val="05C27095"/>
    <w:rsid w:val="13332F9C"/>
    <w:rsid w:val="14424472"/>
    <w:rsid w:val="20A659A0"/>
    <w:rsid w:val="20F35E8E"/>
    <w:rsid w:val="244C4AB2"/>
    <w:rsid w:val="42CF3039"/>
    <w:rsid w:val="4ADF6DA0"/>
    <w:rsid w:val="4FD676C5"/>
    <w:rsid w:val="571760F1"/>
    <w:rsid w:val="5C2F009A"/>
    <w:rsid w:val="663E623D"/>
    <w:rsid w:val="689F53C5"/>
    <w:rsid w:val="72134E7C"/>
    <w:rsid w:val="787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E09E1E"/>
  <w15:docId w15:val="{A425A39C-7BE3-4B51-8557-5C53C24B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/>
      <w:szCs w:val="24"/>
      <w:lang w:eastAsia="lt-LT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kmin-my.sharepoint.com/personal/vyginta_damzeniene_eimin_lt/Documents/Darbalaukis/AN_rodiklis_u&#382;_2019_m_II_pusm/tikslinamas%20_rodiklis/2019_m_AN_rodiklio_suvestin&#279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ADMINISTRACINĖS</a:t>
            </a:r>
            <a:r>
              <a:rPr lang="lt-LT" b="1" baseline="0"/>
              <a:t> NAŠTOS POKYTIS PINIGINE IŠRAIŠKA PAGAL INSTITUCIJAS, 2019 M. II PUSMETIS</a:t>
            </a:r>
            <a:endParaRPr lang="lt-LT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9B2-4984-9872-4C47745D9649}"/>
              </c:ext>
            </c:extLst>
          </c:dPt>
          <c:dPt>
            <c:idx val="1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9B2-4984-9872-4C47745D9649}"/>
              </c:ext>
            </c:extLst>
          </c:dPt>
          <c:dPt>
            <c:idx val="1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79B2-4984-9872-4C47745D964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lt-LT" sz="1000" b="1">
                        <a:solidFill>
                          <a:srgbClr val="00B050"/>
                        </a:solidFill>
                      </a:rPr>
                      <a:t>Finansų</a:t>
                    </a:r>
                    <a:r>
                      <a:rPr lang="lt-LT" sz="1000" b="1" baseline="0">
                        <a:solidFill>
                          <a:srgbClr val="00B050"/>
                        </a:solidFill>
                      </a:rPr>
                      <a:t> ministerija                      </a:t>
                    </a:r>
                    <a:r>
                      <a:rPr lang="lt-LT" sz="1000" b="1">
                        <a:solidFill>
                          <a:srgbClr val="00B050"/>
                        </a:solidFill>
                      </a:rPr>
                      <a:t>- 797 310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79B2-4984-9872-4C47745D9649}"/>
                </c:ext>
              </c:extLst>
            </c:dLbl>
            <c:dLbl>
              <c:idx val="1"/>
              <c:layout>
                <c:manualLayout>
                  <c:x val="3.1066476595244155E-2"/>
                  <c:y val="-2.6779877609033114E-3"/>
                </c:manualLayout>
              </c:layout>
              <c:tx>
                <c:rich>
                  <a:bodyPr/>
                  <a:lstStyle/>
                  <a:p>
                    <a:r>
                      <a:rPr lang="lt-LT" b="1">
                        <a:solidFill>
                          <a:srgbClr val="00B050"/>
                        </a:solidFill>
                      </a:rPr>
                      <a:t>Žemės ūkio ministerija - 415 250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945606367913116"/>
                      <c:h val="3.74532388057813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79B2-4984-9872-4C47745D9649}"/>
                </c:ext>
              </c:extLst>
            </c:dLbl>
            <c:dLbl>
              <c:idx val="2"/>
              <c:layout>
                <c:manualLayout>
                  <c:x val="0.15467004756469693"/>
                  <c:y val="-5.356186395286653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- 196 064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9B2-4984-9872-4C47745D9649}"/>
                </c:ext>
              </c:extLst>
            </c:dLbl>
            <c:dLbl>
              <c:idx val="3"/>
              <c:layout>
                <c:manualLayout>
                  <c:x val="0.2115145184484301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- 99 288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9B2-4984-9872-4C47745D9649}"/>
                </c:ext>
              </c:extLst>
            </c:dLbl>
            <c:dLbl>
              <c:idx val="4"/>
              <c:layout>
                <c:manualLayout>
                  <c:x val="0.25381738050144093"/>
                  <c:y val="-2.678093197643277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- 28 159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9B2-4984-9872-4C47745D9649}"/>
                </c:ext>
              </c:extLst>
            </c:dLbl>
            <c:dLbl>
              <c:idx val="5"/>
              <c:layout>
                <c:manualLayout>
                  <c:x val="0.2630712356672251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- 13 053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9B2-4984-9872-4C47745D9649}"/>
                </c:ext>
              </c:extLst>
            </c:dLbl>
            <c:dLbl>
              <c:idx val="6"/>
              <c:layout>
                <c:manualLayout>
                  <c:x val="0.268358989332163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- 4 290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9B2-4984-9872-4C47745D9649}"/>
                </c:ext>
              </c:extLst>
            </c:dLbl>
            <c:dLbl>
              <c:idx val="7"/>
              <c:layout>
                <c:manualLayout>
                  <c:x val="0.26241025344764685"/>
                  <c:y val="2.678198634383342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- 2 298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320378081829597E-2"/>
                      <c:h val="3.74532388057813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9B2-4984-9872-4C47745D9649}"/>
                </c:ext>
              </c:extLst>
            </c:dLbl>
            <c:dLbl>
              <c:idx val="8"/>
              <c:layout>
                <c:manualLayout>
                  <c:x val="0.27232488264963312"/>
                  <c:y val="5.3561863952864578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- 935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B2-4984-9872-4C47745D9649}"/>
                </c:ext>
              </c:extLst>
            </c:dLbl>
            <c:dLbl>
              <c:idx val="9"/>
              <c:layout>
                <c:manualLayout>
                  <c:x val="0.27232498674132127"/>
                  <c:y val="2.678093197643277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- 431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B2-4984-9872-4C47745D9649}"/>
                </c:ext>
              </c:extLst>
            </c:dLbl>
            <c:dLbl>
              <c:idx val="10"/>
              <c:layout>
                <c:manualLayout>
                  <c:x val="0.46863639368100996"/>
                  <c:y val="-5.2567255060011433E-17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- 349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67043426531826E-2"/>
                      <c:h val="3.74532388057813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9B2-4984-9872-4C47745D9649}"/>
                </c:ext>
              </c:extLst>
            </c:dLbl>
            <c:dLbl>
              <c:idx val="11"/>
              <c:layout>
                <c:manualLayout>
                  <c:x val="0.27364684708878967"/>
                  <c:y val="-2.678093197643228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- 294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B2-4984-9872-4C47745D9649}"/>
                </c:ext>
              </c:extLst>
            </c:dLbl>
            <c:dLbl>
              <c:idx val="12"/>
              <c:layout>
                <c:manualLayout>
                  <c:x val="0.26703712898469489"/>
                  <c:y val="-5.3560809585464914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298169079251767E-2"/>
                      <c:h val="3.74532388057813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79B2-4984-9872-4C47745D9649}"/>
                </c:ext>
              </c:extLst>
            </c:dLbl>
            <c:dLbl>
              <c:idx val="13"/>
              <c:layout>
                <c:manualLayout>
                  <c:x val="4.4946790931323852E-2"/>
                  <c:y val="-2.677987760903213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+115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839650918114712E-2"/>
                      <c:h val="3.74532388057813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9B2-4984-9872-4C47745D9649}"/>
                </c:ext>
              </c:extLst>
            </c:dLbl>
            <c:dLbl>
              <c:idx val="14"/>
              <c:layout>
                <c:manualLayout>
                  <c:x val="4.6268755370480537E-2"/>
                  <c:y val="-4.9097808108057819E-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+ 221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9B2-4984-9872-4C47745D9649}"/>
                </c:ext>
              </c:extLst>
            </c:dLbl>
            <c:dLbl>
              <c:idx val="15"/>
              <c:layout>
                <c:manualLayout>
                  <c:x val="4.4946790931323949E-2"/>
                  <c:y val="5.356186395286555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+ 273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9B2-4984-9872-4C47745D9649}"/>
                </c:ext>
              </c:extLst>
            </c:dLbl>
            <c:dLbl>
              <c:idx val="16"/>
              <c:layout>
                <c:manualLayout>
                  <c:x val="3.7015004296384428E-2"/>
                  <c:y val="2.678093197643277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+ 5 682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B2-4984-9872-4C47745D9649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FF0000"/>
                        </a:solidFill>
                      </a:rPr>
                      <a:t>+ 53 369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B2-4984-9872-4C47745D9649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FF0000"/>
                        </a:solidFill>
                      </a:rPr>
                      <a:t>+ 395 513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B2-4984-9872-4C47745D96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'2019 m. II pusm.'!$C$29:$C$47</c:f>
              <c:strCache>
                <c:ptCount val="19"/>
                <c:pt idx="0">
                  <c:v>Finansų ministerija</c:v>
                </c:pt>
                <c:pt idx="1">
                  <c:v>Žemės ūkio ministerija</c:v>
                </c:pt>
                <c:pt idx="2">
                  <c:v>Ekonomikos ir inovacijų ministerija</c:v>
                </c:pt>
                <c:pt idx="3">
                  <c:v>Susisiekimo ministerija</c:v>
                </c:pt>
                <c:pt idx="4">
                  <c:v>Lietuvos transporto saugos administracija</c:v>
                </c:pt>
                <c:pt idx="5">
                  <c:v>Sveikatos apsaugos ministerija</c:v>
                </c:pt>
                <c:pt idx="6">
                  <c:v>Lietuvos statistikos departamentas</c:v>
                </c:pt>
                <c:pt idx="7">
                  <c:v>Ryšių reguliavimo tarnyba</c:v>
                </c:pt>
                <c:pt idx="8">
                  <c:v>Energetikos ministerija</c:v>
                </c:pt>
                <c:pt idx="9">
                  <c:v>Socialinės apsaugos ir darbo ministerija</c:v>
                </c:pt>
                <c:pt idx="10">
                  <c:v>Audito, apskaitos, turto vertinimo ir nemokumo valdymo tarnyba prie LR finansų ministerijos</c:v>
                </c:pt>
                <c:pt idx="11">
                  <c:v>Valstybinė atominės energetikos saugos inspekcija</c:v>
                </c:pt>
                <c:pt idx="12">
                  <c:v>Viešųjų pirkimų tarnyba</c:v>
                </c:pt>
                <c:pt idx="13">
                  <c:v>Muitinės departamentas prie LR finansų ministerijos</c:v>
                </c:pt>
                <c:pt idx="14">
                  <c:v>Lietuvos bankas</c:v>
                </c:pt>
                <c:pt idx="15">
                  <c:v>Lošimų priežiūros tarnyba prie LR finansų ministerijos</c:v>
                </c:pt>
                <c:pt idx="16">
                  <c:v>Valstybinė maisto ir veterinarijos tarnyba</c:v>
                </c:pt>
                <c:pt idx="17">
                  <c:v>Aplinkos ministerija</c:v>
                </c:pt>
                <c:pt idx="18">
                  <c:v>Vidaus reikalų ministerija</c:v>
                </c:pt>
              </c:strCache>
            </c:strRef>
          </c:cat>
          <c:val>
            <c:numRef>
              <c:f>'2019 m. II pusm.'!$D$29:$D$47</c:f>
              <c:numCache>
                <c:formatCode>0.00</c:formatCode>
                <c:ptCount val="19"/>
                <c:pt idx="0">
                  <c:v>-797309.75</c:v>
                </c:pt>
                <c:pt idx="1">
                  <c:v>-415250</c:v>
                </c:pt>
                <c:pt idx="2">
                  <c:v>-196064.2</c:v>
                </c:pt>
                <c:pt idx="3">
                  <c:v>-99287.65</c:v>
                </c:pt>
                <c:pt idx="4">
                  <c:v>-28159.25</c:v>
                </c:pt>
                <c:pt idx="5">
                  <c:v>-13052.73</c:v>
                </c:pt>
                <c:pt idx="6">
                  <c:v>-4289.96</c:v>
                </c:pt>
                <c:pt idx="7">
                  <c:v>-2297.84</c:v>
                </c:pt>
                <c:pt idx="8">
                  <c:v>-934.92</c:v>
                </c:pt>
                <c:pt idx="9">
                  <c:v>-431.47</c:v>
                </c:pt>
                <c:pt idx="10">
                  <c:v>-349</c:v>
                </c:pt>
                <c:pt idx="11">
                  <c:v>-294.06</c:v>
                </c:pt>
                <c:pt idx="12">
                  <c:v>-53.5</c:v>
                </c:pt>
                <c:pt idx="13">
                  <c:v>114.8</c:v>
                </c:pt>
                <c:pt idx="14">
                  <c:v>221.4</c:v>
                </c:pt>
                <c:pt idx="15">
                  <c:v>272.64999999999998</c:v>
                </c:pt>
                <c:pt idx="16">
                  <c:v>5681.64</c:v>
                </c:pt>
                <c:pt idx="17">
                  <c:v>53369.45</c:v>
                </c:pt>
                <c:pt idx="18">
                  <c:v>395513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B2-4984-9872-4C47745D96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54593376"/>
        <c:axId val="1352907648"/>
      </c:barChart>
      <c:catAx>
        <c:axId val="13545933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INSTITUCIJOS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52907648"/>
        <c:crosses val="autoZero"/>
        <c:auto val="1"/>
        <c:lblAlgn val="ctr"/>
        <c:lblOffset val="100"/>
        <c:noMultiLvlLbl val="0"/>
      </c:catAx>
      <c:valAx>
        <c:axId val="1352907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b="1"/>
                  <a:t>ADMINISTRACINĖS NAŠTOS</a:t>
                </a:r>
                <a:r>
                  <a:rPr lang="lt-LT" b="1" baseline="0"/>
                  <a:t> POKYTIS, EUR (suapvalinti skaičiai)</a:t>
                </a:r>
                <a:endParaRPr lang="lt-LT" b="1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5459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ADMINISTRACINĖS NAŠTOS POKYTIS PINIGINE</a:t>
            </a:r>
            <a:r>
              <a:rPr lang="lt-LT" b="1" baseline="0"/>
              <a:t> IŠRAIŠKA PAGAL INSTITUCIJAS, UŽ VISUS 2019 M</a:t>
            </a:r>
            <a:r>
              <a:rPr lang="lt-LT" baseline="0"/>
              <a:t>.</a:t>
            </a:r>
            <a:endParaRPr lang="lt-LT"/>
          </a:p>
        </c:rich>
      </c:tx>
      <c:layout>
        <c:manualLayout>
          <c:xMode val="edge"/>
          <c:yMode val="edge"/>
          <c:x val="0.12220238520317077"/>
          <c:y val="1.8885741265344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1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7D64-49D7-B04A-60590B866EA4}"/>
              </c:ext>
            </c:extLst>
          </c:dPt>
          <c:dPt>
            <c:idx val="2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D64-49D7-B04A-60590B866EA4}"/>
              </c:ext>
            </c:extLst>
          </c:dPt>
          <c:dLbls>
            <c:dLbl>
              <c:idx val="0"/>
              <c:layout>
                <c:manualLayout>
                  <c:x val="3.5723914801833387E-2"/>
                  <c:y val="-5.761758006163740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lt-LT" sz="1000" b="1">
                        <a:solidFill>
                          <a:srgbClr val="00B050"/>
                        </a:solidFill>
                      </a:rPr>
                      <a:t>Valstybinė</a:t>
                    </a:r>
                    <a:r>
                      <a:rPr lang="lt-LT" sz="1000" b="1" baseline="0">
                        <a:solidFill>
                          <a:srgbClr val="00B050"/>
                        </a:solidFill>
                      </a:rPr>
                      <a:t> maisto ir veterinarijos tarnyba -9 226 512</a:t>
                    </a:r>
                    <a:endParaRPr lang="lt-LT" sz="1000" b="1">
                      <a:solidFill>
                        <a:srgbClr val="00B05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81450525748181"/>
                      <c:h val="0.139314054321529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7D64-49D7-B04A-60590B866EA4}"/>
                </c:ext>
              </c:extLst>
            </c:dLbl>
            <c:dLbl>
              <c:idx val="1"/>
              <c:layout>
                <c:manualLayout>
                  <c:x val="0.13076343348696404"/>
                  <c:y val="5.3597748894546431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Sveikatos apsaugos</a:t>
                    </a:r>
                    <a:r>
                      <a:rPr lang="en-US" b="1" baseline="0">
                        <a:solidFill>
                          <a:srgbClr val="00B050"/>
                        </a:solidFill>
                      </a:rPr>
                      <a:t> ministerija </a:t>
                    </a:r>
                    <a:r>
                      <a:rPr lang="en-US" b="1">
                        <a:solidFill>
                          <a:srgbClr val="00B050"/>
                        </a:solidFill>
                      </a:rPr>
                      <a:t>-2 264 789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20107930698472"/>
                      <c:h val="6.69167894948412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D64-49D7-B04A-60590B866EA4}"/>
                </c:ext>
              </c:extLst>
            </c:dLbl>
            <c:dLbl>
              <c:idx val="2"/>
              <c:layout>
                <c:manualLayout>
                  <c:x val="0.23776290062690672"/>
                  <c:y val="2.6798874447272231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- 966 831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64-49D7-B04A-60590B866EA4}"/>
                </c:ext>
              </c:extLst>
            </c:dLbl>
            <c:dLbl>
              <c:idx val="3"/>
              <c:layout>
                <c:manualLayout>
                  <c:x val="0.26760794662058446"/>
                  <c:y val="5.3597748894547411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- 561 497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D64-49D7-B04A-60590B866EA4}"/>
                </c:ext>
              </c:extLst>
            </c:dLbl>
            <c:dLbl>
              <c:idx val="4"/>
              <c:layout>
                <c:manualLayout>
                  <c:x val="0.30331636389883726"/>
                  <c:y val="5.3597748894546431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- 114 530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D64-49D7-B04A-60590B866EA4}"/>
                </c:ext>
              </c:extLst>
            </c:dLbl>
            <c:dLbl>
              <c:idx val="5"/>
              <c:layout>
                <c:manualLayout>
                  <c:x val="0.30736058066885619"/>
                  <c:y val="5.35977488945454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- 99 387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64-49D7-B04A-60590B866EA4}"/>
                </c:ext>
              </c:extLst>
            </c:dLbl>
            <c:dLbl>
              <c:idx val="6"/>
              <c:layout>
                <c:manualLayout>
                  <c:x val="0.31261869935441144"/>
                  <c:y val="2.679887444727321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- 21 486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D64-49D7-B04A-60590B866EA4}"/>
                </c:ext>
              </c:extLst>
            </c:dLbl>
            <c:dLbl>
              <c:idx val="7"/>
              <c:layout>
                <c:manualLayout>
                  <c:x val="0.31804113424889024"/>
                  <c:y val="-2.679887444727419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-5 968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64-49D7-B04A-60590B866EA4}"/>
                </c:ext>
              </c:extLst>
            </c:dLbl>
            <c:dLbl>
              <c:idx val="8"/>
              <c:layout>
                <c:manualLayout>
                  <c:x val="0.31716499342947457"/>
                  <c:y val="-2.679887444727321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-5 176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D64-49D7-B04A-60590B866EA4}"/>
                </c:ext>
              </c:extLst>
            </c:dLbl>
            <c:dLbl>
              <c:idx val="9"/>
              <c:layout>
                <c:manualLayout>
                  <c:x val="0.3185128533913039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-2 254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D64-49D7-B04A-60590B866EA4}"/>
                </c:ext>
              </c:extLst>
            </c:dLbl>
            <c:dLbl>
              <c:idx val="10"/>
              <c:layout>
                <c:manualLayout>
                  <c:x val="0.31717980099481363"/>
                  <c:y val="1.0550737971367407E-7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-2 106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9134537611215957E-2"/>
                      <c:h val="3.7478331421891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D64-49D7-B04A-60590B866EA4}"/>
                </c:ext>
              </c:extLst>
            </c:dLbl>
            <c:dLbl>
              <c:idx val="11"/>
              <c:layout>
                <c:manualLayout>
                  <c:x val="0.32122396469112163"/>
                  <c:y val="2.679887444727272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-766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D64-49D7-B04A-60590B866EA4}"/>
                </c:ext>
              </c:extLst>
            </c:dLbl>
            <c:dLbl>
              <c:idx val="12"/>
              <c:layout>
                <c:manualLayout>
                  <c:x val="0.4812617956322459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- 349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D64-49D7-B04A-60590B866EA4}"/>
                </c:ext>
              </c:extLst>
            </c:dLbl>
            <c:dLbl>
              <c:idx val="13"/>
              <c:layout>
                <c:manualLayout>
                  <c:x val="0.31986835596750191"/>
                  <c:y val="2.679887444727272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- 294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64-49D7-B04A-60590B866EA4}"/>
                </c:ext>
              </c:extLst>
            </c:dLbl>
            <c:dLbl>
              <c:idx val="14"/>
              <c:layout>
                <c:manualLayout>
                  <c:x val="0.31516502162379545"/>
                  <c:y val="2.6798874447273181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50"/>
                        </a:solidFill>
                      </a:rPr>
                      <a:t>- 54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618495551361553E-2"/>
                      <c:h val="3.7478331421891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D64-49D7-B04A-60590B866EA4}"/>
                </c:ext>
              </c:extLst>
            </c:dLbl>
            <c:dLbl>
              <c:idx val="15"/>
              <c:layout>
                <c:manualLayout>
                  <c:x val="3.2353787233861779E-2"/>
                  <c:y val="1.0550737971367407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+ 10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904503410516655E-2"/>
                      <c:h val="3.7478331421891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7D64-49D7-B04A-60590B866EA4}"/>
                </c:ext>
              </c:extLst>
            </c:dLbl>
            <c:dLbl>
              <c:idx val="16"/>
              <c:layout>
                <c:manualLayout>
                  <c:x val="3.2353734160150985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+ 115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64-49D7-B04A-60590B866EA4}"/>
                </c:ext>
              </c:extLst>
            </c:dLbl>
            <c:dLbl>
              <c:idx val="17"/>
              <c:layout>
                <c:manualLayout>
                  <c:x val="3.370180641682384E-2"/>
                  <c:y val="2.679887444727321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+ 221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64-49D7-B04A-60590B866EA4}"/>
                </c:ext>
              </c:extLst>
            </c:dLbl>
            <c:dLbl>
              <c:idx val="18"/>
              <c:layout>
                <c:manualLayout>
                  <c:x val="2.9657589646805167E-2"/>
                  <c:y val="2.679887444727345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chemeClr val="tx1"/>
                        </a:solidFill>
                      </a:rPr>
                      <a:t>+ 3</a:t>
                    </a:r>
                    <a:r>
                      <a:rPr lang="en-US" b="1" baseline="0">
                        <a:solidFill>
                          <a:schemeClr val="tx1"/>
                        </a:solidFill>
                      </a:rPr>
                      <a:t> 050</a:t>
                    </a:r>
                    <a:endParaRPr lang="en-US" b="1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64-49D7-B04A-60590B866EA4}"/>
                </c:ext>
              </c:extLst>
            </c:dLbl>
            <c:dLbl>
              <c:idx val="19"/>
              <c:layout>
                <c:manualLayout>
                  <c:x val="2.4400162667751118E-2"/>
                  <c:y val="2.679887444727321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FF0000"/>
                        </a:solidFill>
                      </a:rPr>
                      <a:t>+ 79 720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64-49D7-B04A-60590B866EA4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FF0000"/>
                        </a:solidFill>
                      </a:rPr>
                      <a:t>+ 392 261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64-49D7-B04A-60590B866E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'2019 m. II pusm.'!$C$53:$C$73</c:f>
              <c:strCache>
                <c:ptCount val="21"/>
                <c:pt idx="0">
                  <c:v>Valstybinė maisto ir veterinarijos tarnyba</c:v>
                </c:pt>
                <c:pt idx="1">
                  <c:v>Sveikatos apsaugos ministerija</c:v>
                </c:pt>
                <c:pt idx="2">
                  <c:v>Finansų ministerija</c:v>
                </c:pt>
                <c:pt idx="3">
                  <c:v>Žemės ūkio ministerija</c:v>
                </c:pt>
                <c:pt idx="4">
                  <c:v>Ekonomikos ir inovacijų ministerija</c:v>
                </c:pt>
                <c:pt idx="5">
                  <c:v>Susisiekimo ministerija</c:v>
                </c:pt>
                <c:pt idx="6">
                  <c:v>Energetikos ministerija</c:v>
                </c:pt>
                <c:pt idx="7">
                  <c:v>Lietuvos transporto saugos administracija</c:v>
                </c:pt>
                <c:pt idx="8">
                  <c:v>Lietuvos statistikos departamentas</c:v>
                </c:pt>
                <c:pt idx="9">
                  <c:v>Socialinės apsaugos ir darbo ministerija</c:v>
                </c:pt>
                <c:pt idx="10">
                  <c:v>Ryšių reguliavimo tarnyba</c:v>
                </c:pt>
                <c:pt idx="11">
                  <c:v>Lošimų priežiūros tarnyba prie LR finansų ministerijos</c:v>
                </c:pt>
                <c:pt idx="12">
                  <c:v>Audito, apskaitos, turto vertinimo ir nemokumo valdymo tarnyba prie LR finansų ministerijos</c:v>
                </c:pt>
                <c:pt idx="13">
                  <c:v>Valstybinė atominės energetikos saugos inspekcija</c:v>
                </c:pt>
                <c:pt idx="14">
                  <c:v>Viešųjų pirkimų tarnyba</c:v>
                </c:pt>
                <c:pt idx="15">
                  <c:v>Kultūros ministerija</c:v>
                </c:pt>
                <c:pt idx="16">
                  <c:v>Muitinės departamentas prie LR finansų ministerijos</c:v>
                </c:pt>
                <c:pt idx="17">
                  <c:v>Lietuvos bankas</c:v>
                </c:pt>
                <c:pt idx="18">
                  <c:v>Valstybinė mokesčių inspekcija prie LR finansų ministerijos</c:v>
                </c:pt>
                <c:pt idx="19">
                  <c:v>Aplinkos ministerija</c:v>
                </c:pt>
                <c:pt idx="20">
                  <c:v>Vidaus reikalų ministerija</c:v>
                </c:pt>
              </c:strCache>
            </c:strRef>
          </c:cat>
          <c:val>
            <c:numRef>
              <c:f>'2019 m. II pusm.'!$D$53:$D$73</c:f>
              <c:numCache>
                <c:formatCode>General</c:formatCode>
                <c:ptCount val="21"/>
                <c:pt idx="0">
                  <c:v>-9226511.5299999993</c:v>
                </c:pt>
                <c:pt idx="1">
                  <c:v>-2264789.19</c:v>
                </c:pt>
                <c:pt idx="2" formatCode="0.00">
                  <c:v>-966830.6</c:v>
                </c:pt>
                <c:pt idx="3">
                  <c:v>-561497.29</c:v>
                </c:pt>
                <c:pt idx="4">
                  <c:v>-114529.65000000001</c:v>
                </c:pt>
                <c:pt idx="5">
                  <c:v>-99387.15</c:v>
                </c:pt>
                <c:pt idx="6">
                  <c:v>-21485.579999999998</c:v>
                </c:pt>
                <c:pt idx="7">
                  <c:v>-5968.369999999999</c:v>
                </c:pt>
                <c:pt idx="8">
                  <c:v>-5175.93</c:v>
                </c:pt>
                <c:pt idx="9">
                  <c:v>-2253.86</c:v>
                </c:pt>
                <c:pt idx="10">
                  <c:v>-2106.4700000000003</c:v>
                </c:pt>
                <c:pt idx="11">
                  <c:v>-765.84</c:v>
                </c:pt>
                <c:pt idx="12">
                  <c:v>-349</c:v>
                </c:pt>
                <c:pt idx="13">
                  <c:v>-294.06</c:v>
                </c:pt>
                <c:pt idx="14">
                  <c:v>-53.5</c:v>
                </c:pt>
                <c:pt idx="15">
                  <c:v>9.51</c:v>
                </c:pt>
                <c:pt idx="16">
                  <c:v>114.8</c:v>
                </c:pt>
                <c:pt idx="17">
                  <c:v>221.4</c:v>
                </c:pt>
                <c:pt idx="18">
                  <c:v>3049.71</c:v>
                </c:pt>
                <c:pt idx="19">
                  <c:v>79720.01999999999</c:v>
                </c:pt>
                <c:pt idx="20">
                  <c:v>392260.9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4-49D7-B04A-60590B866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0192624"/>
        <c:axId val="2059903120"/>
      </c:barChart>
      <c:catAx>
        <c:axId val="100192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INSTITUCIJOS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059903120"/>
        <c:crosses val="autoZero"/>
        <c:auto val="1"/>
        <c:lblAlgn val="ctr"/>
        <c:lblOffset val="100"/>
        <c:noMultiLvlLbl val="0"/>
      </c:catAx>
      <c:valAx>
        <c:axId val="2059903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b="1"/>
                  <a:t>ADMINISTRACINĖS NAŠTOS POKYTIS,</a:t>
                </a:r>
                <a:r>
                  <a:rPr lang="lt-LT" b="1" baseline="0"/>
                  <a:t> EUR (suapvalinti skaičiai)</a:t>
                </a:r>
                <a:endParaRPr lang="lt-LT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00192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ADMINISTRACINĖS NAŠTOS POKYTIS PINIGINE</a:t>
            </a:r>
            <a:r>
              <a:rPr lang="lt-LT" b="1" baseline="0"/>
              <a:t> IŠRAIŠKA PAGAL INSTITUCIJAS, 2019 M. I PUSMETIS</a:t>
            </a:r>
            <a:endParaRPr lang="lt-LT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1B5-4DC5-8558-9D95171FF90B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1B5-4DC5-8558-9D95171FF90B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1B5-4DC5-8558-9D95171FF90B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1B5-4DC5-8558-9D95171FF90B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1B5-4DC5-8558-9D95171FF90B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1B5-4DC5-8558-9D95171FF90B}"/>
              </c:ext>
            </c:extLst>
          </c:dPt>
          <c:dPt>
            <c:idx val="1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1B5-4DC5-8558-9D95171FF90B}"/>
              </c:ext>
            </c:extLst>
          </c:dPt>
          <c:dLbls>
            <c:dLbl>
              <c:idx val="0"/>
              <c:layout>
                <c:manualLayout>
                  <c:x val="9.920895304753586E-3"/>
                  <c:y val="-5.996938952313121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lt-LT" sz="1000" b="1">
                        <a:solidFill>
                          <a:srgbClr val="00B050"/>
                        </a:solidFill>
                      </a:rPr>
                      <a:t>Valstybinė maisto ir veterinarijos tarnyba           -9 232 193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68783068783069"/>
                      <c:h val="0.149107675721463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1B5-4DC5-8558-9D95171FF90B}"/>
                </c:ext>
              </c:extLst>
            </c:dLbl>
            <c:dLbl>
              <c:idx val="1"/>
              <c:layout>
                <c:manualLayout>
                  <c:x val="1.4506520018331042E-2"/>
                  <c:y val="1.22249388753047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rgbClr val="00B050"/>
                        </a:solidFill>
                      </a:rPr>
                      <a:t>Sveikatos apsaugos ministerija  -2 251 736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27111194434029"/>
                      <c:h val="5.53789731051344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1B5-4DC5-8558-9D95171FF90B}"/>
                </c:ext>
              </c:extLst>
            </c:dLbl>
            <c:dLbl>
              <c:idx val="2"/>
              <c:layout>
                <c:manualLayout>
                  <c:x val="0.19671822272215972"/>
                  <c:y val="2.4449877750610349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-169 521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B5-4DC5-8558-9D95171FF90B}"/>
                </c:ext>
              </c:extLst>
            </c:dLbl>
            <c:dLbl>
              <c:idx val="3"/>
              <c:layout>
                <c:manualLayout>
                  <c:x val="0.19936632920884889"/>
                  <c:y val="7.563290530003953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-146 247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B5-4DC5-8558-9D95171FF90B}"/>
                </c:ext>
              </c:extLst>
            </c:dLbl>
            <c:dLbl>
              <c:idx val="4"/>
              <c:layout>
                <c:manualLayout>
                  <c:x val="0.20859673790776162"/>
                  <c:y val="5.1183027549428287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-20 551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1B5-4DC5-8558-9D95171FF90B}"/>
                </c:ext>
              </c:extLst>
            </c:dLbl>
            <c:dLbl>
              <c:idx val="5"/>
              <c:layout>
                <c:manualLayout>
                  <c:x val="0.21388253551639377"/>
                  <c:y val="-8.964851612493295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r>
                      <a:rPr lang="en-US" sz="1000" b="1">
                        <a:solidFill>
                          <a:srgbClr val="00B050"/>
                        </a:solidFill>
                      </a:rPr>
                      <a:t>3 252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1B5-4DC5-8558-9D95171FF90B}"/>
                </c:ext>
              </c:extLst>
            </c:dLbl>
            <c:dLbl>
              <c:idx val="6"/>
              <c:layout>
                <c:manualLayout>
                  <c:x val="0.21387461983918676"/>
                  <c:y val="-5.004139152532584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-1 822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1B5-4DC5-8558-9D95171FF90B}"/>
                </c:ext>
              </c:extLst>
            </c:dLbl>
            <c:dLbl>
              <c:idx val="7"/>
              <c:layout>
                <c:manualLayout>
                  <c:x val="0.21256238803482899"/>
                  <c:y val="-7.449126927593798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-1 038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B5-4DC5-8558-9D95171FF90B}"/>
                </c:ext>
              </c:extLst>
            </c:dLbl>
            <c:dLbl>
              <c:idx val="8"/>
              <c:layout>
                <c:manualLayout>
                  <c:x val="0.21519476732075157"/>
                  <c:y val="-7.3349633251834634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-886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1B5-4DC5-8558-9D95171FF90B}"/>
                </c:ext>
              </c:extLst>
            </c:dLbl>
            <c:dLbl>
              <c:idx val="9"/>
              <c:layout>
                <c:manualLayout>
                  <c:x val="0.2151844561096529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1B5-4DC5-8558-9D95171FF90B}"/>
                </c:ext>
              </c:extLst>
            </c:dLbl>
            <c:dLbl>
              <c:idx val="1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tx1"/>
                        </a:solidFill>
                      </a:rPr>
                      <a:t>+ 10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1B5-4DC5-8558-9D95171FF90B}"/>
                </c:ext>
              </c:extLst>
            </c:dLbl>
            <c:dLbl>
              <c:idx val="1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tx1"/>
                        </a:solidFill>
                      </a:rPr>
                      <a:t>+191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1B5-4DC5-8558-9D95171FF90B}"/>
                </c:ext>
              </c:extLst>
            </c:dLbl>
            <c:dLbl>
              <c:idx val="1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chemeClr val="tx1"/>
                        </a:solidFill>
                      </a:rPr>
                      <a:t>+ 3 050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1B5-4DC5-8558-9D95171FF90B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+ 22 191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B5-4DC5-8558-9D95171FF90B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+ 26 351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B5-4DC5-8558-9D95171FF90B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+ 81 535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B5-4DC5-8558-9D95171FF9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'2019 m. I pusm'!$C$25:$C$40</c:f>
              <c:strCache>
                <c:ptCount val="16"/>
                <c:pt idx="0">
                  <c:v>Valstybinė maisto ir veterinarijos tarnyba</c:v>
                </c:pt>
                <c:pt idx="1">
                  <c:v>Sveikatos apsaugos ministerija</c:v>
                </c:pt>
                <c:pt idx="2">
                  <c:v>Finansų ministerija</c:v>
                </c:pt>
                <c:pt idx="3">
                  <c:v>Žemės ūkio ministerija</c:v>
                </c:pt>
                <c:pt idx="4">
                  <c:v>Energetikos ministerija</c:v>
                </c:pt>
                <c:pt idx="5">
                  <c:v>Vidaus reikalų ministerija</c:v>
                </c:pt>
                <c:pt idx="6">
                  <c:v>Socialinės apsaugos ir darbo ministerija</c:v>
                </c:pt>
                <c:pt idx="7">
                  <c:v>Lošimų priežiūros tarnyba prie FM</c:v>
                </c:pt>
                <c:pt idx="8">
                  <c:v>Lietuvos statistikos departamentas</c:v>
                </c:pt>
                <c:pt idx="9">
                  <c:v>Susisiekimo ministerija</c:v>
                </c:pt>
                <c:pt idx="10">
                  <c:v>Kultūros ministerija</c:v>
                </c:pt>
                <c:pt idx="11">
                  <c:v>Ryšių reguliavimo tarnyba</c:v>
                </c:pt>
                <c:pt idx="12">
                  <c:v>Valstybinė mokesčių inspekcija</c:v>
                </c:pt>
                <c:pt idx="13">
                  <c:v>Lietuvos transporto saugos administracija</c:v>
                </c:pt>
                <c:pt idx="14">
                  <c:v>Aplinkos ministerija</c:v>
                </c:pt>
                <c:pt idx="15">
                  <c:v>Ekonomikos ir inovacijų ministerija</c:v>
                </c:pt>
              </c:strCache>
            </c:strRef>
          </c:cat>
          <c:val>
            <c:numRef>
              <c:f>'2019 m. I pusm'!$D$25:$D$40</c:f>
              <c:numCache>
                <c:formatCode>#,##0.00</c:formatCode>
                <c:ptCount val="16"/>
                <c:pt idx="0">
                  <c:v>-9232193.1699999999</c:v>
                </c:pt>
                <c:pt idx="1">
                  <c:v>-2251736.46</c:v>
                </c:pt>
                <c:pt idx="2">
                  <c:v>-169520.85</c:v>
                </c:pt>
                <c:pt idx="3">
                  <c:v>-146247.29</c:v>
                </c:pt>
                <c:pt idx="4">
                  <c:v>-20550.66</c:v>
                </c:pt>
                <c:pt idx="5">
                  <c:v>-3252.1</c:v>
                </c:pt>
                <c:pt idx="6">
                  <c:v>-1822.39</c:v>
                </c:pt>
                <c:pt idx="7">
                  <c:v>-1038.49</c:v>
                </c:pt>
                <c:pt idx="8">
                  <c:v>-885.97</c:v>
                </c:pt>
                <c:pt idx="9">
                  <c:v>-99.5</c:v>
                </c:pt>
                <c:pt idx="10">
                  <c:v>9.51</c:v>
                </c:pt>
                <c:pt idx="11">
                  <c:v>191.37</c:v>
                </c:pt>
                <c:pt idx="12">
                  <c:v>3049.71</c:v>
                </c:pt>
                <c:pt idx="13">
                  <c:v>22190.880000000001</c:v>
                </c:pt>
                <c:pt idx="14">
                  <c:v>26350.57</c:v>
                </c:pt>
                <c:pt idx="15">
                  <c:v>81534.55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C1B5-4DC5-8558-9D95171FF90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0455328"/>
        <c:axId val="364882384"/>
      </c:barChart>
      <c:catAx>
        <c:axId val="4204553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INSTITUCIJOS</a:t>
                </a:r>
              </a:p>
            </c:rich>
          </c:tx>
          <c:layout>
            <c:manualLayout>
              <c:xMode val="edge"/>
              <c:yMode val="edge"/>
              <c:x val="1.4521450635747446E-2"/>
              <c:y val="0.387922680490274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64882384"/>
        <c:crosses val="autoZero"/>
        <c:auto val="1"/>
        <c:lblAlgn val="ctr"/>
        <c:lblOffset val="100"/>
        <c:noMultiLvlLbl val="0"/>
      </c:catAx>
      <c:valAx>
        <c:axId val="364882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b="1"/>
                  <a:t>ADMINISTRACINĖS NAŠTOS POKYTIS</a:t>
                </a:r>
                <a:r>
                  <a:rPr lang="lt-LT" b="1" baseline="0"/>
                  <a:t>, EUR  (suapvalinti skaičiai)</a:t>
                </a:r>
                <a:endParaRPr lang="lt-LT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2045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0.89743</cdr:x>
      <cdr:y>0.10029</cdr:y>
    </cdr:from>
    <cdr:to>
      <cdr:x>0.9593</cdr:x>
      <cdr:y>0.18634</cdr:y>
    </cdr:to>
    <cdr:pic>
      <cdr:nvPicPr>
        <cdr:cNvPr id="2" name="Picture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>
        <a:xfrm xmlns:a="http://schemas.openxmlformats.org/drawingml/2006/main">
          <a:off x="8621486" y="475614"/>
          <a:ext cx="594399" cy="40805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0.04687</cdr:x>
      <cdr:y>0.68541</cdr:y>
    </cdr:from>
    <cdr:to>
      <cdr:x>0.09998</cdr:x>
      <cdr:y>0.79494</cdr:y>
    </cdr:to>
    <cdr:pic>
      <cdr:nvPicPr>
        <cdr:cNvPr id="3" name="chart"/>
        <cdr:cNvPicPr/>
      </cdr:nvPicPr>
      <cdr:blipFill>
        <a:blip xmlns:a="http://schemas.openxmlformats.org/drawingml/2006/main" xmlns:r="http://schemas.openxmlformats.org/officeDocument/2006/relationships" r:embed="rId2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50275" y="3250345"/>
          <a:ext cx="510229" cy="5194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0.05897</cdr:x>
      <cdr:y>0.51724</cdr:y>
    </cdr:from>
    <cdr:to>
      <cdr:x>0.12642</cdr:x>
      <cdr:y>0.64679</cdr:y>
    </cdr:to>
    <cdr:pic>
      <cdr:nvPicPr>
        <cdr:cNvPr id="2" name="chart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55548" y="2451207"/>
          <a:ext cx="635477" cy="613934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0.88365</cdr:x>
      <cdr:y>0.12129</cdr:y>
    </cdr:from>
    <cdr:to>
      <cdr:x>0.95494</cdr:x>
      <cdr:y>0.20927</cdr:y>
    </cdr:to>
    <cdr:pic>
      <cdr:nvPicPr>
        <cdr:cNvPr id="2" name="Picture 23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>
        <a:xfrm xmlns:a="http://schemas.openxmlformats.org/drawingml/2006/main">
          <a:off x="8091287" y="583423"/>
          <a:ext cx="652787" cy="423186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0.21237</cdr:x>
      <cdr:y>0.5048</cdr:y>
    </cdr:from>
    <cdr:to>
      <cdr:x>0.28028</cdr:x>
      <cdr:y>0.64653</cdr:y>
    </cdr:to>
    <cdr:pic>
      <cdr:nvPicPr>
        <cdr:cNvPr id="3" name="chart"/>
        <cdr:cNvPicPr/>
      </cdr:nvPicPr>
      <cdr:blipFill>
        <a:blip xmlns:a="http://schemas.openxmlformats.org/drawingml/2006/main" xmlns:r="http://schemas.openxmlformats.org/officeDocument/2006/relationships" r:embed="rId2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944608" y="2428154"/>
          <a:ext cx="621859" cy="68173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13" ma:contentTypeDescription="Kurkite naują dokumentą." ma:contentTypeScope="" ma:versionID="4d9d106fc3fc2e3225806b959c9c3470">
  <xsd:schema xmlns:xsd="http://www.w3.org/2001/XMLSchema" xmlns:xs="http://www.w3.org/2001/XMLSchema" xmlns:p="http://schemas.microsoft.com/office/2006/metadata/properties" xmlns:ns3="f8676f13-739e-41b6-9992-d2ccb9e6eed2" xmlns:ns4="31a78ef5-80c4-40c8-981a-a7e14947a873" targetNamespace="http://schemas.microsoft.com/office/2006/metadata/properties" ma:root="true" ma:fieldsID="3d21dcdc1961c9a48dfad247baafdaf0" ns3:_="" ns4:_="">
    <xsd:import namespace="f8676f13-739e-41b6-9992-d2ccb9e6eed2"/>
    <xsd:import namespace="31a78ef5-80c4-40c8-981a-a7e14947a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8ef5-80c4-40c8-981a-a7e14947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2A91-EC2A-422B-B813-DA9FD4E6A59B}">
  <ds:schemaRefs>
    <ds:schemaRef ds:uri="http://schemas.microsoft.com/office/2006/documentManagement/types"/>
    <ds:schemaRef ds:uri="http://purl.org/dc/dcmitype/"/>
    <ds:schemaRef ds:uri="31a78ef5-80c4-40c8-981a-a7e14947a873"/>
    <ds:schemaRef ds:uri="http://schemas.openxmlformats.org/package/2006/metadata/core-properties"/>
    <ds:schemaRef ds:uri="f8676f13-739e-41b6-9992-d2ccb9e6eed2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0F4FB3-E7E2-4DCB-86EA-0670FE95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141E92C-AAE7-4301-B93A-7F62EA896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31a78ef5-80c4-40c8-981a-a7e14947a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D27CB2-F843-4861-B31B-7088D025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3031</Words>
  <Characters>1728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Kinkaite Laura</dc:creator>
  <cp:lastModifiedBy>Damzenienė Vyginta</cp:lastModifiedBy>
  <cp:revision>2</cp:revision>
  <cp:lastPrinted>2020-02-07T16:05:00Z</cp:lastPrinted>
  <dcterms:created xsi:type="dcterms:W3CDTF">2020-03-30T13:22:00Z</dcterms:created>
  <dcterms:modified xsi:type="dcterms:W3CDTF">2020-03-30T13:22:00Z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0x0101005DAE4679EE5F7C4C9967BB65C039D974</vt:lpwstr>
  </property>
  <property fmtid="{D5CDD505-2E9C-101B-9397-08002B2CF9AE}" pid="4" name="Order">
    <vt:r8>2600</vt:r8>
  </property>
  <property fmtid="{D5CDD505-2E9C-101B-9397-08002B2CF9AE}" pid="5" name="ComplianceAssetId">
    <vt:lpwstr/>
  </property>
  <property fmtid="{D5CDD505-2E9C-101B-9397-08002B2CF9AE}" pid="6" name="_dlc_DocIdItemGuid">
    <vt:lpwstr>46f17b82-dfc0-408d-ad69-27f3081a19de</vt:lpwstr>
  </property>
</Properties>
</file>