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5BDCA" w14:textId="77777777" w:rsidR="00C33673" w:rsidRPr="00FB49FF" w:rsidRDefault="00767CF9" w:rsidP="00D017CE">
      <w:pPr>
        <w:jc w:val="center"/>
        <w:rPr>
          <w:b/>
        </w:rPr>
      </w:pPr>
      <w:bookmarkStart w:id="0" w:name="_GoBack"/>
      <w:bookmarkEnd w:id="0"/>
      <w:r w:rsidRPr="00FB49FF">
        <w:rPr>
          <w:b/>
        </w:rPr>
        <w:t>NUMATOMO TEISINIO REGULIAVIMO</w:t>
      </w:r>
      <w:r w:rsidR="00C33673" w:rsidRPr="00FB49FF">
        <w:rPr>
          <w:b/>
        </w:rPr>
        <w:t xml:space="preserve"> </w:t>
      </w:r>
      <w:r w:rsidR="00930849" w:rsidRPr="00FB49FF">
        <w:rPr>
          <w:b/>
        </w:rPr>
        <w:t xml:space="preserve">POVEIKIO </w:t>
      </w:r>
      <w:r w:rsidR="00C33673" w:rsidRPr="00FB49FF">
        <w:rPr>
          <w:b/>
        </w:rPr>
        <w:t>VERTINIMO PAŽYMA</w:t>
      </w:r>
    </w:p>
    <w:p w14:paraId="7B4EC60C" w14:textId="77777777" w:rsidR="00D81EAE" w:rsidRPr="00FB49FF" w:rsidRDefault="00D81EAE" w:rsidP="00D81EAE">
      <w:pPr>
        <w:widowControl w:val="0"/>
        <w:autoSpaceDE w:val="0"/>
        <w:autoSpaceDN w:val="0"/>
        <w:adjustRightInd w:val="0"/>
        <w:rPr>
          <w:b/>
          <w:szCs w:val="24"/>
          <w:lang w:eastAsia="lt-LT"/>
        </w:rPr>
      </w:pPr>
    </w:p>
    <w:p w14:paraId="1810B399" w14:textId="77777777" w:rsidR="00AA3423" w:rsidRPr="00FB49FF" w:rsidRDefault="00AA3423" w:rsidP="00D81EAE">
      <w:pPr>
        <w:widowControl w:val="0"/>
        <w:autoSpaceDE w:val="0"/>
        <w:autoSpaceDN w:val="0"/>
        <w:adjustRightInd w:val="0"/>
        <w:rPr>
          <w:b/>
          <w:szCs w:val="24"/>
          <w:lang w:eastAsia="lt-LT"/>
        </w:rPr>
      </w:pPr>
    </w:p>
    <w:p w14:paraId="53C6A429" w14:textId="77777777" w:rsidR="008278CA" w:rsidRPr="00FB49FF" w:rsidRDefault="008278CA" w:rsidP="00D81EAE">
      <w:pPr>
        <w:widowControl w:val="0"/>
        <w:autoSpaceDE w:val="0"/>
        <w:autoSpaceDN w:val="0"/>
        <w:adjustRightInd w:val="0"/>
        <w:rPr>
          <w:b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979"/>
      </w:tblGrid>
      <w:tr w:rsidR="00D81EAE" w:rsidRPr="00FB49FF" w14:paraId="0BD5CCC2" w14:textId="77777777" w:rsidTr="00CA3E0A">
        <w:tc>
          <w:tcPr>
            <w:tcW w:w="2660" w:type="dxa"/>
            <w:shd w:val="clear" w:color="auto" w:fill="auto"/>
          </w:tcPr>
          <w:p w14:paraId="06949FDA" w14:textId="77777777" w:rsidR="00D81EAE" w:rsidRPr="00FB49FF" w:rsidRDefault="00D81EAE" w:rsidP="00BE175C">
            <w:pPr>
              <w:rPr>
                <w:b/>
              </w:rPr>
            </w:pPr>
            <w:r w:rsidRPr="00FB49FF">
              <w:rPr>
                <w:b/>
              </w:rPr>
              <w:t>Projekto pavadinimas</w:t>
            </w:r>
          </w:p>
        </w:tc>
        <w:tc>
          <w:tcPr>
            <w:tcW w:w="6979" w:type="dxa"/>
            <w:shd w:val="clear" w:color="auto" w:fill="auto"/>
          </w:tcPr>
          <w:p w14:paraId="3936F15A" w14:textId="40C16B07" w:rsidR="00AA3423" w:rsidRPr="00FB49FF" w:rsidRDefault="00FC338A" w:rsidP="0025644A">
            <w:pPr>
              <w:keepNext/>
              <w:outlineLvl w:val="1"/>
              <w:rPr>
                <w:szCs w:val="22"/>
                <w:lang w:eastAsia="lt-LT"/>
              </w:rPr>
            </w:pPr>
            <w:r w:rsidRPr="00FB49FF">
              <w:rPr>
                <w:szCs w:val="24"/>
              </w:rPr>
              <w:t xml:space="preserve">Dėl Lietuvos Respublikos </w:t>
            </w:r>
            <w:r w:rsidRPr="00FB49FF">
              <w:rPr>
                <w:spacing w:val="-6"/>
                <w:szCs w:val="24"/>
              </w:rPr>
              <w:t xml:space="preserve">žemės įstatymo </w:t>
            </w:r>
            <w:r w:rsidRPr="00FB49FF">
              <w:rPr>
                <w:rFonts w:cstheme="majorBidi"/>
                <w:spacing w:val="-6"/>
                <w:szCs w:val="24"/>
              </w:rPr>
              <w:t>Nr.</w:t>
            </w:r>
            <w:r w:rsidRPr="00FB49FF">
              <w:rPr>
                <w:rFonts w:ascii="Arial" w:hAnsi="Arial" w:cs="Arial"/>
                <w:spacing w:val="-6"/>
                <w:szCs w:val="24"/>
              </w:rPr>
              <w:t xml:space="preserve"> </w:t>
            </w:r>
            <w:r w:rsidRPr="00FB49FF">
              <w:rPr>
                <w:rFonts w:cstheme="majorBidi"/>
                <w:spacing w:val="-6"/>
                <w:szCs w:val="24"/>
              </w:rPr>
              <w:t xml:space="preserve">I-446 10 straipsnio pakeitimo </w:t>
            </w:r>
            <w:r w:rsidR="0025644A">
              <w:rPr>
                <w:rFonts w:cstheme="majorBidi"/>
                <w:spacing w:val="-6"/>
                <w:szCs w:val="24"/>
              </w:rPr>
              <w:t>įstatymo</w:t>
            </w:r>
            <w:r w:rsidR="007B6E61">
              <w:rPr>
                <w:rFonts w:cstheme="majorBidi"/>
                <w:spacing w:val="-6"/>
                <w:szCs w:val="24"/>
              </w:rPr>
              <w:t xml:space="preserve"> </w:t>
            </w:r>
            <w:r w:rsidRPr="00FB49FF">
              <w:rPr>
                <w:rFonts w:cstheme="majorBidi"/>
                <w:spacing w:val="-6"/>
                <w:szCs w:val="24"/>
              </w:rPr>
              <w:t xml:space="preserve">ir </w:t>
            </w:r>
            <w:r w:rsidRPr="00FB49FF">
              <w:rPr>
                <w:szCs w:val="24"/>
              </w:rPr>
              <w:t xml:space="preserve">Lietuvos Respublikos </w:t>
            </w:r>
            <w:r w:rsidRPr="00FB49FF">
              <w:rPr>
                <w:spacing w:val="-6"/>
                <w:szCs w:val="24"/>
              </w:rPr>
              <w:t xml:space="preserve">žemės reformos įstatymo </w:t>
            </w:r>
            <w:r w:rsidRPr="00FB49FF">
              <w:rPr>
                <w:rFonts w:cstheme="majorBidi"/>
                <w:spacing w:val="-6"/>
                <w:szCs w:val="24"/>
              </w:rPr>
              <w:t>Nr.</w:t>
            </w:r>
            <w:r w:rsidRPr="00FB49FF">
              <w:rPr>
                <w:rFonts w:ascii="Arial" w:hAnsi="Arial" w:cs="Arial"/>
                <w:spacing w:val="-6"/>
                <w:szCs w:val="24"/>
              </w:rPr>
              <w:t xml:space="preserve"> </w:t>
            </w:r>
            <w:r w:rsidRPr="00FB49FF">
              <w:rPr>
                <w:rFonts w:cstheme="majorBidi"/>
                <w:szCs w:val="24"/>
              </w:rPr>
              <w:t xml:space="preserve">I-1607 </w:t>
            </w:r>
            <w:r w:rsidRPr="00FB49FF">
              <w:rPr>
                <w:rFonts w:cstheme="majorBidi"/>
                <w:spacing w:val="-6"/>
                <w:szCs w:val="24"/>
              </w:rPr>
              <w:t>12 ir 15 straipsnių p</w:t>
            </w:r>
            <w:r w:rsidR="0025644A">
              <w:rPr>
                <w:rFonts w:cstheme="majorBidi"/>
                <w:spacing w:val="-6"/>
                <w:szCs w:val="24"/>
              </w:rPr>
              <w:t>a</w:t>
            </w:r>
            <w:r w:rsidR="00BE7917">
              <w:rPr>
                <w:rFonts w:cstheme="majorBidi"/>
                <w:spacing w:val="-6"/>
                <w:szCs w:val="24"/>
              </w:rPr>
              <w:t xml:space="preserve">keitimo </w:t>
            </w:r>
            <w:r w:rsidR="0025644A">
              <w:rPr>
                <w:rFonts w:cstheme="majorBidi"/>
                <w:spacing w:val="-6"/>
                <w:szCs w:val="24"/>
              </w:rPr>
              <w:t xml:space="preserve"> įstatymo</w:t>
            </w:r>
          </w:p>
        </w:tc>
      </w:tr>
    </w:tbl>
    <w:p w14:paraId="241CF7C2" w14:textId="77777777" w:rsidR="00D81EAE" w:rsidRPr="00FB49FF" w:rsidRDefault="00D81EAE" w:rsidP="00D81EAE">
      <w:pPr>
        <w:widowControl w:val="0"/>
        <w:autoSpaceDE w:val="0"/>
        <w:autoSpaceDN w:val="0"/>
        <w:adjustRightInd w:val="0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979"/>
      </w:tblGrid>
      <w:tr w:rsidR="00D81EAE" w:rsidRPr="00FB49FF" w14:paraId="071F7060" w14:textId="77777777" w:rsidTr="00CA3E0A">
        <w:tc>
          <w:tcPr>
            <w:tcW w:w="2660" w:type="dxa"/>
            <w:shd w:val="clear" w:color="auto" w:fill="auto"/>
          </w:tcPr>
          <w:p w14:paraId="065999AF" w14:textId="77777777" w:rsidR="00D81EAE" w:rsidRPr="00FB49FF" w:rsidRDefault="00D81EAE" w:rsidP="00BE175C">
            <w:pPr>
              <w:rPr>
                <w:b/>
              </w:rPr>
            </w:pPr>
            <w:r w:rsidRPr="00FB49FF">
              <w:rPr>
                <w:b/>
              </w:rPr>
              <w:t>Projekto rengėjas</w:t>
            </w:r>
          </w:p>
        </w:tc>
        <w:tc>
          <w:tcPr>
            <w:tcW w:w="6979" w:type="dxa"/>
            <w:shd w:val="clear" w:color="auto" w:fill="auto"/>
          </w:tcPr>
          <w:p w14:paraId="366977A3" w14:textId="77777777" w:rsidR="00D81EAE" w:rsidRPr="00FB49FF" w:rsidRDefault="00D81EAE" w:rsidP="00760A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2"/>
                <w:lang w:eastAsia="lt-LT"/>
              </w:rPr>
            </w:pPr>
            <w:r w:rsidRPr="00FB49FF">
              <w:rPr>
                <w:szCs w:val="24"/>
              </w:rPr>
              <w:t>Žemės ūkio ministerija</w:t>
            </w:r>
          </w:p>
        </w:tc>
      </w:tr>
    </w:tbl>
    <w:p w14:paraId="5C26C347" w14:textId="77777777" w:rsidR="00D81EAE" w:rsidRPr="00FB49FF" w:rsidRDefault="00D81EAE" w:rsidP="00D81EAE">
      <w:pPr>
        <w:widowControl w:val="0"/>
        <w:autoSpaceDE w:val="0"/>
        <w:autoSpaceDN w:val="0"/>
        <w:adjustRightInd w:val="0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979"/>
      </w:tblGrid>
      <w:tr w:rsidR="00D81EAE" w:rsidRPr="00FB49FF" w14:paraId="3B34C0B4" w14:textId="77777777" w:rsidTr="00CA3E0A">
        <w:tc>
          <w:tcPr>
            <w:tcW w:w="2660" w:type="dxa"/>
            <w:shd w:val="clear" w:color="auto" w:fill="auto"/>
          </w:tcPr>
          <w:p w14:paraId="561E61AB" w14:textId="77777777" w:rsidR="00D81EAE" w:rsidRPr="00FB49FF" w:rsidRDefault="00D81EAE" w:rsidP="00760A07">
            <w:pPr>
              <w:widowControl w:val="0"/>
              <w:autoSpaceDE w:val="0"/>
              <w:autoSpaceDN w:val="0"/>
              <w:adjustRightInd w:val="0"/>
              <w:rPr>
                <w:b/>
                <w:szCs w:val="22"/>
                <w:lang w:eastAsia="lt-LT"/>
              </w:rPr>
            </w:pPr>
            <w:r w:rsidRPr="00FB49FF">
              <w:rPr>
                <w:b/>
                <w:szCs w:val="22"/>
                <w:lang w:eastAsia="lt-LT"/>
              </w:rPr>
              <w:t>Projekto tikslas</w:t>
            </w:r>
          </w:p>
        </w:tc>
        <w:tc>
          <w:tcPr>
            <w:tcW w:w="6979" w:type="dxa"/>
            <w:shd w:val="clear" w:color="auto" w:fill="auto"/>
          </w:tcPr>
          <w:p w14:paraId="2B6837D6" w14:textId="25AF9A63" w:rsidR="004310DF" w:rsidRPr="00561AD7" w:rsidRDefault="004310DF" w:rsidP="005E138C">
            <w:pPr>
              <w:tabs>
                <w:tab w:val="left" w:pos="900"/>
                <w:tab w:val="left" w:pos="9540"/>
              </w:tabs>
              <w:spacing w:line="360" w:lineRule="auto"/>
              <w:ind w:right="99"/>
              <w:jc w:val="both"/>
              <w:rPr>
                <w:strike/>
                <w:szCs w:val="24"/>
              </w:rPr>
            </w:pPr>
            <w:r w:rsidRPr="00561AD7">
              <w:t>Įstatymų projektų tikslas siekti, kad</w:t>
            </w:r>
            <w:bookmarkStart w:id="1" w:name="_Hlk9341959"/>
            <w:r w:rsidRPr="00561AD7">
              <w:rPr>
                <w:szCs w:val="24"/>
              </w:rPr>
              <w:t xml:space="preserve"> valstybinė žemė būtų naudojama racionaliai ir efektyviai. Nuosavybės teisių atkūrimui artėjant į pabaigą, aiškėja, kad dalis valstybinės žemės sklypų, kurie teisės aktų nustatyta tvarka buvo skirti individualiam mėgėjų sodo sklypų naudojimui</w:t>
            </w:r>
            <w:r w:rsidR="00FF3D35" w:rsidRPr="00561AD7">
              <w:rPr>
                <w:szCs w:val="24"/>
              </w:rPr>
              <w:t>,</w:t>
            </w:r>
            <w:r w:rsidRPr="00561AD7">
              <w:rPr>
                <w:szCs w:val="24"/>
              </w:rPr>
              <w:t xml:space="preserve"> suteikti individualiems gyvenamiesiems namams statyti</w:t>
            </w:r>
            <w:r w:rsidR="00FF3D35" w:rsidRPr="00561AD7">
              <w:rPr>
                <w:szCs w:val="24"/>
              </w:rPr>
              <w:t xml:space="preserve"> ar asmeninio ūkio naudojimui </w:t>
            </w:r>
            <w:r w:rsidRPr="00561AD7">
              <w:rPr>
                <w:szCs w:val="24"/>
              </w:rPr>
              <w:t>ir yra nenaudojami ir apleisti.</w:t>
            </w:r>
            <w:r w:rsidR="005E138C" w:rsidRPr="00561AD7">
              <w:rPr>
                <w:szCs w:val="24"/>
              </w:rPr>
              <w:t xml:space="preserve"> Nacionalinės žemės tarnybos prie Žemės ūkio ministerijos duomenimis</w:t>
            </w:r>
            <w:r w:rsidR="00BC2357">
              <w:rPr>
                <w:szCs w:val="24"/>
              </w:rPr>
              <w:t>,</w:t>
            </w:r>
            <w:r w:rsidR="005E138C" w:rsidRPr="00561AD7">
              <w:rPr>
                <w:szCs w:val="24"/>
              </w:rPr>
              <w:t xml:space="preserve"> Lietuvoje yra apie 5</w:t>
            </w:r>
            <w:r w:rsidR="005949EF">
              <w:rPr>
                <w:szCs w:val="24"/>
              </w:rPr>
              <w:t xml:space="preserve"> </w:t>
            </w:r>
            <w:r w:rsidR="005E138C" w:rsidRPr="00561AD7">
              <w:rPr>
                <w:szCs w:val="24"/>
              </w:rPr>
              <w:t>000 mėgėjų sodų, 3</w:t>
            </w:r>
            <w:r w:rsidR="005949EF">
              <w:rPr>
                <w:szCs w:val="24"/>
              </w:rPr>
              <w:t xml:space="preserve"> </w:t>
            </w:r>
            <w:r w:rsidR="005E138C" w:rsidRPr="00561AD7">
              <w:rPr>
                <w:szCs w:val="24"/>
              </w:rPr>
              <w:t>005 asmeninio ūkio ir apie 500 individualiems namams statyti skirtų, bet neprivatizuotų</w:t>
            </w:r>
            <w:r w:rsidR="00BC2357">
              <w:rPr>
                <w:szCs w:val="24"/>
              </w:rPr>
              <w:t>,</w:t>
            </w:r>
            <w:r w:rsidR="005E138C" w:rsidRPr="00561AD7">
              <w:rPr>
                <w:szCs w:val="24"/>
              </w:rPr>
              <w:t xml:space="preserve"> žemės sklypų. </w:t>
            </w:r>
            <w:r w:rsidRPr="00561AD7">
              <w:rPr>
                <w:szCs w:val="24"/>
              </w:rPr>
              <w:t>Siekiant sumažinti tokius nenaudojamus ir apleistus žemės plotus</w:t>
            </w:r>
            <w:r w:rsidR="00BC2357">
              <w:rPr>
                <w:szCs w:val="24"/>
              </w:rPr>
              <w:t>,</w:t>
            </w:r>
            <w:r w:rsidRPr="00561AD7">
              <w:rPr>
                <w:szCs w:val="24"/>
              </w:rPr>
              <w:t xml:space="preserve"> siūloma papildyti Žemės įstatymo 10 straipsnį nauja </w:t>
            </w:r>
            <w:r w:rsidRPr="00561AD7">
              <w:rPr>
                <w:bCs/>
                <w:szCs w:val="24"/>
              </w:rPr>
              <w:t>13 dalimi</w:t>
            </w:r>
            <w:r w:rsidR="005E138C" w:rsidRPr="00561AD7">
              <w:rPr>
                <w:bCs/>
                <w:szCs w:val="24"/>
              </w:rPr>
              <w:t xml:space="preserve"> ir </w:t>
            </w:r>
            <w:r w:rsidR="005E138C" w:rsidRPr="00561AD7">
              <w:rPr>
                <w:szCs w:val="24"/>
              </w:rPr>
              <w:t>tikslinti Žemės reformos įstatymo 15 straipsnio 11 dalį, sudarant galimybę minėtus žemės sklypus įsigyti asmenims, kuriems jie nebuvo skirti.</w:t>
            </w:r>
            <w:r w:rsidR="00FF3D35" w:rsidRPr="00561AD7">
              <w:rPr>
                <w:szCs w:val="24"/>
              </w:rPr>
              <w:t xml:space="preserve"> Priėmus minėt</w:t>
            </w:r>
            <w:r w:rsidR="005E138C" w:rsidRPr="00561AD7">
              <w:rPr>
                <w:szCs w:val="24"/>
              </w:rPr>
              <w:t>us</w:t>
            </w:r>
            <w:r w:rsidR="00FF3D35" w:rsidRPr="00561AD7">
              <w:rPr>
                <w:szCs w:val="24"/>
              </w:rPr>
              <w:t xml:space="preserve"> </w:t>
            </w:r>
            <w:r w:rsidR="0025644A" w:rsidRPr="0025644A">
              <w:rPr>
                <w:color w:val="000000" w:themeColor="text1"/>
                <w:szCs w:val="24"/>
              </w:rPr>
              <w:t xml:space="preserve">įstatymų projektų </w:t>
            </w:r>
            <w:r w:rsidR="00FF3D35" w:rsidRPr="0025644A">
              <w:rPr>
                <w:color w:val="000000" w:themeColor="text1"/>
                <w:szCs w:val="24"/>
              </w:rPr>
              <w:t>pakeitim</w:t>
            </w:r>
            <w:r w:rsidR="005E138C" w:rsidRPr="0025644A">
              <w:rPr>
                <w:color w:val="000000" w:themeColor="text1"/>
                <w:szCs w:val="24"/>
              </w:rPr>
              <w:t>us</w:t>
            </w:r>
            <w:r w:rsidR="005949EF">
              <w:rPr>
                <w:color w:val="000000" w:themeColor="text1"/>
                <w:szCs w:val="24"/>
              </w:rPr>
              <w:t>,</w:t>
            </w:r>
            <w:r w:rsidR="00FF3D35" w:rsidRPr="0025644A">
              <w:rPr>
                <w:color w:val="000000" w:themeColor="text1"/>
                <w:szCs w:val="24"/>
              </w:rPr>
              <w:t xml:space="preserve"> </w:t>
            </w:r>
            <w:r w:rsidRPr="0025644A">
              <w:rPr>
                <w:color w:val="000000" w:themeColor="text1"/>
                <w:szCs w:val="24"/>
              </w:rPr>
              <w:t xml:space="preserve">sumažės neįsigytų </w:t>
            </w:r>
            <w:proofErr w:type="spellStart"/>
            <w:r w:rsidRPr="0025644A">
              <w:rPr>
                <w:color w:val="000000" w:themeColor="text1"/>
                <w:szCs w:val="24"/>
              </w:rPr>
              <w:t>privačion</w:t>
            </w:r>
            <w:proofErr w:type="spellEnd"/>
            <w:r w:rsidRPr="0025644A">
              <w:rPr>
                <w:color w:val="000000" w:themeColor="text1"/>
                <w:szCs w:val="24"/>
              </w:rPr>
              <w:t xml:space="preserve"> nuosavybėn </w:t>
            </w:r>
            <w:r w:rsidRPr="00561AD7">
              <w:rPr>
                <w:szCs w:val="24"/>
              </w:rPr>
              <w:t xml:space="preserve">ar nenaudojamų žemės sklypų, taip pat bus pateisinti lūkesčiai tų asmenų, kurie minėtuosius žemės sklypus pageidautų įsigyti ir dirbti. </w:t>
            </w:r>
            <w:bookmarkEnd w:id="1"/>
          </w:p>
          <w:p w14:paraId="39B6F729" w14:textId="77777777" w:rsidR="00AA3423" w:rsidRPr="00561AD7" w:rsidRDefault="00AA3423" w:rsidP="00875976">
            <w:pPr>
              <w:ind w:firstLine="720"/>
              <w:jc w:val="both"/>
              <w:rPr>
                <w:szCs w:val="24"/>
              </w:rPr>
            </w:pPr>
            <w:bookmarkStart w:id="2" w:name="dok_nr"/>
            <w:bookmarkEnd w:id="2"/>
          </w:p>
        </w:tc>
      </w:tr>
    </w:tbl>
    <w:p w14:paraId="0E32A551" w14:textId="77777777" w:rsidR="00AA3423" w:rsidRPr="00FB49FF" w:rsidRDefault="00AA3423" w:rsidP="00D81EAE">
      <w:pPr>
        <w:widowControl w:val="0"/>
        <w:autoSpaceDE w:val="0"/>
        <w:autoSpaceDN w:val="0"/>
        <w:adjustRightInd w:val="0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979"/>
      </w:tblGrid>
      <w:tr w:rsidR="00FB49FF" w:rsidRPr="00FB49FF" w14:paraId="4B0E923D" w14:textId="77777777" w:rsidTr="00CA3E0A">
        <w:trPr>
          <w:trHeight w:val="415"/>
        </w:trPr>
        <w:tc>
          <w:tcPr>
            <w:tcW w:w="9639" w:type="dxa"/>
            <w:gridSpan w:val="2"/>
            <w:shd w:val="clear" w:color="auto" w:fill="auto"/>
          </w:tcPr>
          <w:p w14:paraId="47FCDF47" w14:textId="77777777" w:rsidR="008278CA" w:rsidRPr="00FB49FF" w:rsidRDefault="00CA3E0A" w:rsidP="008278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lt-LT"/>
              </w:rPr>
            </w:pPr>
            <w:r w:rsidRPr="00FB49FF">
              <w:rPr>
                <w:b/>
                <w:szCs w:val="22"/>
                <w:lang w:eastAsia="lt-LT"/>
              </w:rPr>
              <w:t>Siūlom</w:t>
            </w:r>
            <w:r w:rsidR="008278CA" w:rsidRPr="00FB49FF">
              <w:rPr>
                <w:b/>
                <w:szCs w:val="22"/>
                <w:lang w:eastAsia="lt-LT"/>
              </w:rPr>
              <w:t>o projekto poveikio įvertinimas</w:t>
            </w:r>
          </w:p>
        </w:tc>
      </w:tr>
      <w:tr w:rsidR="00FB49FF" w:rsidRPr="00FB49FF" w14:paraId="263675A0" w14:textId="77777777" w:rsidTr="00CA3E0A">
        <w:tc>
          <w:tcPr>
            <w:tcW w:w="2660" w:type="dxa"/>
            <w:shd w:val="clear" w:color="auto" w:fill="auto"/>
          </w:tcPr>
          <w:p w14:paraId="090D1A23" w14:textId="77777777" w:rsidR="00D81EAE" w:rsidRPr="00FB49FF" w:rsidRDefault="00D81EAE" w:rsidP="00760A07">
            <w:pPr>
              <w:widowControl w:val="0"/>
              <w:autoSpaceDE w:val="0"/>
              <w:autoSpaceDN w:val="0"/>
              <w:adjustRightInd w:val="0"/>
              <w:rPr>
                <w:b/>
                <w:szCs w:val="22"/>
                <w:lang w:eastAsia="lt-LT"/>
              </w:rPr>
            </w:pPr>
            <w:r w:rsidRPr="00FB49FF">
              <w:rPr>
                <w:b/>
                <w:szCs w:val="22"/>
                <w:lang w:eastAsia="lt-LT"/>
              </w:rPr>
              <w:t xml:space="preserve">Poveikis atitinkamai </w:t>
            </w:r>
          </w:p>
          <w:p w14:paraId="56B05A60" w14:textId="77777777" w:rsidR="00D81EAE" w:rsidRPr="00FB49FF" w:rsidRDefault="00D81EAE" w:rsidP="00760A07">
            <w:pPr>
              <w:widowControl w:val="0"/>
              <w:autoSpaceDE w:val="0"/>
              <w:autoSpaceDN w:val="0"/>
              <w:adjustRightInd w:val="0"/>
              <w:rPr>
                <w:b/>
                <w:szCs w:val="22"/>
                <w:lang w:eastAsia="lt-LT"/>
              </w:rPr>
            </w:pPr>
            <w:r w:rsidRPr="00FB49FF">
              <w:rPr>
                <w:b/>
                <w:szCs w:val="22"/>
                <w:lang w:eastAsia="lt-LT"/>
              </w:rPr>
              <w:t>sričiai</w:t>
            </w:r>
          </w:p>
        </w:tc>
        <w:tc>
          <w:tcPr>
            <w:tcW w:w="6979" w:type="dxa"/>
            <w:shd w:val="clear" w:color="auto" w:fill="auto"/>
          </w:tcPr>
          <w:p w14:paraId="30F79C5D" w14:textId="1E51495F" w:rsidR="00AA3423" w:rsidRPr="00FB49FF" w:rsidRDefault="005E138C" w:rsidP="008A74C2">
            <w:pPr>
              <w:keepNext/>
              <w:spacing w:line="360" w:lineRule="auto"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Priėmus minėtus </w:t>
            </w:r>
            <w:r w:rsidRPr="00FB49FF">
              <w:rPr>
                <w:szCs w:val="24"/>
              </w:rPr>
              <w:t>pakeitim</w:t>
            </w:r>
            <w:r>
              <w:rPr>
                <w:szCs w:val="24"/>
              </w:rPr>
              <w:t>us</w:t>
            </w:r>
            <w:r w:rsidR="00BC2357">
              <w:rPr>
                <w:szCs w:val="24"/>
              </w:rPr>
              <w:t>,</w:t>
            </w:r>
            <w:r w:rsidRPr="00FB49FF">
              <w:rPr>
                <w:szCs w:val="24"/>
              </w:rPr>
              <w:t xml:space="preserve"> sumažės </w:t>
            </w:r>
            <w:r w:rsidRPr="00561AD7">
              <w:rPr>
                <w:color w:val="FF0000"/>
                <w:szCs w:val="24"/>
              </w:rPr>
              <w:t xml:space="preserve"> </w:t>
            </w:r>
            <w:r w:rsidRPr="00FB49FF">
              <w:rPr>
                <w:szCs w:val="24"/>
              </w:rPr>
              <w:t xml:space="preserve">neįsigytų </w:t>
            </w:r>
            <w:proofErr w:type="spellStart"/>
            <w:r w:rsidRPr="00FB49FF">
              <w:rPr>
                <w:szCs w:val="24"/>
              </w:rPr>
              <w:t>privačion</w:t>
            </w:r>
            <w:proofErr w:type="spellEnd"/>
            <w:r w:rsidRPr="00FB49FF">
              <w:rPr>
                <w:szCs w:val="24"/>
              </w:rPr>
              <w:t xml:space="preserve"> nuosavybėn ar nenaudojamų žemės sklypų, taip pat bus pateisinti lūkesčiai tų asmenų, kurie minėtuosius žemės sklypus pageidautų įsigyti ir </w:t>
            </w:r>
            <w:r w:rsidR="00561AD7">
              <w:rPr>
                <w:szCs w:val="24"/>
              </w:rPr>
              <w:t>naudoti pagal paskirtį</w:t>
            </w:r>
            <w:r w:rsidRPr="00FB49FF">
              <w:rPr>
                <w:szCs w:val="24"/>
              </w:rPr>
              <w:t>.</w:t>
            </w:r>
          </w:p>
        </w:tc>
      </w:tr>
      <w:tr w:rsidR="00FB49FF" w:rsidRPr="00FB49FF" w14:paraId="401DB653" w14:textId="77777777" w:rsidTr="00CA3E0A">
        <w:tc>
          <w:tcPr>
            <w:tcW w:w="2660" w:type="dxa"/>
            <w:shd w:val="clear" w:color="auto" w:fill="auto"/>
          </w:tcPr>
          <w:p w14:paraId="124B4CCD" w14:textId="77777777" w:rsidR="00D81EAE" w:rsidRPr="00FB49FF" w:rsidRDefault="00D81EAE" w:rsidP="00760A07">
            <w:pPr>
              <w:widowControl w:val="0"/>
              <w:autoSpaceDE w:val="0"/>
              <w:autoSpaceDN w:val="0"/>
              <w:adjustRightInd w:val="0"/>
              <w:rPr>
                <w:b/>
                <w:szCs w:val="22"/>
                <w:lang w:eastAsia="lt-LT"/>
              </w:rPr>
            </w:pPr>
            <w:bookmarkStart w:id="3" w:name="_Hlk13053442"/>
            <w:r w:rsidRPr="00FB49FF">
              <w:rPr>
                <w:b/>
                <w:szCs w:val="22"/>
                <w:lang w:eastAsia="lt-LT"/>
              </w:rPr>
              <w:t xml:space="preserve">Poveikis </w:t>
            </w:r>
          </w:p>
          <w:p w14:paraId="6DCE077F" w14:textId="77777777" w:rsidR="00D81EAE" w:rsidRPr="00FB49FF" w:rsidRDefault="00D81EAE" w:rsidP="00760A07">
            <w:pPr>
              <w:widowControl w:val="0"/>
              <w:autoSpaceDE w:val="0"/>
              <w:autoSpaceDN w:val="0"/>
              <w:adjustRightInd w:val="0"/>
              <w:rPr>
                <w:b/>
                <w:szCs w:val="22"/>
                <w:lang w:eastAsia="lt-LT"/>
              </w:rPr>
            </w:pPr>
            <w:r w:rsidRPr="00FB49FF">
              <w:rPr>
                <w:b/>
                <w:szCs w:val="22"/>
                <w:lang w:eastAsia="lt-LT"/>
              </w:rPr>
              <w:t>valstybės finansams</w:t>
            </w:r>
          </w:p>
        </w:tc>
        <w:tc>
          <w:tcPr>
            <w:tcW w:w="6979" w:type="dxa"/>
            <w:shd w:val="clear" w:color="auto" w:fill="auto"/>
          </w:tcPr>
          <w:p w14:paraId="140287BA" w14:textId="60E30594" w:rsidR="00D81EAE" w:rsidRPr="00AB3848" w:rsidRDefault="00952BB6" w:rsidP="00167EEC">
            <w:pPr>
              <w:spacing w:line="360" w:lineRule="auto"/>
              <w:jc w:val="both"/>
            </w:pPr>
            <w:r w:rsidRPr="00952BB6">
              <w:t xml:space="preserve">Atskaičius aukciono organizavimo, priverstinės hipotekos nustatymo ir įregistravimo, žemėtvarkos projekto ir žemės sklypo plano parengimo </w:t>
            </w:r>
            <w:r w:rsidRPr="00952BB6">
              <w:lastRenderedPageBreak/>
              <w:t xml:space="preserve">išlaidas, likusi suma už aukcione parduodamus valstybinius žemės sklypus bus pervedama į </w:t>
            </w:r>
            <w:r w:rsidR="00F411C9">
              <w:t>v</w:t>
            </w:r>
            <w:r w:rsidRPr="00952BB6">
              <w:t>alstybės biudžetą.</w:t>
            </w:r>
          </w:p>
        </w:tc>
      </w:tr>
      <w:bookmarkEnd w:id="3"/>
      <w:tr w:rsidR="00D81EAE" w:rsidRPr="00FB49FF" w14:paraId="3AB43388" w14:textId="77777777" w:rsidTr="00CA3E0A">
        <w:tc>
          <w:tcPr>
            <w:tcW w:w="2660" w:type="dxa"/>
            <w:shd w:val="clear" w:color="auto" w:fill="auto"/>
          </w:tcPr>
          <w:p w14:paraId="4EE85A21" w14:textId="77777777" w:rsidR="00CA3E0A" w:rsidRPr="00FB49FF" w:rsidRDefault="00D81EAE" w:rsidP="00CA3E0A">
            <w:pPr>
              <w:rPr>
                <w:szCs w:val="22"/>
                <w:lang w:eastAsia="lt-LT"/>
              </w:rPr>
            </w:pPr>
            <w:r w:rsidRPr="00FB49FF">
              <w:rPr>
                <w:b/>
              </w:rPr>
              <w:lastRenderedPageBreak/>
              <w:t>Poveikis administracinei naštai</w:t>
            </w:r>
          </w:p>
        </w:tc>
        <w:tc>
          <w:tcPr>
            <w:tcW w:w="6979" w:type="dxa"/>
            <w:shd w:val="clear" w:color="auto" w:fill="auto"/>
          </w:tcPr>
          <w:p w14:paraId="42D684DF" w14:textId="77777777" w:rsidR="00D81EAE" w:rsidRPr="00FB49FF" w:rsidRDefault="00CA3E0A" w:rsidP="0079340B">
            <w:pPr>
              <w:jc w:val="both"/>
              <w:rPr>
                <w:szCs w:val="24"/>
              </w:rPr>
            </w:pPr>
            <w:r w:rsidRPr="00FB49FF">
              <w:rPr>
                <w:szCs w:val="24"/>
              </w:rPr>
              <w:t>Nenumatoma.</w:t>
            </w:r>
          </w:p>
        </w:tc>
      </w:tr>
    </w:tbl>
    <w:p w14:paraId="2E29BE0D" w14:textId="77777777" w:rsidR="00CA3E0A" w:rsidRPr="00FB49FF" w:rsidRDefault="00CA3E0A" w:rsidP="00D81EAE">
      <w:pPr>
        <w:contextualSpacing/>
        <w:jc w:val="both"/>
        <w:rPr>
          <w:b/>
          <w:szCs w:val="24"/>
        </w:rPr>
      </w:pPr>
    </w:p>
    <w:p w14:paraId="126CC3CE" w14:textId="77777777" w:rsidR="00AA3423" w:rsidRPr="00FB49FF" w:rsidRDefault="00AA3423" w:rsidP="00D81EAE">
      <w:pPr>
        <w:contextualSpacing/>
        <w:jc w:val="both"/>
        <w:rPr>
          <w:b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B49FF" w:rsidRPr="00FB49FF" w14:paraId="79C42077" w14:textId="77777777" w:rsidTr="00CA3E0A">
        <w:trPr>
          <w:trHeight w:val="414"/>
        </w:trPr>
        <w:tc>
          <w:tcPr>
            <w:tcW w:w="9639" w:type="dxa"/>
            <w:vMerge w:val="restart"/>
            <w:shd w:val="clear" w:color="auto" w:fill="auto"/>
          </w:tcPr>
          <w:p w14:paraId="71A06975" w14:textId="77777777" w:rsidR="00CA3E0A" w:rsidRPr="00FB49FF" w:rsidRDefault="00CA3E0A" w:rsidP="00CA3E0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lt-LT"/>
              </w:rPr>
            </w:pPr>
            <w:r w:rsidRPr="00FB49FF">
              <w:rPr>
                <w:b/>
                <w:szCs w:val="22"/>
                <w:lang w:eastAsia="lt-LT"/>
              </w:rPr>
              <w:t>Kita svarbi informacija</w:t>
            </w:r>
            <w:r w:rsidRPr="00FB49FF">
              <w:rPr>
                <w:szCs w:val="24"/>
                <w:lang w:eastAsia="lt-LT"/>
              </w:rPr>
              <w:t xml:space="preserve"> </w:t>
            </w:r>
          </w:p>
          <w:p w14:paraId="51200D6A" w14:textId="3AC9F409" w:rsidR="0040275D" w:rsidRDefault="0040275D" w:rsidP="00167E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 šio projekto įgyvendinimą yra atsakinga Žemės ūkio ministerija, kuri</w:t>
            </w:r>
            <w:r w:rsidR="00F411C9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konsultuodamasi su suinteresuotomis pusėmis</w:t>
            </w:r>
            <w:r w:rsidR="00DA326C">
              <w:rPr>
                <w:szCs w:val="24"/>
                <w:lang w:eastAsia="lt-LT"/>
              </w:rPr>
              <w:t xml:space="preserve"> (bendrijų sodų susivienijimais)</w:t>
            </w:r>
            <w:r>
              <w:rPr>
                <w:szCs w:val="24"/>
                <w:lang w:eastAsia="lt-LT"/>
              </w:rPr>
              <w:t xml:space="preserve"> ir visuomene</w:t>
            </w:r>
            <w:r w:rsidR="00F411C9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atsižvelgė į pateiktus pasiūlymus ir patikslino įstatymų projektus.</w:t>
            </w:r>
          </w:p>
          <w:p w14:paraId="31FAB37A" w14:textId="00351229" w:rsidR="00BC4D83" w:rsidRPr="00FB49FF" w:rsidRDefault="0040275D" w:rsidP="0040275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Cs w:val="22"/>
                <w:lang w:eastAsia="lt-LT"/>
              </w:rPr>
            </w:pPr>
            <w:r w:rsidRPr="00BC4D83">
              <w:rPr>
                <w:szCs w:val="24"/>
                <w:lang w:eastAsia="lt-LT"/>
              </w:rPr>
              <w:t>Įvertinus galimas alternatyvas</w:t>
            </w:r>
            <w:r>
              <w:rPr>
                <w:szCs w:val="24"/>
                <w:lang w:eastAsia="lt-LT"/>
              </w:rPr>
              <w:t xml:space="preserve"> dėl </w:t>
            </w:r>
            <w:r w:rsidRPr="00561AD7">
              <w:rPr>
                <w:szCs w:val="24"/>
              </w:rPr>
              <w:t>valstybinės žemės sklypų, kurie teisės aktų nustatyta tvarka buvo</w:t>
            </w:r>
            <w:r>
              <w:rPr>
                <w:szCs w:val="24"/>
              </w:rPr>
              <w:t xml:space="preserve"> suteikti</w:t>
            </w:r>
            <w:r>
              <w:t xml:space="preserve"> </w:t>
            </w:r>
            <w:r w:rsidRPr="0040275D">
              <w:rPr>
                <w:szCs w:val="24"/>
              </w:rPr>
              <w:t>individualiam mėgėjų sodo sklypų naudojimui</w:t>
            </w:r>
            <w:r>
              <w:rPr>
                <w:szCs w:val="24"/>
              </w:rPr>
              <w:t xml:space="preserve">, </w:t>
            </w:r>
            <w:r w:rsidRPr="0040275D">
              <w:rPr>
                <w:szCs w:val="24"/>
              </w:rPr>
              <w:t xml:space="preserve"> individualiems gyvenamiesiems namams statyti miesto ir kaimo gyvenamosiose vietovėse,</w:t>
            </w:r>
            <w:r w:rsidR="00021E57">
              <w:rPr>
                <w:szCs w:val="24"/>
              </w:rPr>
              <w:t xml:space="preserve"> asmeniniam ūkiui,</w:t>
            </w:r>
            <w:r w:rsidRPr="0040275D">
              <w:rPr>
                <w:szCs w:val="24"/>
              </w:rPr>
              <w:t xml:space="preserve"> bet už juos nebuvo įmokėtos įmokos valstybės vienkartinėmis išmokomis ar pinigais, jie nėra išnuomoti ir juose nėra pastatytų ar statomų statinių, nuo 2023 m. sausio 1 d., nekeičiant numatytos žemės naudojimo paskirties ir būdo,  aukciono būdu gal</w:t>
            </w:r>
            <w:r w:rsidR="00021E57">
              <w:rPr>
                <w:szCs w:val="24"/>
              </w:rPr>
              <w:t>ės</w:t>
            </w:r>
            <w:r w:rsidRPr="0040275D">
              <w:rPr>
                <w:szCs w:val="24"/>
              </w:rPr>
              <w:t xml:space="preserve"> įsigyti kiti asmenys.</w:t>
            </w:r>
            <w:r w:rsidRPr="0040275D">
              <w:rPr>
                <w:szCs w:val="24"/>
                <w:lang w:val="en-US" w:eastAsia="lt-LT"/>
              </w:rPr>
              <w:t xml:space="preserve"> </w:t>
            </w:r>
          </w:p>
        </w:tc>
      </w:tr>
      <w:tr w:rsidR="00FB49FF" w:rsidRPr="00FB49FF" w14:paraId="4DEB27E6" w14:textId="77777777" w:rsidTr="00CA3E0A">
        <w:trPr>
          <w:trHeight w:val="285"/>
        </w:trPr>
        <w:tc>
          <w:tcPr>
            <w:tcW w:w="9639" w:type="dxa"/>
            <w:vMerge/>
            <w:shd w:val="clear" w:color="auto" w:fill="auto"/>
          </w:tcPr>
          <w:p w14:paraId="741E6A91" w14:textId="77777777" w:rsidR="00CA3E0A" w:rsidRPr="00FB49FF" w:rsidRDefault="00CA3E0A" w:rsidP="00CA3E0A">
            <w:pPr>
              <w:rPr>
                <w:b/>
                <w:szCs w:val="22"/>
                <w:lang w:eastAsia="lt-LT"/>
              </w:rPr>
            </w:pPr>
          </w:p>
        </w:tc>
      </w:tr>
      <w:tr w:rsidR="00CA3E0A" w:rsidRPr="00FB49FF" w14:paraId="63578504" w14:textId="77777777" w:rsidTr="00CA3E0A">
        <w:trPr>
          <w:trHeight w:val="285"/>
        </w:trPr>
        <w:tc>
          <w:tcPr>
            <w:tcW w:w="9639" w:type="dxa"/>
            <w:vMerge/>
            <w:shd w:val="clear" w:color="auto" w:fill="auto"/>
          </w:tcPr>
          <w:p w14:paraId="516679B2" w14:textId="77777777" w:rsidR="00CA3E0A" w:rsidRPr="00FB49FF" w:rsidRDefault="00CA3E0A" w:rsidP="00CA3E0A">
            <w:pPr>
              <w:rPr>
                <w:b/>
                <w:szCs w:val="22"/>
                <w:lang w:eastAsia="lt-LT"/>
              </w:rPr>
            </w:pPr>
          </w:p>
        </w:tc>
      </w:tr>
    </w:tbl>
    <w:p w14:paraId="2F96E51D" w14:textId="77777777" w:rsidR="008278CA" w:rsidRPr="00FB49FF" w:rsidRDefault="008278CA" w:rsidP="008278CA">
      <w:pPr>
        <w:spacing w:before="100" w:beforeAutospacing="1" w:after="100" w:afterAutospacing="1"/>
        <w:contextualSpacing/>
        <w:jc w:val="both"/>
        <w:rPr>
          <w:b/>
          <w:szCs w:val="24"/>
          <w:lang w:eastAsia="lt-LT"/>
        </w:rPr>
      </w:pPr>
    </w:p>
    <w:p w14:paraId="4AE04A46" w14:textId="77777777" w:rsidR="00D81EAE" w:rsidRPr="00FB49FF" w:rsidRDefault="00D81EAE" w:rsidP="00CA3E0A">
      <w:pPr>
        <w:spacing w:before="100" w:beforeAutospacing="1" w:after="100" w:afterAutospacing="1"/>
        <w:contextualSpacing/>
        <w:jc w:val="both"/>
        <w:rPr>
          <w:b/>
          <w:szCs w:val="22"/>
          <w:lang w:eastAsia="lt-LT"/>
        </w:rPr>
      </w:pPr>
      <w:r w:rsidRPr="00FB49FF">
        <w:rPr>
          <w:b/>
          <w:szCs w:val="22"/>
          <w:lang w:eastAsia="lt-LT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7"/>
        <w:gridCol w:w="6649"/>
      </w:tblGrid>
      <w:tr w:rsidR="00FB49FF" w:rsidRPr="00FB49FF" w14:paraId="3175388D" w14:textId="77777777" w:rsidTr="00A405A2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98E36E0" w14:textId="77777777" w:rsidR="00CA3E0A" w:rsidRPr="00FB49FF" w:rsidRDefault="00CA3E0A" w:rsidP="00CA3E0A">
            <w:pPr>
              <w:pStyle w:val="ListParagraph1"/>
              <w:ind w:left="0"/>
              <w:rPr>
                <w:szCs w:val="24"/>
              </w:rPr>
            </w:pPr>
            <w:r w:rsidRPr="00FB49FF">
              <w:rPr>
                <w:szCs w:val="24"/>
              </w:rPr>
              <w:t>Vardas ir pavardė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FDBE1E0" w14:textId="555A7025" w:rsidR="00CA3E0A" w:rsidRPr="00FB49FF" w:rsidRDefault="00FC338A" w:rsidP="00CA3E0A">
            <w:pPr>
              <w:pStyle w:val="ListParagraph1"/>
              <w:ind w:left="0"/>
              <w:rPr>
                <w:szCs w:val="24"/>
              </w:rPr>
            </w:pPr>
            <w:r w:rsidRPr="00FB49FF">
              <w:rPr>
                <w:szCs w:val="24"/>
              </w:rPr>
              <w:t>Lina Aniūnienė</w:t>
            </w:r>
          </w:p>
        </w:tc>
      </w:tr>
      <w:tr w:rsidR="00FB49FF" w:rsidRPr="00FB49FF" w14:paraId="4B79B2C5" w14:textId="77777777" w:rsidTr="00A405A2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9073B88" w14:textId="77777777" w:rsidR="00CA3E0A" w:rsidRPr="00FB49FF" w:rsidRDefault="00CA3E0A" w:rsidP="00CA3E0A">
            <w:pPr>
              <w:pStyle w:val="ListParagraph1"/>
              <w:ind w:left="0"/>
              <w:rPr>
                <w:b/>
                <w:szCs w:val="24"/>
              </w:rPr>
            </w:pPr>
            <w:r w:rsidRPr="00FB49FF">
              <w:rPr>
                <w:szCs w:val="24"/>
              </w:rPr>
              <w:t>Pareigos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583C718" w14:textId="2C19CAE0" w:rsidR="00CA3E0A" w:rsidRPr="00FB49FF" w:rsidRDefault="00F168B4" w:rsidP="00CA3E0A">
            <w:pPr>
              <w:pStyle w:val="ListParagraph1"/>
              <w:ind w:left="0"/>
              <w:jc w:val="both"/>
              <w:rPr>
                <w:szCs w:val="24"/>
              </w:rPr>
            </w:pPr>
            <w:r w:rsidRPr="00FB49FF">
              <w:rPr>
                <w:szCs w:val="24"/>
              </w:rPr>
              <w:t>V</w:t>
            </w:r>
            <w:r w:rsidR="00D2182E">
              <w:rPr>
                <w:szCs w:val="24"/>
              </w:rPr>
              <w:t>yriausioji specialistė</w:t>
            </w:r>
          </w:p>
        </w:tc>
      </w:tr>
      <w:tr w:rsidR="00FB49FF" w:rsidRPr="00FB49FF" w14:paraId="01958A33" w14:textId="77777777" w:rsidTr="00A405A2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6CBFB3F" w14:textId="77777777" w:rsidR="00CA3E0A" w:rsidRPr="00FB49FF" w:rsidRDefault="00CA3E0A" w:rsidP="00CA3E0A">
            <w:pPr>
              <w:pStyle w:val="ListParagraph1"/>
              <w:ind w:left="0"/>
              <w:rPr>
                <w:b/>
                <w:szCs w:val="24"/>
              </w:rPr>
            </w:pPr>
            <w:r w:rsidRPr="00FB49FF">
              <w:rPr>
                <w:szCs w:val="24"/>
              </w:rPr>
              <w:t>Institucija (padalinys)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A7264E6" w14:textId="4252BE65" w:rsidR="00CA3E0A" w:rsidRPr="00FB49FF" w:rsidRDefault="00CA3E0A" w:rsidP="00CA3E0A">
            <w:pPr>
              <w:pStyle w:val="ListParagraph1"/>
              <w:ind w:left="0"/>
              <w:jc w:val="both"/>
              <w:rPr>
                <w:szCs w:val="24"/>
              </w:rPr>
            </w:pPr>
            <w:r w:rsidRPr="00FB49FF">
              <w:rPr>
                <w:szCs w:val="24"/>
              </w:rPr>
              <w:t>Žemės ūkio ministerijos Nekilnojamojo turto kadastro</w:t>
            </w:r>
            <w:r w:rsidR="00FC338A" w:rsidRPr="00FB49FF">
              <w:rPr>
                <w:szCs w:val="24"/>
              </w:rPr>
              <w:t xml:space="preserve"> ir </w:t>
            </w:r>
            <w:r w:rsidRPr="00FB49FF">
              <w:rPr>
                <w:szCs w:val="24"/>
              </w:rPr>
              <w:t>geodezijos skyrius</w:t>
            </w:r>
          </w:p>
        </w:tc>
      </w:tr>
      <w:tr w:rsidR="00CA3E0A" w:rsidRPr="00FB49FF" w14:paraId="2859B06F" w14:textId="77777777" w:rsidTr="00A405A2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0E3744F" w14:textId="77777777" w:rsidR="00CA3E0A" w:rsidRPr="00FB49FF" w:rsidRDefault="00CA3E0A" w:rsidP="00CA3E0A">
            <w:pPr>
              <w:pStyle w:val="ListParagraph1"/>
              <w:ind w:left="0"/>
              <w:rPr>
                <w:szCs w:val="24"/>
              </w:rPr>
            </w:pPr>
            <w:r w:rsidRPr="00FB49FF">
              <w:rPr>
                <w:szCs w:val="24"/>
              </w:rPr>
              <w:t>Telefono numeris ir elektroninio pašto adresas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0F1D3DE" w14:textId="04F329BC" w:rsidR="00CA3E0A" w:rsidRPr="00FB49FF" w:rsidRDefault="00FC338A" w:rsidP="00F168B4">
            <w:pPr>
              <w:pStyle w:val="ListParagraph1"/>
              <w:ind w:left="0"/>
              <w:jc w:val="both"/>
              <w:rPr>
                <w:szCs w:val="24"/>
                <w:lang w:val="en-US"/>
              </w:rPr>
            </w:pPr>
            <w:r w:rsidRPr="00FB49FF">
              <w:rPr>
                <w:lang w:eastAsia="lt-LT"/>
              </w:rPr>
              <w:t>8 617 50 841</w:t>
            </w:r>
            <w:r w:rsidRPr="00FB49FF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="00CA3E0A" w:rsidRPr="00FB49FF">
              <w:rPr>
                <w:szCs w:val="24"/>
              </w:rPr>
              <w:t xml:space="preserve">, el. p. </w:t>
            </w:r>
            <w:proofErr w:type="spellStart"/>
            <w:r w:rsidR="00F168B4" w:rsidRPr="00FB49FF">
              <w:rPr>
                <w:szCs w:val="24"/>
              </w:rPr>
              <w:t>lina.</w:t>
            </w:r>
            <w:r w:rsidRPr="00FB49FF">
              <w:rPr>
                <w:szCs w:val="24"/>
              </w:rPr>
              <w:t>aniun</w:t>
            </w:r>
            <w:r w:rsidR="00F168B4" w:rsidRPr="00FB49FF">
              <w:rPr>
                <w:szCs w:val="24"/>
              </w:rPr>
              <w:t>iene</w:t>
            </w:r>
            <w:proofErr w:type="spellEnd"/>
            <w:r w:rsidR="00CA3E0A" w:rsidRPr="00FB49FF">
              <w:rPr>
                <w:szCs w:val="24"/>
                <w:lang w:val="en-US"/>
              </w:rPr>
              <w:t>@</w:t>
            </w:r>
            <w:proofErr w:type="spellStart"/>
            <w:r w:rsidR="00CA3E0A" w:rsidRPr="00FB49FF">
              <w:rPr>
                <w:szCs w:val="24"/>
                <w:lang w:val="en-US"/>
              </w:rPr>
              <w:t>zum.lt</w:t>
            </w:r>
            <w:proofErr w:type="spellEnd"/>
          </w:p>
        </w:tc>
      </w:tr>
    </w:tbl>
    <w:p w14:paraId="13D2626D" w14:textId="77777777" w:rsidR="00347524" w:rsidRPr="00FB49FF" w:rsidRDefault="00347524" w:rsidP="00A405A2">
      <w:pPr>
        <w:spacing w:line="360" w:lineRule="auto"/>
        <w:rPr>
          <w:szCs w:val="24"/>
        </w:rPr>
      </w:pPr>
    </w:p>
    <w:sectPr w:rsidR="00347524" w:rsidRPr="00FB49FF" w:rsidSect="008278CA">
      <w:headerReference w:type="default" r:id="rId8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C09CD" w14:textId="77777777" w:rsidR="004C3766" w:rsidRDefault="004C3766">
      <w:r>
        <w:separator/>
      </w:r>
    </w:p>
  </w:endnote>
  <w:endnote w:type="continuationSeparator" w:id="0">
    <w:p w14:paraId="0E71A66F" w14:textId="77777777" w:rsidR="004C3766" w:rsidRDefault="004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A10AB" w14:textId="77777777" w:rsidR="004C3766" w:rsidRDefault="004C3766">
      <w:r>
        <w:separator/>
      </w:r>
    </w:p>
  </w:footnote>
  <w:footnote w:type="continuationSeparator" w:id="0">
    <w:p w14:paraId="349709B2" w14:textId="77777777" w:rsidR="004C3766" w:rsidRDefault="004C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6A9BF" w14:textId="4964C79A" w:rsidR="00CA3E0A" w:rsidRDefault="00D90D3C">
    <w:pPr>
      <w:pStyle w:val="Antrats"/>
      <w:jc w:val="center"/>
    </w:pPr>
    <w:r>
      <w:fldChar w:fldCharType="begin"/>
    </w:r>
    <w:r w:rsidR="00687E68">
      <w:instrText xml:space="preserve"> PAGE   \* MERGEFORMAT </w:instrText>
    </w:r>
    <w:r>
      <w:fldChar w:fldCharType="separate"/>
    </w:r>
    <w:r w:rsidR="00BC4D83">
      <w:rPr>
        <w:noProof/>
      </w:rPr>
      <w:t>2</w:t>
    </w:r>
    <w:r>
      <w:rPr>
        <w:noProof/>
      </w:rPr>
      <w:fldChar w:fldCharType="end"/>
    </w:r>
  </w:p>
  <w:p w14:paraId="457AB610" w14:textId="77777777" w:rsidR="00CA3E0A" w:rsidRDefault="00CA3E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87721"/>
    <w:multiLevelType w:val="hybridMultilevel"/>
    <w:tmpl w:val="CDF4C2F0"/>
    <w:lvl w:ilvl="0" w:tplc="565447F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5E0658E"/>
    <w:multiLevelType w:val="hybridMultilevel"/>
    <w:tmpl w:val="C58AC6DE"/>
    <w:lvl w:ilvl="0" w:tplc="93F49F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73"/>
    <w:rsid w:val="00000D25"/>
    <w:rsid w:val="00002850"/>
    <w:rsid w:val="00002EF0"/>
    <w:rsid w:val="000032FB"/>
    <w:rsid w:val="000053DE"/>
    <w:rsid w:val="00016E18"/>
    <w:rsid w:val="00021E57"/>
    <w:rsid w:val="00027A03"/>
    <w:rsid w:val="00030129"/>
    <w:rsid w:val="00033365"/>
    <w:rsid w:val="0004560A"/>
    <w:rsid w:val="000525B6"/>
    <w:rsid w:val="00055EA2"/>
    <w:rsid w:val="00060090"/>
    <w:rsid w:val="000640E6"/>
    <w:rsid w:val="000708C0"/>
    <w:rsid w:val="00073FBD"/>
    <w:rsid w:val="000759D0"/>
    <w:rsid w:val="00095612"/>
    <w:rsid w:val="0009591E"/>
    <w:rsid w:val="00097361"/>
    <w:rsid w:val="000A07ED"/>
    <w:rsid w:val="000A5128"/>
    <w:rsid w:val="000B4BA3"/>
    <w:rsid w:val="000C4420"/>
    <w:rsid w:val="000D09A2"/>
    <w:rsid w:val="000D778A"/>
    <w:rsid w:val="000E0ECA"/>
    <w:rsid w:val="000E4A6E"/>
    <w:rsid w:val="000E514D"/>
    <w:rsid w:val="000F22F1"/>
    <w:rsid w:val="000F61BA"/>
    <w:rsid w:val="000F7D77"/>
    <w:rsid w:val="0010049F"/>
    <w:rsid w:val="00104908"/>
    <w:rsid w:val="00114C45"/>
    <w:rsid w:val="001241E2"/>
    <w:rsid w:val="00132667"/>
    <w:rsid w:val="0013421A"/>
    <w:rsid w:val="00142961"/>
    <w:rsid w:val="00144325"/>
    <w:rsid w:val="00144ED2"/>
    <w:rsid w:val="00150E2E"/>
    <w:rsid w:val="00162538"/>
    <w:rsid w:val="00167895"/>
    <w:rsid w:val="00167EEC"/>
    <w:rsid w:val="0017132D"/>
    <w:rsid w:val="001738BF"/>
    <w:rsid w:val="00173E09"/>
    <w:rsid w:val="00175C18"/>
    <w:rsid w:val="00176E2C"/>
    <w:rsid w:val="001A1E0A"/>
    <w:rsid w:val="001A7C1D"/>
    <w:rsid w:val="001B06E6"/>
    <w:rsid w:val="001B518E"/>
    <w:rsid w:val="001C4746"/>
    <w:rsid w:val="001D1627"/>
    <w:rsid w:val="001D318E"/>
    <w:rsid w:val="001D38AB"/>
    <w:rsid w:val="001D6E67"/>
    <w:rsid w:val="001D771A"/>
    <w:rsid w:val="001D7D19"/>
    <w:rsid w:val="001E2FC4"/>
    <w:rsid w:val="001E48C1"/>
    <w:rsid w:val="001E69B4"/>
    <w:rsid w:val="001F009C"/>
    <w:rsid w:val="001F06CE"/>
    <w:rsid w:val="001F1009"/>
    <w:rsid w:val="001F406E"/>
    <w:rsid w:val="001F6008"/>
    <w:rsid w:val="00200292"/>
    <w:rsid w:val="00201744"/>
    <w:rsid w:val="00210188"/>
    <w:rsid w:val="0021188A"/>
    <w:rsid w:val="00220BA2"/>
    <w:rsid w:val="00224AE1"/>
    <w:rsid w:val="00226924"/>
    <w:rsid w:val="00227529"/>
    <w:rsid w:val="002350A7"/>
    <w:rsid w:val="00237C53"/>
    <w:rsid w:val="00244515"/>
    <w:rsid w:val="00244FA0"/>
    <w:rsid w:val="0025322F"/>
    <w:rsid w:val="0025644A"/>
    <w:rsid w:val="00260AE1"/>
    <w:rsid w:val="002A17C6"/>
    <w:rsid w:val="002A1C83"/>
    <w:rsid w:val="002A4377"/>
    <w:rsid w:val="002A44EB"/>
    <w:rsid w:val="002A5C1C"/>
    <w:rsid w:val="002B3FC3"/>
    <w:rsid w:val="002B5C41"/>
    <w:rsid w:val="002C03EF"/>
    <w:rsid w:val="002C6240"/>
    <w:rsid w:val="002E0F45"/>
    <w:rsid w:val="002E1E93"/>
    <w:rsid w:val="002F127F"/>
    <w:rsid w:val="002F2CAA"/>
    <w:rsid w:val="002F2FD6"/>
    <w:rsid w:val="002F5658"/>
    <w:rsid w:val="00305CC3"/>
    <w:rsid w:val="00306771"/>
    <w:rsid w:val="00307F65"/>
    <w:rsid w:val="00310612"/>
    <w:rsid w:val="00313E1D"/>
    <w:rsid w:val="00317100"/>
    <w:rsid w:val="003243F1"/>
    <w:rsid w:val="0033041A"/>
    <w:rsid w:val="00334648"/>
    <w:rsid w:val="00336679"/>
    <w:rsid w:val="00342D52"/>
    <w:rsid w:val="0034460E"/>
    <w:rsid w:val="00344941"/>
    <w:rsid w:val="00347524"/>
    <w:rsid w:val="00347EE2"/>
    <w:rsid w:val="00350D40"/>
    <w:rsid w:val="0035366C"/>
    <w:rsid w:val="003566CB"/>
    <w:rsid w:val="00357BFC"/>
    <w:rsid w:val="00360DE2"/>
    <w:rsid w:val="00362B8C"/>
    <w:rsid w:val="0036491D"/>
    <w:rsid w:val="003749C0"/>
    <w:rsid w:val="00376225"/>
    <w:rsid w:val="00384F09"/>
    <w:rsid w:val="00392EDA"/>
    <w:rsid w:val="00394D65"/>
    <w:rsid w:val="003A3BAC"/>
    <w:rsid w:val="003A3FA4"/>
    <w:rsid w:val="003A7DAE"/>
    <w:rsid w:val="003B29E2"/>
    <w:rsid w:val="003C2FEE"/>
    <w:rsid w:val="003D16DA"/>
    <w:rsid w:val="003F522C"/>
    <w:rsid w:val="0040275D"/>
    <w:rsid w:val="00412827"/>
    <w:rsid w:val="00421D36"/>
    <w:rsid w:val="004231AB"/>
    <w:rsid w:val="0042671C"/>
    <w:rsid w:val="004310DF"/>
    <w:rsid w:val="00434ACC"/>
    <w:rsid w:val="00436613"/>
    <w:rsid w:val="00437A9C"/>
    <w:rsid w:val="00446908"/>
    <w:rsid w:val="00454AC2"/>
    <w:rsid w:val="00456D70"/>
    <w:rsid w:val="00462902"/>
    <w:rsid w:val="00462D9B"/>
    <w:rsid w:val="00465ED0"/>
    <w:rsid w:val="004661FE"/>
    <w:rsid w:val="00471C79"/>
    <w:rsid w:val="0049189C"/>
    <w:rsid w:val="00493579"/>
    <w:rsid w:val="00496D2B"/>
    <w:rsid w:val="004A3701"/>
    <w:rsid w:val="004B2423"/>
    <w:rsid w:val="004B32EF"/>
    <w:rsid w:val="004B347A"/>
    <w:rsid w:val="004B4102"/>
    <w:rsid w:val="004B7D68"/>
    <w:rsid w:val="004C1AC2"/>
    <w:rsid w:val="004C3766"/>
    <w:rsid w:val="004C5CD0"/>
    <w:rsid w:val="004C6C3D"/>
    <w:rsid w:val="004D0FE3"/>
    <w:rsid w:val="004D33BA"/>
    <w:rsid w:val="004E1665"/>
    <w:rsid w:val="004E50C1"/>
    <w:rsid w:val="004F0B41"/>
    <w:rsid w:val="004F6712"/>
    <w:rsid w:val="004F7528"/>
    <w:rsid w:val="00500AE4"/>
    <w:rsid w:val="00512ADC"/>
    <w:rsid w:val="005141AC"/>
    <w:rsid w:val="00514660"/>
    <w:rsid w:val="005161A6"/>
    <w:rsid w:val="0053149A"/>
    <w:rsid w:val="005329F7"/>
    <w:rsid w:val="00532AC2"/>
    <w:rsid w:val="00535D3F"/>
    <w:rsid w:val="00537D71"/>
    <w:rsid w:val="00540BA2"/>
    <w:rsid w:val="00542C36"/>
    <w:rsid w:val="00547419"/>
    <w:rsid w:val="00547726"/>
    <w:rsid w:val="00547B94"/>
    <w:rsid w:val="00551CB4"/>
    <w:rsid w:val="00554296"/>
    <w:rsid w:val="00554553"/>
    <w:rsid w:val="00560376"/>
    <w:rsid w:val="00561AD7"/>
    <w:rsid w:val="00561EF0"/>
    <w:rsid w:val="005649D7"/>
    <w:rsid w:val="00574270"/>
    <w:rsid w:val="005811CC"/>
    <w:rsid w:val="005822FD"/>
    <w:rsid w:val="00583593"/>
    <w:rsid w:val="00587CF5"/>
    <w:rsid w:val="005949EF"/>
    <w:rsid w:val="005A6CF5"/>
    <w:rsid w:val="005B1535"/>
    <w:rsid w:val="005B3C86"/>
    <w:rsid w:val="005B6426"/>
    <w:rsid w:val="005C44E0"/>
    <w:rsid w:val="005E138C"/>
    <w:rsid w:val="005E7202"/>
    <w:rsid w:val="005F1DFF"/>
    <w:rsid w:val="00600674"/>
    <w:rsid w:val="00600995"/>
    <w:rsid w:val="00623575"/>
    <w:rsid w:val="006236C8"/>
    <w:rsid w:val="006275BA"/>
    <w:rsid w:val="006306E5"/>
    <w:rsid w:val="006324CF"/>
    <w:rsid w:val="006377DF"/>
    <w:rsid w:val="006608DD"/>
    <w:rsid w:val="0067503E"/>
    <w:rsid w:val="00687E68"/>
    <w:rsid w:val="00692D63"/>
    <w:rsid w:val="006967E7"/>
    <w:rsid w:val="006A2F9F"/>
    <w:rsid w:val="006B0DB2"/>
    <w:rsid w:val="006C7223"/>
    <w:rsid w:val="006D1F65"/>
    <w:rsid w:val="006E53D2"/>
    <w:rsid w:val="006F598F"/>
    <w:rsid w:val="006F5C36"/>
    <w:rsid w:val="006F7869"/>
    <w:rsid w:val="007045CE"/>
    <w:rsid w:val="007162E1"/>
    <w:rsid w:val="00722AFC"/>
    <w:rsid w:val="00726658"/>
    <w:rsid w:val="00736E9F"/>
    <w:rsid w:val="0074572F"/>
    <w:rsid w:val="007501F5"/>
    <w:rsid w:val="00754E9E"/>
    <w:rsid w:val="007607EF"/>
    <w:rsid w:val="00760A07"/>
    <w:rsid w:val="00761806"/>
    <w:rsid w:val="00762254"/>
    <w:rsid w:val="00764730"/>
    <w:rsid w:val="00765D70"/>
    <w:rsid w:val="00767CF9"/>
    <w:rsid w:val="00771332"/>
    <w:rsid w:val="00772BDC"/>
    <w:rsid w:val="00783875"/>
    <w:rsid w:val="00783954"/>
    <w:rsid w:val="0079340B"/>
    <w:rsid w:val="00793516"/>
    <w:rsid w:val="0079680D"/>
    <w:rsid w:val="0079709D"/>
    <w:rsid w:val="007A1550"/>
    <w:rsid w:val="007A2D46"/>
    <w:rsid w:val="007B32C2"/>
    <w:rsid w:val="007B6E61"/>
    <w:rsid w:val="007D11B8"/>
    <w:rsid w:val="007D1912"/>
    <w:rsid w:val="007D4072"/>
    <w:rsid w:val="007D5553"/>
    <w:rsid w:val="007D655A"/>
    <w:rsid w:val="007D7011"/>
    <w:rsid w:val="007D740D"/>
    <w:rsid w:val="0080479E"/>
    <w:rsid w:val="00822722"/>
    <w:rsid w:val="008246DB"/>
    <w:rsid w:val="00824E23"/>
    <w:rsid w:val="008278CA"/>
    <w:rsid w:val="008300CE"/>
    <w:rsid w:val="00835062"/>
    <w:rsid w:val="00844014"/>
    <w:rsid w:val="0085420A"/>
    <w:rsid w:val="008604D0"/>
    <w:rsid w:val="00866B59"/>
    <w:rsid w:val="008677FA"/>
    <w:rsid w:val="008736EF"/>
    <w:rsid w:val="00874FA6"/>
    <w:rsid w:val="00875976"/>
    <w:rsid w:val="00884B88"/>
    <w:rsid w:val="00893698"/>
    <w:rsid w:val="008957CB"/>
    <w:rsid w:val="008A3C76"/>
    <w:rsid w:val="008A74C2"/>
    <w:rsid w:val="008B22B6"/>
    <w:rsid w:val="008B3883"/>
    <w:rsid w:val="008C347A"/>
    <w:rsid w:val="008C3BE9"/>
    <w:rsid w:val="008D0C5E"/>
    <w:rsid w:val="008D42AF"/>
    <w:rsid w:val="008E199F"/>
    <w:rsid w:val="008E705C"/>
    <w:rsid w:val="008E770A"/>
    <w:rsid w:val="008F0694"/>
    <w:rsid w:val="0090127B"/>
    <w:rsid w:val="00904B11"/>
    <w:rsid w:val="009067BF"/>
    <w:rsid w:val="00907D7B"/>
    <w:rsid w:val="009123BC"/>
    <w:rsid w:val="009227CF"/>
    <w:rsid w:val="009254F3"/>
    <w:rsid w:val="00930849"/>
    <w:rsid w:val="0093608D"/>
    <w:rsid w:val="00941757"/>
    <w:rsid w:val="00942C1C"/>
    <w:rsid w:val="00952BB6"/>
    <w:rsid w:val="00970989"/>
    <w:rsid w:val="00980DFB"/>
    <w:rsid w:val="00981394"/>
    <w:rsid w:val="009829A4"/>
    <w:rsid w:val="0098330C"/>
    <w:rsid w:val="00986E29"/>
    <w:rsid w:val="009A6BFC"/>
    <w:rsid w:val="009A72B7"/>
    <w:rsid w:val="009A7995"/>
    <w:rsid w:val="009B0BB9"/>
    <w:rsid w:val="009B229D"/>
    <w:rsid w:val="009B5FFC"/>
    <w:rsid w:val="009C1555"/>
    <w:rsid w:val="009D1A49"/>
    <w:rsid w:val="009D3CC6"/>
    <w:rsid w:val="009D6D0F"/>
    <w:rsid w:val="009F1B04"/>
    <w:rsid w:val="009F4203"/>
    <w:rsid w:val="009F42A0"/>
    <w:rsid w:val="00A11DB2"/>
    <w:rsid w:val="00A12A32"/>
    <w:rsid w:val="00A13BF8"/>
    <w:rsid w:val="00A21706"/>
    <w:rsid w:val="00A2732A"/>
    <w:rsid w:val="00A317E2"/>
    <w:rsid w:val="00A33BD6"/>
    <w:rsid w:val="00A34E1D"/>
    <w:rsid w:val="00A405A2"/>
    <w:rsid w:val="00A42F16"/>
    <w:rsid w:val="00A47F18"/>
    <w:rsid w:val="00A516B7"/>
    <w:rsid w:val="00A66736"/>
    <w:rsid w:val="00A70BC5"/>
    <w:rsid w:val="00A717A7"/>
    <w:rsid w:val="00A75BD3"/>
    <w:rsid w:val="00A90353"/>
    <w:rsid w:val="00AA3423"/>
    <w:rsid w:val="00AA4796"/>
    <w:rsid w:val="00AA7CFD"/>
    <w:rsid w:val="00AB3848"/>
    <w:rsid w:val="00AB54D1"/>
    <w:rsid w:val="00AC0B89"/>
    <w:rsid w:val="00AC2C31"/>
    <w:rsid w:val="00AC4F79"/>
    <w:rsid w:val="00AC7EB0"/>
    <w:rsid w:val="00AD3EE1"/>
    <w:rsid w:val="00AD6983"/>
    <w:rsid w:val="00AE21C0"/>
    <w:rsid w:val="00AF50EA"/>
    <w:rsid w:val="00B02087"/>
    <w:rsid w:val="00B16EBD"/>
    <w:rsid w:val="00B16FC4"/>
    <w:rsid w:val="00B20002"/>
    <w:rsid w:val="00B24442"/>
    <w:rsid w:val="00B41C36"/>
    <w:rsid w:val="00B466C6"/>
    <w:rsid w:val="00B5104F"/>
    <w:rsid w:val="00B56F15"/>
    <w:rsid w:val="00B57684"/>
    <w:rsid w:val="00B713CC"/>
    <w:rsid w:val="00B7355B"/>
    <w:rsid w:val="00B742DB"/>
    <w:rsid w:val="00B77542"/>
    <w:rsid w:val="00B85694"/>
    <w:rsid w:val="00B85AEC"/>
    <w:rsid w:val="00B939A2"/>
    <w:rsid w:val="00BA62BA"/>
    <w:rsid w:val="00BB6C64"/>
    <w:rsid w:val="00BC2357"/>
    <w:rsid w:val="00BC436E"/>
    <w:rsid w:val="00BC4D83"/>
    <w:rsid w:val="00BD2616"/>
    <w:rsid w:val="00BE175C"/>
    <w:rsid w:val="00BE7917"/>
    <w:rsid w:val="00BF7CEA"/>
    <w:rsid w:val="00C0156E"/>
    <w:rsid w:val="00C046F3"/>
    <w:rsid w:val="00C051C1"/>
    <w:rsid w:val="00C07CB5"/>
    <w:rsid w:val="00C15602"/>
    <w:rsid w:val="00C20E4D"/>
    <w:rsid w:val="00C2453B"/>
    <w:rsid w:val="00C33673"/>
    <w:rsid w:val="00C45A42"/>
    <w:rsid w:val="00C5323A"/>
    <w:rsid w:val="00C551DB"/>
    <w:rsid w:val="00C57EBC"/>
    <w:rsid w:val="00C6292C"/>
    <w:rsid w:val="00C71165"/>
    <w:rsid w:val="00C7403B"/>
    <w:rsid w:val="00C7491F"/>
    <w:rsid w:val="00C80219"/>
    <w:rsid w:val="00C922E5"/>
    <w:rsid w:val="00C95A3C"/>
    <w:rsid w:val="00C97EF7"/>
    <w:rsid w:val="00CA0640"/>
    <w:rsid w:val="00CA1CA7"/>
    <w:rsid w:val="00CA363B"/>
    <w:rsid w:val="00CA3E0A"/>
    <w:rsid w:val="00CC31C2"/>
    <w:rsid w:val="00CC392A"/>
    <w:rsid w:val="00CC643D"/>
    <w:rsid w:val="00CC735E"/>
    <w:rsid w:val="00CC7D9B"/>
    <w:rsid w:val="00CD30D4"/>
    <w:rsid w:val="00CD79D6"/>
    <w:rsid w:val="00CF53A9"/>
    <w:rsid w:val="00D009F9"/>
    <w:rsid w:val="00D017CE"/>
    <w:rsid w:val="00D056E6"/>
    <w:rsid w:val="00D120D0"/>
    <w:rsid w:val="00D137EE"/>
    <w:rsid w:val="00D13C2A"/>
    <w:rsid w:val="00D15DE0"/>
    <w:rsid w:val="00D2182E"/>
    <w:rsid w:val="00D25C56"/>
    <w:rsid w:val="00D26472"/>
    <w:rsid w:val="00D333CB"/>
    <w:rsid w:val="00D3536E"/>
    <w:rsid w:val="00D44EC1"/>
    <w:rsid w:val="00D4576B"/>
    <w:rsid w:val="00D55927"/>
    <w:rsid w:val="00D63726"/>
    <w:rsid w:val="00D64774"/>
    <w:rsid w:val="00D72C04"/>
    <w:rsid w:val="00D768A1"/>
    <w:rsid w:val="00D77F8D"/>
    <w:rsid w:val="00D81EAE"/>
    <w:rsid w:val="00D867F2"/>
    <w:rsid w:val="00D90D3C"/>
    <w:rsid w:val="00D93EFF"/>
    <w:rsid w:val="00DA326C"/>
    <w:rsid w:val="00DA53A8"/>
    <w:rsid w:val="00DB732B"/>
    <w:rsid w:val="00DC283D"/>
    <w:rsid w:val="00DC6F48"/>
    <w:rsid w:val="00DC7F22"/>
    <w:rsid w:val="00DD4960"/>
    <w:rsid w:val="00DD7AD4"/>
    <w:rsid w:val="00DE5FFC"/>
    <w:rsid w:val="00DF2262"/>
    <w:rsid w:val="00DF2650"/>
    <w:rsid w:val="00E00ED0"/>
    <w:rsid w:val="00E02020"/>
    <w:rsid w:val="00E0603D"/>
    <w:rsid w:val="00E30F45"/>
    <w:rsid w:val="00E347A4"/>
    <w:rsid w:val="00E36905"/>
    <w:rsid w:val="00E43B3A"/>
    <w:rsid w:val="00E47246"/>
    <w:rsid w:val="00E5290D"/>
    <w:rsid w:val="00E635D6"/>
    <w:rsid w:val="00E65789"/>
    <w:rsid w:val="00E678D4"/>
    <w:rsid w:val="00E67FF0"/>
    <w:rsid w:val="00E71D5F"/>
    <w:rsid w:val="00E731C3"/>
    <w:rsid w:val="00E7539B"/>
    <w:rsid w:val="00E81A18"/>
    <w:rsid w:val="00E8682F"/>
    <w:rsid w:val="00E90D87"/>
    <w:rsid w:val="00E92E2D"/>
    <w:rsid w:val="00E94545"/>
    <w:rsid w:val="00E974C7"/>
    <w:rsid w:val="00EA5236"/>
    <w:rsid w:val="00EB051F"/>
    <w:rsid w:val="00EB2182"/>
    <w:rsid w:val="00EC01F0"/>
    <w:rsid w:val="00EC32EF"/>
    <w:rsid w:val="00ED1E6F"/>
    <w:rsid w:val="00ED492E"/>
    <w:rsid w:val="00ED4EDA"/>
    <w:rsid w:val="00EE30AA"/>
    <w:rsid w:val="00F033B8"/>
    <w:rsid w:val="00F071F5"/>
    <w:rsid w:val="00F168B4"/>
    <w:rsid w:val="00F25272"/>
    <w:rsid w:val="00F2729F"/>
    <w:rsid w:val="00F30D44"/>
    <w:rsid w:val="00F321E5"/>
    <w:rsid w:val="00F33EDD"/>
    <w:rsid w:val="00F34667"/>
    <w:rsid w:val="00F40402"/>
    <w:rsid w:val="00F411C9"/>
    <w:rsid w:val="00F44346"/>
    <w:rsid w:val="00F45611"/>
    <w:rsid w:val="00F562FA"/>
    <w:rsid w:val="00F73A5A"/>
    <w:rsid w:val="00F83A14"/>
    <w:rsid w:val="00F84617"/>
    <w:rsid w:val="00F87FCC"/>
    <w:rsid w:val="00F91970"/>
    <w:rsid w:val="00F9611D"/>
    <w:rsid w:val="00F962AE"/>
    <w:rsid w:val="00FA2474"/>
    <w:rsid w:val="00FA4881"/>
    <w:rsid w:val="00FB49FF"/>
    <w:rsid w:val="00FB4E0F"/>
    <w:rsid w:val="00FB6854"/>
    <w:rsid w:val="00FC2996"/>
    <w:rsid w:val="00FC338A"/>
    <w:rsid w:val="00FC4C0A"/>
    <w:rsid w:val="00FD0538"/>
    <w:rsid w:val="00FD0ADA"/>
    <w:rsid w:val="00FD19DC"/>
    <w:rsid w:val="00FD3908"/>
    <w:rsid w:val="00FD517E"/>
    <w:rsid w:val="00FE27E3"/>
    <w:rsid w:val="00FE34E5"/>
    <w:rsid w:val="00FE7E95"/>
    <w:rsid w:val="00FF3D35"/>
    <w:rsid w:val="00FF3EDD"/>
    <w:rsid w:val="00FF3F12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3CCB8"/>
  <w15:docId w15:val="{16744D51-4941-4AB3-A6CF-6CA86D61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C33673"/>
    <w:rPr>
      <w:sz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C33673"/>
    <w:pPr>
      <w:keepNext/>
      <w:ind w:left="2880" w:firstLine="720"/>
      <w:jc w:val="both"/>
      <w:outlineLvl w:val="2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C33673"/>
    <w:rPr>
      <w:sz w:val="24"/>
      <w:u w:val="single"/>
      <w:lang w:val="lt-LT" w:eastAsia="en-US" w:bidi="ar-SA"/>
    </w:rPr>
  </w:style>
  <w:style w:type="paragraph" w:styleId="Antrats">
    <w:name w:val="header"/>
    <w:basedOn w:val="prastasis"/>
    <w:link w:val="AntratsDiagrama"/>
    <w:rsid w:val="00C3367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C33673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C33673"/>
    <w:pPr>
      <w:spacing w:after="120"/>
    </w:pPr>
  </w:style>
  <w:style w:type="paragraph" w:customStyle="1" w:styleId="WW-BodyText3">
    <w:name w:val="WW-Body Text 3"/>
    <w:basedOn w:val="prastasis"/>
    <w:rsid w:val="002F2CAA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LT" w:eastAsia="Lucida Sans Unicode" w:hAnsi="TimesLT"/>
      <w:b/>
      <w:kern w:val="1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BA62B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LT" w:hAnsi="TimesLT"/>
      <w:lang w:val="en-GB"/>
    </w:rPr>
  </w:style>
  <w:style w:type="character" w:customStyle="1" w:styleId="PagrindiniotekstotraukaDiagrama">
    <w:name w:val="Pagrindinio teksto įtrauka Diagrama"/>
    <w:link w:val="Pagrindiniotekstotrauka"/>
    <w:rsid w:val="00BA62BA"/>
    <w:rPr>
      <w:rFonts w:ascii="TimesLT" w:hAnsi="TimesLT"/>
      <w:sz w:val="24"/>
      <w:lang w:val="en-GB" w:eastAsia="en-US"/>
    </w:rPr>
  </w:style>
  <w:style w:type="character" w:styleId="Rykuspabraukimas">
    <w:name w:val="Intense Emphasis"/>
    <w:uiPriority w:val="21"/>
    <w:qFormat/>
    <w:rsid w:val="001738BF"/>
    <w:rPr>
      <w:b/>
      <w:bCs/>
      <w:i/>
      <w:iCs/>
      <w:color w:val="4F81BD"/>
    </w:rPr>
  </w:style>
  <w:style w:type="paragraph" w:styleId="Debesliotekstas">
    <w:name w:val="Balloon Text"/>
    <w:basedOn w:val="prastasis"/>
    <w:link w:val="DebesliotekstasDiagrama"/>
    <w:rsid w:val="00BB6C64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B6C64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1004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0049F"/>
    <w:rPr>
      <w:sz w:val="20"/>
    </w:rPr>
  </w:style>
  <w:style w:type="character" w:customStyle="1" w:styleId="KomentarotekstasDiagrama">
    <w:name w:val="Komentaro tekstas Diagrama"/>
    <w:link w:val="Komentarotekstas"/>
    <w:rsid w:val="0010049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0049F"/>
    <w:rPr>
      <w:b/>
      <w:bCs/>
    </w:rPr>
  </w:style>
  <w:style w:type="character" w:customStyle="1" w:styleId="KomentarotemaDiagrama">
    <w:name w:val="Komentaro tema Diagrama"/>
    <w:link w:val="Komentarotema"/>
    <w:rsid w:val="0010049F"/>
    <w:rPr>
      <w:b/>
      <w:bCs/>
      <w:lang w:eastAsia="en-US"/>
    </w:rPr>
  </w:style>
  <w:style w:type="paragraph" w:styleId="Betarp">
    <w:name w:val="No Spacing"/>
    <w:uiPriority w:val="1"/>
    <w:qFormat/>
    <w:rsid w:val="004D33BA"/>
    <w:rPr>
      <w:rFonts w:ascii="Calibri" w:eastAsia="Calibri" w:hAnsi="Calibri"/>
      <w:sz w:val="22"/>
      <w:szCs w:val="22"/>
      <w:lang w:val="en-US" w:eastAsia="en-US"/>
    </w:rPr>
  </w:style>
  <w:style w:type="character" w:styleId="Emfaz">
    <w:name w:val="Emphasis"/>
    <w:uiPriority w:val="20"/>
    <w:qFormat/>
    <w:rsid w:val="004D33BA"/>
    <w:rPr>
      <w:i/>
      <w:iCs/>
    </w:rPr>
  </w:style>
  <w:style w:type="character" w:styleId="Hipersaitas">
    <w:name w:val="Hyperlink"/>
    <w:rsid w:val="007B32C2"/>
    <w:rPr>
      <w:color w:val="0000FF"/>
      <w:u w:val="single"/>
    </w:rPr>
  </w:style>
  <w:style w:type="table" w:styleId="Lentelstinklelis">
    <w:name w:val="Table Grid"/>
    <w:basedOn w:val="prastojilentel"/>
    <w:rsid w:val="00BE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prastasis"/>
    <w:uiPriority w:val="99"/>
    <w:rsid w:val="009C1555"/>
    <w:pPr>
      <w:widowControl w:val="0"/>
      <w:autoSpaceDE w:val="0"/>
      <w:autoSpaceDN w:val="0"/>
      <w:adjustRightInd w:val="0"/>
      <w:spacing w:line="415" w:lineRule="exact"/>
      <w:ind w:firstLine="857"/>
      <w:jc w:val="both"/>
    </w:pPr>
    <w:rPr>
      <w:szCs w:val="24"/>
      <w:lang w:eastAsia="lt-LT"/>
    </w:rPr>
  </w:style>
  <w:style w:type="character" w:customStyle="1" w:styleId="FontStyle22">
    <w:name w:val="Font Style22"/>
    <w:uiPriority w:val="99"/>
    <w:rsid w:val="009C155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uiPriority w:val="99"/>
    <w:rsid w:val="009C155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prastasis"/>
    <w:uiPriority w:val="99"/>
    <w:rsid w:val="006306E5"/>
    <w:pPr>
      <w:widowControl w:val="0"/>
      <w:autoSpaceDE w:val="0"/>
      <w:autoSpaceDN w:val="0"/>
      <w:adjustRightInd w:val="0"/>
      <w:jc w:val="both"/>
    </w:pPr>
    <w:rPr>
      <w:szCs w:val="24"/>
      <w:lang w:eastAsia="lt-LT"/>
    </w:rPr>
  </w:style>
  <w:style w:type="paragraph" w:customStyle="1" w:styleId="ListParagraph1">
    <w:name w:val="List Paragraph1"/>
    <w:basedOn w:val="prastasis"/>
    <w:qFormat/>
    <w:rsid w:val="00CA3E0A"/>
    <w:pPr>
      <w:ind w:left="1296"/>
    </w:pPr>
  </w:style>
  <w:style w:type="character" w:customStyle="1" w:styleId="statymonr">
    <w:name w:val="statymonr"/>
    <w:basedOn w:val="Numatytasispastraiposriftas"/>
    <w:rsid w:val="00822722"/>
  </w:style>
  <w:style w:type="character" w:customStyle="1" w:styleId="bkg-highlight-red">
    <w:name w:val="bkg-highlight-red"/>
    <w:basedOn w:val="Numatytasispastraiposriftas"/>
    <w:rsid w:val="00F7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EF8E0-6355-47D2-8943-91185605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 NUTARIMO ,,DĖL LIETUVOS RESPUBLIKOS VYRIAUSYBĖS 2006 M</vt:lpstr>
      <vt:lpstr>LIETUVOS RESPUBLIKOS VYRIAUSYBĖS NUTARIMO ,,DĖL LIETUVOS RESPUBLIKOS VYRIAUSYBĖS 2006 M</vt:lpstr>
    </vt:vector>
  </TitlesOfParts>
  <Company>ZUM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 NUTARIMO ,,DĖL LIETUVOS RESPUBLIKOS VYRIAUSYBĖS 2006 M</dc:title>
  <dc:creator>ZUM</dc:creator>
  <cp:lastModifiedBy>Lina Aniūnienė</cp:lastModifiedBy>
  <cp:revision>2</cp:revision>
  <cp:lastPrinted>2015-09-21T07:43:00Z</cp:lastPrinted>
  <dcterms:created xsi:type="dcterms:W3CDTF">2020-04-02T08:28:00Z</dcterms:created>
  <dcterms:modified xsi:type="dcterms:W3CDTF">2020-04-02T08:28:00Z</dcterms:modified>
</cp:coreProperties>
</file>