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85" w:rsidRDefault="002A5EF7">
      <w:pPr>
        <w:tabs>
          <w:tab w:val="left" w:pos="6570"/>
        </w:tabs>
        <w:ind w:firstLine="1134"/>
      </w:pPr>
      <w:r>
        <w:rPr>
          <w:b/>
          <w:bCs/>
        </w:rPr>
        <w:tab/>
        <w:t>Projekto</w:t>
      </w:r>
    </w:p>
    <w:p w:rsidR="00F45985" w:rsidRDefault="002A5EF7">
      <w:pPr>
        <w:tabs>
          <w:tab w:val="left" w:pos="6570"/>
        </w:tabs>
        <w:ind w:firstLine="1134"/>
        <w:rPr>
          <w:b/>
          <w:bCs/>
        </w:rPr>
      </w:pPr>
      <w:r>
        <w:rPr>
          <w:b/>
          <w:bCs/>
        </w:rPr>
        <w:tab/>
        <w:t>lyginamasis variantas</w:t>
      </w:r>
    </w:p>
    <w:p w:rsidR="00F45985" w:rsidRDefault="002A5EF7">
      <w:pPr>
        <w:tabs>
          <w:tab w:val="left" w:pos="6946"/>
        </w:tabs>
        <w:spacing w:line="360" w:lineRule="auto"/>
        <w:ind w:firstLine="1134"/>
        <w:rPr>
          <w:b/>
          <w:bCs/>
        </w:rPr>
      </w:pPr>
      <w:r>
        <w:rPr>
          <w:b/>
          <w:bCs/>
        </w:rPr>
        <w:t xml:space="preserve"> </w:t>
      </w:r>
    </w:p>
    <w:p w:rsidR="00F45985" w:rsidRDefault="00F45985">
      <w:pPr>
        <w:tabs>
          <w:tab w:val="left" w:pos="6946"/>
        </w:tabs>
        <w:ind w:firstLine="1134"/>
        <w:rPr>
          <w:b/>
          <w:bCs/>
        </w:rPr>
      </w:pPr>
    </w:p>
    <w:p w:rsidR="00F45985" w:rsidRDefault="002A5EF7">
      <w:pPr>
        <w:jc w:val="center"/>
        <w:rPr>
          <w:b/>
          <w:bCs/>
        </w:rPr>
      </w:pPr>
      <w:r>
        <w:rPr>
          <w:b/>
          <w:bCs/>
        </w:rPr>
        <w:t>LIETUVOS RESPUBLIKOS VYRIAUSYBĖ</w:t>
      </w:r>
    </w:p>
    <w:p w:rsidR="00F45985" w:rsidRDefault="00F45985">
      <w:pPr>
        <w:jc w:val="center"/>
        <w:rPr>
          <w:b/>
          <w:bCs/>
        </w:rPr>
      </w:pPr>
    </w:p>
    <w:p w:rsidR="00F45985" w:rsidRDefault="002A5EF7">
      <w:pPr>
        <w:jc w:val="center"/>
      </w:pPr>
      <w:r>
        <w:rPr>
          <w:b/>
          <w:caps/>
        </w:rPr>
        <w:t>nutarimas</w:t>
      </w:r>
    </w:p>
    <w:p w:rsidR="00F45985" w:rsidRDefault="002A5EF7">
      <w:pPr>
        <w:widowControl w:val="0"/>
        <w:jc w:val="center"/>
      </w:pPr>
      <w:r>
        <w:rPr>
          <w:b/>
          <w:bCs/>
          <w:caps/>
          <w:szCs w:val="24"/>
          <w:lang w:eastAsia="lt-LT"/>
        </w:rPr>
        <w:t>DĖL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 PAKEITIMO</w:t>
      </w:r>
    </w:p>
    <w:p w:rsidR="00F45985" w:rsidRDefault="00F45985">
      <w:pPr>
        <w:spacing w:line="360" w:lineRule="auto"/>
        <w:jc w:val="center"/>
        <w:rPr>
          <w:b/>
          <w:caps/>
        </w:rPr>
      </w:pPr>
    </w:p>
    <w:p w:rsidR="00F45985" w:rsidRDefault="002A5EF7">
      <w:pPr>
        <w:spacing w:line="360" w:lineRule="auto"/>
        <w:jc w:val="center"/>
      </w:pPr>
      <w:r>
        <w:t xml:space="preserve">Nr. </w:t>
      </w:r>
    </w:p>
    <w:p w:rsidR="00B05D7D" w:rsidRDefault="002A5EF7" w:rsidP="00B05D7D">
      <w:pPr>
        <w:spacing w:line="360" w:lineRule="auto"/>
        <w:jc w:val="center"/>
      </w:pPr>
      <w:r>
        <w:t>Vilnius</w:t>
      </w:r>
    </w:p>
    <w:p w:rsidR="00F45985" w:rsidRDefault="002A5EF7">
      <w:pPr>
        <w:spacing w:line="360" w:lineRule="atLeast"/>
        <w:ind w:firstLine="720"/>
        <w:jc w:val="both"/>
      </w:pPr>
      <w:r>
        <w:rPr>
          <w:szCs w:val="24"/>
          <w:lang w:eastAsia="lt-LT"/>
        </w:rPr>
        <w:t>Lietuvos Respublikos Vyriausybė</w:t>
      </w:r>
      <w:r>
        <w:rPr>
          <w:spacing w:val="100"/>
          <w:szCs w:val="24"/>
          <w:lang w:eastAsia="lt-LT"/>
        </w:rPr>
        <w:t xml:space="preserve"> nutari</w:t>
      </w:r>
      <w:r>
        <w:rPr>
          <w:szCs w:val="24"/>
          <w:lang w:eastAsia="lt-LT"/>
        </w:rPr>
        <w:t>a:</w:t>
      </w:r>
    </w:p>
    <w:p w:rsidR="00F45985" w:rsidRDefault="002A5EF7">
      <w:pPr>
        <w:spacing w:line="360" w:lineRule="atLeast"/>
        <w:ind w:firstLine="720"/>
        <w:jc w:val="both"/>
      </w:pPr>
      <w:r>
        <w:rPr>
          <w:szCs w:val="24"/>
          <w:lang w:eastAsia="lt-LT"/>
        </w:rPr>
        <w:t xml:space="preserve">1. </w:t>
      </w:r>
      <w:r>
        <w:rPr>
          <w:bCs/>
          <w:color w:val="000000"/>
          <w:szCs w:val="24"/>
          <w:lang w:eastAsia="lt-LT"/>
        </w:rPr>
        <w:t>Pakeisti Lietuvos Respublikos Vyriausybės 2004 m. liepos 22 d. nutarimą Nr.</w:t>
      </w:r>
      <w:r w:rsidR="00A700EF">
        <w:rPr>
          <w:bCs/>
          <w:color w:val="000000"/>
          <w:szCs w:val="24"/>
          <w:lang w:eastAsia="lt-LT"/>
        </w:rPr>
        <w:t> </w:t>
      </w:r>
      <w:r>
        <w:rPr>
          <w:bCs/>
          <w:color w:val="000000"/>
          <w:szCs w:val="24"/>
          <w:lang w:eastAsia="lt-LT"/>
        </w:rPr>
        <w:t>932 „Dėl Strateginių prekių eksporto, importo, tranzito,</w:t>
      </w:r>
      <w:r>
        <w:rPr>
          <w:b/>
          <w:bCs/>
          <w:color w:val="000000"/>
          <w:szCs w:val="24"/>
          <w:lang w:eastAsia="lt-LT"/>
        </w:rPr>
        <w:t xml:space="preserve"> </w:t>
      </w:r>
      <w:r>
        <w:rPr>
          <w:bCs/>
          <w:color w:val="000000"/>
          <w:szCs w:val="24"/>
          <w:lang w:eastAsia="lt-LT"/>
        </w:rPr>
        <w:t xml:space="preserve">tarpininkavimo ir siuntimo Europos Sąjungoje licencijavimo taisyklių, Strateginių prekių kontrolės vykdymo taisyklių ir </w:t>
      </w:r>
      <w:r>
        <w:rPr>
          <w:bCs/>
          <w:caps/>
          <w:color w:val="000000"/>
          <w:szCs w:val="24"/>
          <w:lang w:eastAsia="lt-LT"/>
        </w:rPr>
        <w:t>S</w:t>
      </w:r>
      <w:r>
        <w:rPr>
          <w:bCs/>
          <w:color w:val="000000"/>
          <w:szCs w:val="24"/>
          <w:lang w:eastAsia="lt-LT"/>
        </w:rPr>
        <w:t>ertifikatų karinę įrangą gaminančioms įmonėms gavėjoms išdavimo taisyklių patvirtinimo“</w:t>
      </w:r>
      <w:r>
        <w:rPr>
          <w:szCs w:val="24"/>
          <w:lang w:eastAsia="lt-LT"/>
        </w:rPr>
        <w:t>:</w:t>
      </w:r>
    </w:p>
    <w:p w:rsidR="00F45985" w:rsidRDefault="00353041" w:rsidP="00353041">
      <w:pPr>
        <w:spacing w:line="276" w:lineRule="auto"/>
        <w:ind w:firstLine="720"/>
        <w:jc w:val="both"/>
      </w:pPr>
      <w:r>
        <w:rPr>
          <w:szCs w:val="24"/>
        </w:rPr>
        <w:t>1.1</w:t>
      </w:r>
      <w:r w:rsidR="002A5EF7">
        <w:rPr>
          <w:szCs w:val="24"/>
        </w:rPr>
        <w:t xml:space="preserve">. </w:t>
      </w:r>
      <w:r w:rsidR="00B05D7D">
        <w:rPr>
          <w:szCs w:val="24"/>
          <w:lang w:eastAsia="lt-LT"/>
        </w:rPr>
        <w:t>Pakeisti 3.1 papunktį</w:t>
      </w:r>
      <w:r w:rsidR="002A5EF7">
        <w:rPr>
          <w:szCs w:val="24"/>
          <w:lang w:eastAsia="lt-LT"/>
        </w:rPr>
        <w:t xml:space="preserve"> ir jį išdėstyt</w:t>
      </w:r>
      <w:bookmarkStart w:id="0" w:name="_GoBack"/>
      <w:bookmarkEnd w:id="0"/>
      <w:r w:rsidR="002A5EF7">
        <w:rPr>
          <w:szCs w:val="24"/>
          <w:lang w:eastAsia="lt-LT"/>
        </w:rPr>
        <w:t>i taip:</w:t>
      </w:r>
    </w:p>
    <w:p w:rsidR="00F45985" w:rsidRPr="00353041" w:rsidRDefault="00353041" w:rsidP="00565C18">
      <w:pPr>
        <w:spacing w:line="276" w:lineRule="auto"/>
        <w:ind w:firstLine="720"/>
        <w:jc w:val="both"/>
        <w:rPr>
          <w:strike/>
          <w:szCs w:val="24"/>
        </w:rPr>
      </w:pPr>
      <w:r>
        <w:rPr>
          <w:szCs w:val="24"/>
        </w:rPr>
        <w:t xml:space="preserve">3.1. strateginių prekių eksporto, importo, tranzito, tarpininkavimo ir siuntimo Europos Sąjungoje kontrolę vykdo </w:t>
      </w:r>
      <w:r w:rsidR="00A700EF">
        <w:rPr>
          <w:szCs w:val="24"/>
        </w:rPr>
        <w:t>Lietuvos Respublikos e</w:t>
      </w:r>
      <w:r>
        <w:rPr>
          <w:szCs w:val="24"/>
        </w:rPr>
        <w:t>konomikos ir inovacijų ministerija, Lietuvos Respublikos aplinkos</w:t>
      </w:r>
      <w:r>
        <w:rPr>
          <w:b/>
          <w:szCs w:val="24"/>
        </w:rPr>
        <w:t xml:space="preserve"> </w:t>
      </w:r>
      <w:r>
        <w:rPr>
          <w:szCs w:val="24"/>
        </w:rPr>
        <w:t xml:space="preserve">ministerija, Lietuvos Respublikos energetikos ministerija, </w:t>
      </w:r>
      <w:r w:rsidR="00A700EF">
        <w:rPr>
          <w:szCs w:val="24"/>
        </w:rPr>
        <w:t>Lietuvos Respublikos k</w:t>
      </w:r>
      <w:r>
        <w:rPr>
          <w:szCs w:val="24"/>
        </w:rPr>
        <w:t>rašto</w:t>
      </w:r>
      <w:r>
        <w:rPr>
          <w:b/>
          <w:szCs w:val="24"/>
        </w:rPr>
        <w:t xml:space="preserve"> </w:t>
      </w:r>
      <w:r>
        <w:rPr>
          <w:szCs w:val="24"/>
        </w:rPr>
        <w:t xml:space="preserve">apsaugos ministerija, </w:t>
      </w:r>
      <w:r w:rsidRPr="00353041">
        <w:rPr>
          <w:strike/>
          <w:szCs w:val="24"/>
        </w:rPr>
        <w:t>Lietuvos Respublikos ginklų fondas prie Lietuvos Respublikos vidaus reikalų ministerijos,</w:t>
      </w:r>
      <w:r>
        <w:rPr>
          <w:szCs w:val="24"/>
        </w:rPr>
        <w:t xml:space="preserve"> Lietuvos Respublikos valstybės saugumo departamentas, Muitinės departamentas prie Lietuvos Respublikos finansų ministerijos, Policijos departamentas prie Lietuvos Respublikos vidaus reikalų ministerijos, Lietuvos Respublikos susisiekimo</w:t>
      </w:r>
      <w:r>
        <w:rPr>
          <w:b/>
          <w:szCs w:val="24"/>
        </w:rPr>
        <w:t xml:space="preserve"> </w:t>
      </w:r>
      <w:r>
        <w:rPr>
          <w:szCs w:val="24"/>
        </w:rPr>
        <w:t>ministerija, Lietuvos Respublikos sveikatos</w:t>
      </w:r>
      <w:r>
        <w:rPr>
          <w:b/>
          <w:szCs w:val="24"/>
        </w:rPr>
        <w:t xml:space="preserve"> </w:t>
      </w:r>
      <w:r>
        <w:rPr>
          <w:szCs w:val="24"/>
        </w:rPr>
        <w:t xml:space="preserve">apsaugos ministerija, </w:t>
      </w:r>
      <w:r w:rsidR="00A700EF">
        <w:rPr>
          <w:szCs w:val="24"/>
        </w:rPr>
        <w:t>Lietuvos Respublikos u</w:t>
      </w:r>
      <w:r>
        <w:rPr>
          <w:szCs w:val="24"/>
        </w:rPr>
        <w:t>žsienio</w:t>
      </w:r>
      <w:r>
        <w:rPr>
          <w:b/>
          <w:szCs w:val="24"/>
        </w:rPr>
        <w:t xml:space="preserve"> </w:t>
      </w:r>
      <w:r>
        <w:rPr>
          <w:szCs w:val="24"/>
        </w:rPr>
        <w:t>reikalų ministerija, Valstybinė atominės energetikos saugos inspekcija, Valstybinė maisto ir veterinarijos tarnyba</w:t>
      </w:r>
      <w:r w:rsidR="002A5EF7">
        <w:rPr>
          <w:szCs w:val="24"/>
          <w:lang w:eastAsia="lt-LT"/>
        </w:rPr>
        <w:t>;“.</w:t>
      </w:r>
    </w:p>
    <w:p w:rsidR="00920A32" w:rsidRDefault="00920A32" w:rsidP="00565C18">
      <w:pPr>
        <w:pStyle w:val="Pagrindinistekstas"/>
        <w:spacing w:after="0" w:line="276" w:lineRule="auto"/>
        <w:ind w:firstLine="720"/>
        <w:jc w:val="both"/>
      </w:pPr>
      <w:r>
        <w:rPr>
          <w:szCs w:val="24"/>
          <w:lang w:eastAsia="lt-LT"/>
        </w:rPr>
        <w:t>1.2</w:t>
      </w:r>
      <w:r w:rsidR="00B05D7D">
        <w:rPr>
          <w:szCs w:val="24"/>
          <w:lang w:eastAsia="lt-LT"/>
        </w:rPr>
        <w:t>. Pakeisti 5.5 papunktį</w:t>
      </w:r>
      <w:r w:rsidR="002A5EF7">
        <w:rPr>
          <w:szCs w:val="24"/>
          <w:lang w:eastAsia="lt-LT"/>
        </w:rPr>
        <w:t xml:space="preserve"> ir jį išdėstyti taip:</w:t>
      </w:r>
    </w:p>
    <w:p w:rsidR="00F45985" w:rsidRPr="00920A32" w:rsidRDefault="002A5EF7" w:rsidP="00565C18">
      <w:pPr>
        <w:spacing w:line="276" w:lineRule="auto"/>
        <w:ind w:firstLine="720"/>
        <w:jc w:val="both"/>
      </w:pPr>
      <w:r>
        <w:rPr>
          <w:szCs w:val="24"/>
          <w:lang w:eastAsia="lt-LT"/>
        </w:rPr>
        <w:t>„</w:t>
      </w:r>
      <w:r w:rsidR="00920A32">
        <w:rPr>
          <w:szCs w:val="24"/>
        </w:rPr>
        <w:t xml:space="preserve">5.5. </w:t>
      </w:r>
      <w:r w:rsidR="00A700EF">
        <w:rPr>
          <w:szCs w:val="24"/>
        </w:rPr>
        <w:t>Lietuvos Respublikos e</w:t>
      </w:r>
      <w:r w:rsidR="00920A32">
        <w:rPr>
          <w:szCs w:val="24"/>
        </w:rPr>
        <w:t>konomikos ir inovacijų</w:t>
      </w:r>
      <w:r w:rsidR="00920A32">
        <w:rPr>
          <w:b/>
          <w:szCs w:val="24"/>
        </w:rPr>
        <w:t xml:space="preserve"> </w:t>
      </w:r>
      <w:r w:rsidR="00920A32">
        <w:rPr>
          <w:szCs w:val="24"/>
        </w:rPr>
        <w:t xml:space="preserve">ministerijai, </w:t>
      </w:r>
      <w:r w:rsidR="00A700EF">
        <w:rPr>
          <w:szCs w:val="24"/>
        </w:rPr>
        <w:t>Lietuvos Respublikos k</w:t>
      </w:r>
      <w:r w:rsidR="00920A32">
        <w:rPr>
          <w:szCs w:val="24"/>
        </w:rPr>
        <w:t>rašto apsaugos ministerijai</w:t>
      </w:r>
      <w:r w:rsidR="00920A32" w:rsidRPr="00920A32">
        <w:rPr>
          <w:strike/>
          <w:szCs w:val="24"/>
        </w:rPr>
        <w:t>,</w:t>
      </w:r>
      <w:r w:rsidR="00920A32">
        <w:rPr>
          <w:szCs w:val="24"/>
        </w:rPr>
        <w:t xml:space="preserve"> </w:t>
      </w:r>
      <w:r w:rsidR="00920A32">
        <w:rPr>
          <w:b/>
          <w:szCs w:val="24"/>
        </w:rPr>
        <w:t xml:space="preserve">ir </w:t>
      </w:r>
      <w:r w:rsidR="00920A32">
        <w:rPr>
          <w:szCs w:val="24"/>
        </w:rPr>
        <w:t xml:space="preserve">Policijos departamentui prie Lietuvos Respublikos vidaus reikalų ministerijos </w:t>
      </w:r>
      <w:r w:rsidR="00920A32" w:rsidRPr="00920A32">
        <w:rPr>
          <w:strike/>
          <w:szCs w:val="24"/>
        </w:rPr>
        <w:t>ir Lietuvos Respublikos ginklų fondui prie Lietuvos Respublikos vidaus reikalų ministerijos</w:t>
      </w:r>
      <w:r w:rsidR="00920A32">
        <w:rPr>
          <w:szCs w:val="24"/>
        </w:rPr>
        <w:t xml:space="preserve"> pagal kompetenciją rengti ir teikti </w:t>
      </w:r>
      <w:r w:rsidR="00A700EF">
        <w:rPr>
          <w:szCs w:val="24"/>
        </w:rPr>
        <w:t>Lietuvos Respublikos u</w:t>
      </w:r>
      <w:r w:rsidR="00920A32">
        <w:rPr>
          <w:szCs w:val="24"/>
        </w:rPr>
        <w:t>žsienio reikalų ministerijai duomenis pagal Sutarties dėl prekybos ginklais ir Tarybos bendrosios pozicijos 2008/944/BUSP nuostatas</w:t>
      </w:r>
      <w:r>
        <w:rPr>
          <w:szCs w:val="24"/>
          <w:lang w:eastAsia="lt-LT"/>
        </w:rPr>
        <w:t>.“</w:t>
      </w:r>
    </w:p>
    <w:p w:rsidR="00F45985" w:rsidRDefault="002A5EF7">
      <w:pPr>
        <w:spacing w:line="360" w:lineRule="atLeast"/>
        <w:ind w:firstLine="720"/>
        <w:jc w:val="both"/>
      </w:pPr>
      <w:r>
        <w:rPr>
          <w:szCs w:val="24"/>
        </w:rPr>
        <w:t xml:space="preserve">2. </w:t>
      </w:r>
      <w:r>
        <w:rPr>
          <w:szCs w:val="24"/>
          <w:lang w:eastAsia="lt-LT"/>
        </w:rPr>
        <w:t xml:space="preserve">Pakeisti </w:t>
      </w:r>
      <w:r w:rsidR="00B05D7D">
        <w:rPr>
          <w:bCs/>
          <w:color w:val="000000"/>
          <w:szCs w:val="24"/>
          <w:lang w:eastAsia="lt-LT"/>
        </w:rPr>
        <w:t>šiuo nutarimu</w:t>
      </w:r>
      <w:r>
        <w:rPr>
          <w:bCs/>
          <w:color w:val="000000"/>
          <w:szCs w:val="24"/>
          <w:lang w:eastAsia="lt-LT"/>
        </w:rPr>
        <w:t xml:space="preserve"> </w:t>
      </w:r>
      <w:r w:rsidR="00B05D7D">
        <w:rPr>
          <w:szCs w:val="24"/>
          <w:lang w:eastAsia="lt-LT"/>
        </w:rPr>
        <w:t>patvirtintas</w:t>
      </w:r>
      <w:r>
        <w:rPr>
          <w:szCs w:val="24"/>
          <w:lang w:eastAsia="lt-LT"/>
        </w:rPr>
        <w:t xml:space="preserve"> Strateginių prekių eksporto, importo, tranzito,</w:t>
      </w:r>
      <w:r>
        <w:rPr>
          <w:b/>
          <w:bCs/>
          <w:szCs w:val="24"/>
          <w:lang w:eastAsia="lt-LT"/>
        </w:rPr>
        <w:t xml:space="preserve"> </w:t>
      </w:r>
      <w:r>
        <w:rPr>
          <w:bCs/>
          <w:szCs w:val="24"/>
          <w:lang w:eastAsia="lt-LT"/>
        </w:rPr>
        <w:t xml:space="preserve">tarpininkavimo ir siuntimo Europos Sąjungoje </w:t>
      </w:r>
      <w:r w:rsidR="00B05D7D">
        <w:rPr>
          <w:bCs/>
          <w:szCs w:val="24"/>
          <w:lang w:eastAsia="lt-LT"/>
        </w:rPr>
        <w:t>licencijavimo taisykles ir</w:t>
      </w:r>
      <w:r>
        <w:rPr>
          <w:bCs/>
          <w:szCs w:val="24"/>
          <w:lang w:eastAsia="lt-LT"/>
        </w:rPr>
        <w:t xml:space="preserve"> 10.2</w:t>
      </w:r>
      <w:r w:rsidR="00B05D7D">
        <w:rPr>
          <w:szCs w:val="24"/>
          <w:lang w:eastAsia="lt-LT"/>
        </w:rPr>
        <w:t xml:space="preserve"> papunktį</w:t>
      </w:r>
      <w:r>
        <w:rPr>
          <w:szCs w:val="24"/>
          <w:lang w:eastAsia="lt-LT"/>
        </w:rPr>
        <w:t xml:space="preserve"> išdėstyti taip:</w:t>
      </w:r>
    </w:p>
    <w:p w:rsidR="00F45985" w:rsidRDefault="002A5EF7">
      <w:pPr>
        <w:spacing w:line="360" w:lineRule="atLeast"/>
        <w:ind w:firstLine="720"/>
        <w:jc w:val="both"/>
      </w:pPr>
      <w:r>
        <w:rPr>
          <w:szCs w:val="24"/>
        </w:rPr>
        <w:t>„</w:t>
      </w:r>
      <w:r w:rsidR="00920A32">
        <w:rPr>
          <w:bCs/>
          <w:szCs w:val="24"/>
        </w:rPr>
        <w:t xml:space="preserve">10.2. Bendrajame karinės įrangos sąraše nurodyti ginklai ir jų šaudmenys yra leidžiami civilinėje apyvartoje, galutinį panaudojimą patvirtinantį dokumentą (galutinio vartotojo sertifikatą) </w:t>
      </w:r>
      <w:r w:rsidR="00920A32">
        <w:rPr>
          <w:bCs/>
          <w:szCs w:val="24"/>
        </w:rPr>
        <w:lastRenderedPageBreak/>
        <w:t xml:space="preserve">išduoda </w:t>
      </w:r>
      <w:r w:rsidR="00920A32" w:rsidRPr="00920A32">
        <w:rPr>
          <w:bCs/>
          <w:strike/>
          <w:szCs w:val="24"/>
        </w:rPr>
        <w:t>Ginklų fondas prie Lietuvos Respublikos vidaus reikalų ministerijos</w:t>
      </w:r>
      <w:r w:rsidR="00920A32">
        <w:rPr>
          <w:bCs/>
          <w:szCs w:val="24"/>
        </w:rPr>
        <w:t xml:space="preserve"> </w:t>
      </w:r>
      <w:r w:rsidR="00920A32">
        <w:rPr>
          <w:b/>
          <w:bCs/>
          <w:szCs w:val="24"/>
        </w:rPr>
        <w:t>Policijos departamentas prie Lietuvos Respublikos vidaus reikalų ministerijos</w:t>
      </w:r>
      <w:r w:rsidR="00920A32">
        <w:rPr>
          <w:bCs/>
          <w:szCs w:val="24"/>
        </w:rPr>
        <w:t xml:space="preserve">, vadovaudamasis </w:t>
      </w:r>
      <w:r w:rsidR="00920A32">
        <w:rPr>
          <w:szCs w:val="24"/>
        </w:rPr>
        <w:t>Ginklų, ginklų priedėlių, šaudmenų, jų dalių eksporto, importo, vežimo, gabenimo tranzitu per Lietuvos Respubliką taisyklėse, patvirtintose</w:t>
      </w:r>
      <w:r w:rsidR="00920A32">
        <w:t xml:space="preserve"> </w:t>
      </w:r>
      <w:r w:rsidR="00920A32">
        <w:rPr>
          <w:bCs/>
          <w:szCs w:val="24"/>
        </w:rPr>
        <w:t xml:space="preserve">Lietuvos Respublikos Vyriausybės </w:t>
      </w:r>
      <w:r w:rsidR="00920A32">
        <w:rPr>
          <w:szCs w:val="24"/>
        </w:rPr>
        <w:t>2011 m. birželio 15</w:t>
      </w:r>
      <w:r w:rsidR="00430AA9">
        <w:rPr>
          <w:szCs w:val="24"/>
        </w:rPr>
        <w:t> </w:t>
      </w:r>
      <w:r w:rsidR="00920A32">
        <w:rPr>
          <w:szCs w:val="24"/>
        </w:rPr>
        <w:t xml:space="preserve">d. nutarimu Nr. 739 „Dėl ginklų, ginklų priedėlių, šaudmenų, jų dalių eksporto, importo, vežimo ir gabenimo tranzitu“, </w:t>
      </w:r>
      <w:r w:rsidR="00920A32">
        <w:rPr>
          <w:bCs/>
          <w:szCs w:val="24"/>
        </w:rPr>
        <w:t>nustatyta tvarka</w:t>
      </w:r>
      <w:r>
        <w:rPr>
          <w:szCs w:val="24"/>
        </w:rPr>
        <w:t>;“.</w:t>
      </w:r>
    </w:p>
    <w:p w:rsidR="00F45985" w:rsidRDefault="002A5EF7">
      <w:pPr>
        <w:spacing w:line="360" w:lineRule="atLeast"/>
        <w:ind w:firstLine="720"/>
        <w:jc w:val="both"/>
      </w:pPr>
      <w:r>
        <w:rPr>
          <w:szCs w:val="24"/>
        </w:rPr>
        <w:t xml:space="preserve">3. </w:t>
      </w:r>
      <w:r>
        <w:rPr>
          <w:szCs w:val="24"/>
          <w:lang w:eastAsia="lt-LT"/>
        </w:rPr>
        <w:t xml:space="preserve">Pakeisti </w:t>
      </w:r>
      <w:r w:rsidR="00B05D7D">
        <w:rPr>
          <w:bCs/>
          <w:color w:val="000000"/>
          <w:szCs w:val="24"/>
          <w:lang w:eastAsia="lt-LT"/>
        </w:rPr>
        <w:t>šiuo nutarimu</w:t>
      </w:r>
      <w:r>
        <w:rPr>
          <w:bCs/>
          <w:color w:val="000000"/>
          <w:szCs w:val="24"/>
          <w:lang w:eastAsia="lt-LT"/>
        </w:rPr>
        <w:t xml:space="preserve"> </w:t>
      </w:r>
      <w:r w:rsidR="00B05D7D">
        <w:rPr>
          <w:szCs w:val="24"/>
          <w:lang w:eastAsia="lt-LT"/>
        </w:rPr>
        <w:t>patvirtintas</w:t>
      </w:r>
      <w:r>
        <w:rPr>
          <w:szCs w:val="24"/>
          <w:lang w:eastAsia="lt-LT"/>
        </w:rPr>
        <w:t xml:space="preserve"> Strateginių prekių </w:t>
      </w:r>
      <w:r>
        <w:rPr>
          <w:bCs/>
          <w:color w:val="000000"/>
          <w:szCs w:val="24"/>
          <w:lang w:eastAsia="lt-LT"/>
        </w:rPr>
        <w:t>kontrolės vykdymo</w:t>
      </w:r>
      <w:r w:rsidR="00B05D7D">
        <w:rPr>
          <w:bCs/>
          <w:szCs w:val="24"/>
          <w:lang w:eastAsia="lt-LT"/>
        </w:rPr>
        <w:t xml:space="preserve"> taisykles ir</w:t>
      </w:r>
      <w:r w:rsidR="00920A32">
        <w:rPr>
          <w:bCs/>
          <w:szCs w:val="24"/>
          <w:lang w:eastAsia="lt-LT"/>
        </w:rPr>
        <w:t xml:space="preserve"> 4</w:t>
      </w:r>
      <w:r w:rsidR="00430AA9">
        <w:rPr>
          <w:szCs w:val="24"/>
          <w:lang w:eastAsia="lt-LT"/>
        </w:rPr>
        <w:t> </w:t>
      </w:r>
      <w:r w:rsidR="00B05D7D">
        <w:rPr>
          <w:szCs w:val="24"/>
          <w:lang w:eastAsia="lt-LT"/>
        </w:rPr>
        <w:t>punktą</w:t>
      </w:r>
      <w:r>
        <w:rPr>
          <w:szCs w:val="24"/>
          <w:lang w:eastAsia="lt-LT"/>
        </w:rPr>
        <w:t xml:space="preserve"> išdėstyti taip:</w:t>
      </w:r>
    </w:p>
    <w:p w:rsidR="00F45985" w:rsidRPr="00920A32" w:rsidRDefault="002A5EF7" w:rsidP="00565C18">
      <w:pPr>
        <w:spacing w:line="276" w:lineRule="auto"/>
        <w:ind w:firstLine="720"/>
        <w:jc w:val="both"/>
        <w:rPr>
          <w:szCs w:val="24"/>
        </w:rPr>
      </w:pPr>
      <w:r>
        <w:rPr>
          <w:szCs w:val="24"/>
          <w:lang w:eastAsia="lt-LT"/>
        </w:rPr>
        <w:t>„</w:t>
      </w:r>
      <w:r w:rsidR="00920A32">
        <w:rPr>
          <w:rFonts w:eastAsia="SimSun"/>
          <w:szCs w:val="24"/>
        </w:rPr>
        <w:t xml:space="preserve">4. </w:t>
      </w:r>
      <w:r w:rsidR="00920A32">
        <w:rPr>
          <w:szCs w:val="24"/>
        </w:rPr>
        <w:t xml:space="preserve">Kontrolę pagal kompetenciją atlieka </w:t>
      </w:r>
      <w:r w:rsidR="00430AA9">
        <w:rPr>
          <w:spacing w:val="-1"/>
          <w:szCs w:val="24"/>
        </w:rPr>
        <w:t>Lietuvos Respublikos e</w:t>
      </w:r>
      <w:r w:rsidR="00920A32">
        <w:rPr>
          <w:spacing w:val="-1"/>
          <w:szCs w:val="24"/>
        </w:rPr>
        <w:t xml:space="preserve">konomikos ir inovacijų </w:t>
      </w:r>
      <w:r w:rsidR="00920A32">
        <w:rPr>
          <w:szCs w:val="24"/>
        </w:rPr>
        <w:t xml:space="preserve">ministerijos, </w:t>
      </w:r>
      <w:r w:rsidR="00430AA9">
        <w:rPr>
          <w:szCs w:val="24"/>
        </w:rPr>
        <w:t>Lietuvos Respublikos a</w:t>
      </w:r>
      <w:r w:rsidR="00920A32">
        <w:rPr>
          <w:szCs w:val="24"/>
        </w:rPr>
        <w:t xml:space="preserve">plinkos ministerijos, </w:t>
      </w:r>
      <w:r w:rsidR="00430AA9">
        <w:rPr>
          <w:szCs w:val="24"/>
        </w:rPr>
        <w:t>Lietuvos Respublikos e</w:t>
      </w:r>
      <w:r w:rsidR="00920A32">
        <w:rPr>
          <w:szCs w:val="24"/>
        </w:rPr>
        <w:t xml:space="preserve">nergetikos ministerijos, </w:t>
      </w:r>
      <w:r w:rsidR="00430AA9">
        <w:rPr>
          <w:szCs w:val="24"/>
        </w:rPr>
        <w:t>Lietuvos Respublikos k</w:t>
      </w:r>
      <w:r w:rsidR="00920A32">
        <w:rPr>
          <w:szCs w:val="24"/>
        </w:rPr>
        <w:t xml:space="preserve">rašto apsaugos ministerijos, </w:t>
      </w:r>
      <w:r w:rsidR="00920A32" w:rsidRPr="00920A32">
        <w:rPr>
          <w:strike/>
          <w:szCs w:val="24"/>
        </w:rPr>
        <w:t>Lietuvos Respublikos ginklų fondo prie Lietuvos Respublikos vidaus reikalų ministerijos,</w:t>
      </w:r>
      <w:r w:rsidR="00920A32">
        <w:rPr>
          <w:szCs w:val="24"/>
        </w:rPr>
        <w:t xml:space="preserve"> Lietuvos Respublikos valstybės saugumo departamento, Muitinės departamento prie Lietuvos Respublikos finansų ministerijos, Policijos departamento prie Lietuvos Respublikos vidaus reikalų ministerijos, </w:t>
      </w:r>
      <w:r w:rsidR="00430AA9">
        <w:rPr>
          <w:szCs w:val="24"/>
        </w:rPr>
        <w:t>Lietuvos Respublikos s</w:t>
      </w:r>
      <w:r w:rsidR="00920A32">
        <w:rPr>
          <w:szCs w:val="24"/>
        </w:rPr>
        <w:t xml:space="preserve">usisiekimo ministerijos, </w:t>
      </w:r>
      <w:r w:rsidR="00430AA9">
        <w:rPr>
          <w:szCs w:val="24"/>
        </w:rPr>
        <w:t>Lietuvos Respublikos s</w:t>
      </w:r>
      <w:r w:rsidR="00920A32">
        <w:rPr>
          <w:szCs w:val="24"/>
        </w:rPr>
        <w:t xml:space="preserve">veikatos apsaugos ministerijos, </w:t>
      </w:r>
      <w:r w:rsidR="00430AA9">
        <w:rPr>
          <w:szCs w:val="24"/>
        </w:rPr>
        <w:t>Lietuvos Respublikos u</w:t>
      </w:r>
      <w:r w:rsidR="00920A32">
        <w:rPr>
          <w:szCs w:val="24"/>
        </w:rPr>
        <w:t>žsienio reikalų ministerijos, Valstybinės atominės energetikos saugos inspekcijos ir Valstybinės maisto ir veterinarijos tarnybos atstovai, turintys tarnybinį ar valstybės</w:t>
      </w:r>
      <w:r w:rsidR="00920A32">
        <w:rPr>
          <w:b/>
          <w:szCs w:val="24"/>
        </w:rPr>
        <w:t xml:space="preserve"> </w:t>
      </w:r>
      <w:r w:rsidR="00920A32">
        <w:rPr>
          <w:szCs w:val="24"/>
        </w:rPr>
        <w:t>tarnautojo pažymėjimą ir rašytinį vadovo įgaliojimą.</w:t>
      </w:r>
      <w:r>
        <w:rPr>
          <w:szCs w:val="24"/>
          <w:lang w:eastAsia="lt-LT"/>
        </w:rPr>
        <w:t>“</w:t>
      </w:r>
    </w:p>
    <w:p w:rsidR="00F45985" w:rsidRDefault="002A5EF7">
      <w:pPr>
        <w:spacing w:line="360" w:lineRule="atLeast"/>
        <w:ind w:firstLine="720"/>
        <w:jc w:val="both"/>
      </w:pPr>
      <w:r>
        <w:rPr>
          <w:szCs w:val="24"/>
          <w:lang w:eastAsia="lt-LT"/>
        </w:rPr>
        <w:t xml:space="preserve">4. Pakeisti </w:t>
      </w:r>
      <w:r w:rsidR="00B05D7D">
        <w:rPr>
          <w:szCs w:val="24"/>
          <w:lang w:eastAsia="lt-LT"/>
        </w:rPr>
        <w:t>šiuo nutarimu patvirtintas</w:t>
      </w:r>
      <w:r>
        <w:rPr>
          <w:szCs w:val="24"/>
          <w:lang w:eastAsia="lt-LT"/>
        </w:rPr>
        <w:t xml:space="preserve"> Sertifikatų karinę įrangą gaminančioms įmo</w:t>
      </w:r>
      <w:r w:rsidR="00B05D7D">
        <w:rPr>
          <w:szCs w:val="24"/>
          <w:lang w:eastAsia="lt-LT"/>
        </w:rPr>
        <w:t>nėms g</w:t>
      </w:r>
      <w:r w:rsidR="00920A32">
        <w:rPr>
          <w:szCs w:val="24"/>
          <w:lang w:eastAsia="lt-LT"/>
        </w:rPr>
        <w:t>avėjoms išdavimo taisykles ir 20</w:t>
      </w:r>
      <w:r w:rsidR="00B05D7D">
        <w:rPr>
          <w:szCs w:val="24"/>
          <w:lang w:eastAsia="lt-LT"/>
        </w:rPr>
        <w:t xml:space="preserve"> punktą</w:t>
      </w:r>
      <w:r>
        <w:rPr>
          <w:szCs w:val="24"/>
          <w:lang w:eastAsia="lt-LT"/>
        </w:rPr>
        <w:t xml:space="preserve"> išdėstyti taip:</w:t>
      </w:r>
    </w:p>
    <w:p w:rsidR="00920A32" w:rsidRDefault="002A5EF7" w:rsidP="00565C18">
      <w:pPr>
        <w:spacing w:line="276" w:lineRule="auto"/>
        <w:ind w:firstLine="720"/>
        <w:jc w:val="both"/>
        <w:rPr>
          <w:szCs w:val="24"/>
        </w:rPr>
      </w:pPr>
      <w:r>
        <w:rPr>
          <w:szCs w:val="24"/>
          <w:lang w:eastAsia="lt-LT"/>
        </w:rPr>
        <w:t>„</w:t>
      </w:r>
      <w:r w:rsidR="00920A32">
        <w:rPr>
          <w:iCs/>
          <w:szCs w:val="24"/>
        </w:rPr>
        <w:t xml:space="preserve">20. Sertifikuotų įmonių atitikties patikimumo reikalavimams patikrinimą pagal kompetenciją atlieka </w:t>
      </w:r>
      <w:r w:rsidR="00893ACB">
        <w:rPr>
          <w:szCs w:val="24"/>
        </w:rPr>
        <w:t>Lietuvos Respublikos e</w:t>
      </w:r>
      <w:r w:rsidR="00920A32">
        <w:rPr>
          <w:szCs w:val="24"/>
        </w:rPr>
        <w:t xml:space="preserve">konomikos ir inovacijų ministerijos, </w:t>
      </w:r>
      <w:r w:rsidR="00893ACB">
        <w:rPr>
          <w:szCs w:val="24"/>
        </w:rPr>
        <w:t>Lietuvos Respublikos k</w:t>
      </w:r>
      <w:r w:rsidR="00920A32">
        <w:rPr>
          <w:szCs w:val="24"/>
        </w:rPr>
        <w:t>rašto apsaugos ministerijos</w:t>
      </w:r>
      <w:r w:rsidR="00920A32" w:rsidRPr="00920A32">
        <w:rPr>
          <w:strike/>
          <w:szCs w:val="24"/>
        </w:rPr>
        <w:t>,</w:t>
      </w:r>
      <w:r w:rsidR="00920A32">
        <w:rPr>
          <w:szCs w:val="24"/>
        </w:rPr>
        <w:t xml:space="preserve"> </w:t>
      </w:r>
      <w:r w:rsidR="00920A32">
        <w:rPr>
          <w:b/>
          <w:szCs w:val="24"/>
        </w:rPr>
        <w:t xml:space="preserve">ir </w:t>
      </w:r>
      <w:r w:rsidR="00920A32">
        <w:rPr>
          <w:szCs w:val="24"/>
        </w:rPr>
        <w:t xml:space="preserve">Policijos departamento prie Lietuvos Respublikos vidaus reikalų ministerijos </w:t>
      </w:r>
      <w:r w:rsidR="00920A32" w:rsidRPr="00920A32">
        <w:rPr>
          <w:strike/>
          <w:szCs w:val="24"/>
        </w:rPr>
        <w:t>ir Lietuvos Respublikos ginklų fondo prie Lietuvos Respublikos vidaus reikalų ministerijos</w:t>
      </w:r>
      <w:r w:rsidR="00920A32">
        <w:rPr>
          <w:szCs w:val="24"/>
        </w:rPr>
        <w:t xml:space="preserve"> atstovai.“</w:t>
      </w:r>
    </w:p>
    <w:p w:rsidR="00F45985" w:rsidRDefault="002A5EF7" w:rsidP="00871861">
      <w:pPr>
        <w:spacing w:line="360" w:lineRule="atLeast"/>
        <w:ind w:firstLine="720"/>
        <w:jc w:val="both"/>
      </w:pPr>
      <w:r>
        <w:rPr>
          <w:szCs w:val="24"/>
          <w:lang w:eastAsia="lt-LT"/>
        </w:rPr>
        <w:t xml:space="preserve">5. </w:t>
      </w:r>
      <w:r w:rsidR="00B05D7D">
        <w:rPr>
          <w:color w:val="000000"/>
          <w:szCs w:val="24"/>
        </w:rPr>
        <w:t>Š</w:t>
      </w:r>
      <w:r>
        <w:rPr>
          <w:color w:val="000000"/>
          <w:szCs w:val="24"/>
        </w:rPr>
        <w:t xml:space="preserve">is nutarimas įsigalioja 2020 m. liepos 1 d. </w:t>
      </w:r>
    </w:p>
    <w:p w:rsidR="00F45985" w:rsidRDefault="00F45985">
      <w:pPr>
        <w:spacing w:line="360" w:lineRule="atLeast"/>
        <w:ind w:firstLine="720"/>
        <w:jc w:val="both"/>
        <w:rPr>
          <w:color w:val="000000"/>
          <w:szCs w:val="24"/>
        </w:rPr>
      </w:pPr>
    </w:p>
    <w:p w:rsidR="00F45985" w:rsidRDefault="00F45985">
      <w:pPr>
        <w:spacing w:line="360" w:lineRule="atLeast"/>
        <w:ind w:firstLine="720"/>
        <w:jc w:val="both"/>
        <w:rPr>
          <w:szCs w:val="24"/>
        </w:rPr>
      </w:pPr>
    </w:p>
    <w:p w:rsidR="00F45985" w:rsidRDefault="00F45985">
      <w:pPr>
        <w:tabs>
          <w:tab w:val="left" w:pos="6237"/>
          <w:tab w:val="right" w:pos="8306"/>
        </w:tabs>
        <w:rPr>
          <w:color w:val="000000"/>
          <w:lang w:eastAsia="lt-LT"/>
        </w:rPr>
      </w:pPr>
    </w:p>
    <w:p w:rsidR="00F45985" w:rsidRDefault="002A5EF7">
      <w:pPr>
        <w:tabs>
          <w:tab w:val="left" w:pos="6237"/>
          <w:tab w:val="right" w:pos="8306"/>
        </w:tabs>
        <w:rPr>
          <w:color w:val="000000"/>
          <w:lang w:eastAsia="lt-LT"/>
        </w:rPr>
      </w:pPr>
      <w:r>
        <w:rPr>
          <w:color w:val="000000"/>
          <w:lang w:eastAsia="lt-LT"/>
        </w:rPr>
        <w:t>Ministras Pirmininkas</w:t>
      </w:r>
    </w:p>
    <w:p w:rsidR="00F45985" w:rsidRDefault="00F45985">
      <w:pPr>
        <w:tabs>
          <w:tab w:val="left" w:pos="6237"/>
          <w:tab w:val="right" w:pos="8306"/>
        </w:tabs>
        <w:rPr>
          <w:color w:val="000000"/>
          <w:lang w:eastAsia="lt-LT"/>
        </w:rPr>
      </w:pPr>
    </w:p>
    <w:p w:rsidR="00F45985" w:rsidRDefault="00F45985">
      <w:pPr>
        <w:tabs>
          <w:tab w:val="left" w:pos="6237"/>
          <w:tab w:val="right" w:pos="8306"/>
        </w:tabs>
        <w:rPr>
          <w:color w:val="000000"/>
          <w:lang w:eastAsia="lt-LT"/>
        </w:rPr>
      </w:pPr>
    </w:p>
    <w:p w:rsidR="00F45985" w:rsidRDefault="00B05D7D">
      <w:pPr>
        <w:tabs>
          <w:tab w:val="left" w:pos="6237"/>
          <w:tab w:val="right" w:pos="8306"/>
        </w:tabs>
      </w:pPr>
      <w:r>
        <w:rPr>
          <w:color w:val="000000"/>
          <w:lang w:eastAsia="lt-LT"/>
        </w:rPr>
        <w:t>Ekonomikos ir inovacijų ministras</w:t>
      </w:r>
    </w:p>
    <w:sectPr w:rsidR="00F45985" w:rsidSect="00F45985">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6F" w:rsidRDefault="00954F6F" w:rsidP="00F45985">
      <w:r>
        <w:separator/>
      </w:r>
    </w:p>
  </w:endnote>
  <w:endnote w:type="continuationSeparator" w:id="0">
    <w:p w:rsidR="00954F6F" w:rsidRDefault="00954F6F" w:rsidP="00F4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85" w:rsidRDefault="00F4598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85" w:rsidRDefault="00F4598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6F" w:rsidRDefault="00954F6F" w:rsidP="00F45985">
      <w:r>
        <w:separator/>
      </w:r>
    </w:p>
  </w:footnote>
  <w:footnote w:type="continuationSeparator" w:id="0">
    <w:p w:rsidR="00954F6F" w:rsidRDefault="00954F6F" w:rsidP="00F45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85" w:rsidRDefault="00565C18">
    <w:pPr>
      <w:tabs>
        <w:tab w:val="center" w:pos="4153"/>
        <w:tab w:val="right" w:pos="8306"/>
      </w:tabs>
      <w:ind w:right="360"/>
    </w:pPr>
    <w:r>
      <w:rPr>
        <w:noProof/>
        <w:lang w:eastAsia="lt-LT"/>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635</wp:posOffset>
              </wp:positionV>
              <wp:extent cx="80010" cy="173355"/>
              <wp:effectExtent l="0" t="635"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F45985" w:rsidRDefault="00A11618">
                          <w:pPr>
                            <w:pStyle w:val="FrameContents"/>
                            <w:tabs>
                              <w:tab w:val="center" w:pos="4153"/>
                              <w:tab w:val="right" w:pos="8306"/>
                            </w:tabs>
                            <w:rPr>
                              <w:color w:val="000000"/>
                            </w:rPr>
                          </w:pPr>
                          <w:r>
                            <w:rPr>
                              <w:color w:val="000000"/>
                            </w:rPr>
                            <w:fldChar w:fldCharType="begin"/>
                          </w:r>
                          <w:r w:rsidR="002A5EF7">
                            <w:instrText>PAGE</w:instrText>
                          </w:r>
                          <w:r>
                            <w:fldChar w:fldCharType="separate"/>
                          </w:r>
                          <w:r w:rsidR="00565C18">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margin-left:0;margin-top:.05pt;width:6.3pt;height:13.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" filled="f" stroked="f" strokecolor="#3465a4">
              <v:stroke joinstyle="round"/>
              <v:textbox>
                <w:txbxContent>
                  <w:p w:rsidR="00F45985" w:rsidRDefault="00A11618">
                    <w:pPr>
                      <w:pStyle w:val="FrameContents"/>
                      <w:tabs>
                        <w:tab w:val="center" w:pos="4153"/>
                        <w:tab w:val="right" w:pos="8306"/>
                      </w:tabs>
                      <w:rPr>
                        <w:color w:val="000000"/>
                      </w:rPr>
                    </w:pPr>
                    <w:r>
                      <w:rPr>
                        <w:color w:val="000000"/>
                      </w:rPr>
                      <w:fldChar w:fldCharType="begin"/>
                    </w:r>
                    <w:r w:rsidR="002A5EF7">
                      <w:instrText>PAGE</w:instrText>
                    </w:r>
                    <w:r>
                      <w:fldChar w:fldCharType="separate"/>
                    </w:r>
                    <w:r w:rsidR="00565C18">
                      <w:rPr>
                        <w:noProof/>
                      </w:rPr>
                      <w:t>2</w:t>
                    </w:r>
                    <w: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85" w:rsidRDefault="00F4598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85"/>
    <w:rsid w:val="001365E6"/>
    <w:rsid w:val="002A5EF7"/>
    <w:rsid w:val="002B0129"/>
    <w:rsid w:val="00353041"/>
    <w:rsid w:val="00430AA9"/>
    <w:rsid w:val="00565C18"/>
    <w:rsid w:val="00871861"/>
    <w:rsid w:val="00893ACB"/>
    <w:rsid w:val="00920A32"/>
    <w:rsid w:val="00954F6F"/>
    <w:rsid w:val="00A11618"/>
    <w:rsid w:val="00A700EF"/>
    <w:rsid w:val="00B05D7D"/>
    <w:rsid w:val="00F45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A7954-2B0E-4DD5-8FB8-C08F97E6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985"/>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45985"/>
    <w:rPr>
      <w:color w:val="808080"/>
    </w:rPr>
  </w:style>
  <w:style w:type="character" w:customStyle="1" w:styleId="InternetLink">
    <w:name w:val="Internet Link"/>
    <w:qFormat/>
    <w:rsid w:val="00F45985"/>
    <w:rPr>
      <w:color w:val="000080"/>
      <w:u w:val="single"/>
    </w:rPr>
  </w:style>
  <w:style w:type="character" w:styleId="Komentaronuoroda">
    <w:name w:val="annotation reference"/>
    <w:basedOn w:val="Numatytasispastraiposriftas"/>
    <w:qFormat/>
    <w:rsid w:val="00D41A1C"/>
    <w:rPr>
      <w:sz w:val="16"/>
      <w:szCs w:val="16"/>
    </w:rPr>
  </w:style>
  <w:style w:type="character" w:customStyle="1" w:styleId="KomentarotekstasDiagrama">
    <w:name w:val="Komentaro tekstas Diagrama"/>
    <w:basedOn w:val="Numatytasispastraiposriftas"/>
    <w:link w:val="Komentarotekstas"/>
    <w:qFormat/>
    <w:rsid w:val="00D41A1C"/>
    <w:rPr>
      <w:color w:val="00000A"/>
    </w:rPr>
  </w:style>
  <w:style w:type="character" w:customStyle="1" w:styleId="KomentarotemaDiagrama">
    <w:name w:val="Komentaro tema Diagrama"/>
    <w:basedOn w:val="KomentarotekstasDiagrama"/>
    <w:link w:val="Komentarotema"/>
    <w:qFormat/>
    <w:rsid w:val="00D41A1C"/>
    <w:rPr>
      <w:b/>
      <w:bCs/>
      <w:color w:val="00000A"/>
    </w:rPr>
  </w:style>
  <w:style w:type="character" w:customStyle="1" w:styleId="DebesliotekstasDiagrama">
    <w:name w:val="Debesėlio tekstas Diagrama"/>
    <w:basedOn w:val="Numatytasispastraiposriftas"/>
    <w:link w:val="Debesliotekstas"/>
    <w:qFormat/>
    <w:rsid w:val="00D41A1C"/>
    <w:rPr>
      <w:rFonts w:ascii="Tahoma" w:hAnsi="Tahoma" w:cs="Tahoma"/>
      <w:color w:val="00000A"/>
      <w:sz w:val="16"/>
      <w:szCs w:val="16"/>
    </w:rPr>
  </w:style>
  <w:style w:type="paragraph" w:customStyle="1" w:styleId="Heading">
    <w:name w:val="Heading"/>
    <w:basedOn w:val="prastasis"/>
    <w:next w:val="Pagrindinistekstas"/>
    <w:qFormat/>
    <w:rsid w:val="00F45985"/>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F45985"/>
    <w:pPr>
      <w:spacing w:after="140" w:line="288" w:lineRule="auto"/>
    </w:pPr>
  </w:style>
  <w:style w:type="paragraph" w:styleId="Sraas">
    <w:name w:val="List"/>
    <w:basedOn w:val="Pagrindinistekstas"/>
    <w:rsid w:val="00F45985"/>
    <w:rPr>
      <w:rFonts w:cs="Arial"/>
    </w:rPr>
  </w:style>
  <w:style w:type="paragraph" w:customStyle="1" w:styleId="Antrat1">
    <w:name w:val="Antraštė1"/>
    <w:basedOn w:val="prastasis"/>
    <w:qFormat/>
    <w:rsid w:val="00F45985"/>
    <w:pPr>
      <w:suppressLineNumbers/>
      <w:spacing w:before="120" w:after="120"/>
    </w:pPr>
    <w:rPr>
      <w:rFonts w:cs="Arial"/>
      <w:i/>
      <w:iCs/>
      <w:szCs w:val="24"/>
    </w:rPr>
  </w:style>
  <w:style w:type="paragraph" w:customStyle="1" w:styleId="Index">
    <w:name w:val="Index"/>
    <w:basedOn w:val="prastasis"/>
    <w:qFormat/>
    <w:rsid w:val="00F45985"/>
    <w:pPr>
      <w:suppressLineNumbers/>
    </w:pPr>
    <w:rPr>
      <w:rFonts w:cs="Arial"/>
    </w:rPr>
  </w:style>
  <w:style w:type="paragraph" w:styleId="Antrat">
    <w:name w:val="caption"/>
    <w:basedOn w:val="prastasis"/>
    <w:qFormat/>
    <w:rsid w:val="00F45985"/>
    <w:pPr>
      <w:keepNext/>
      <w:spacing w:before="240" w:after="120"/>
    </w:pPr>
    <w:rPr>
      <w:rFonts w:ascii="Liberation Sans" w:eastAsia="Microsoft YaHei" w:hAnsi="Liberation Sans" w:cs="Arial"/>
      <w:sz w:val="28"/>
      <w:szCs w:val="28"/>
    </w:rPr>
  </w:style>
  <w:style w:type="paragraph" w:customStyle="1" w:styleId="Rodykl">
    <w:name w:val="Rodyklė"/>
    <w:basedOn w:val="prastasis"/>
    <w:qFormat/>
    <w:rsid w:val="00F45985"/>
    <w:pPr>
      <w:suppressLineNumbers/>
    </w:pPr>
    <w:rPr>
      <w:rFonts w:cs="Arial"/>
    </w:rPr>
  </w:style>
  <w:style w:type="paragraph" w:customStyle="1" w:styleId="Antrats1">
    <w:name w:val="Antraštės1"/>
    <w:basedOn w:val="prastasis"/>
    <w:rsid w:val="00F45985"/>
  </w:style>
  <w:style w:type="paragraph" w:customStyle="1" w:styleId="FrameContents">
    <w:name w:val="Frame Contents"/>
    <w:basedOn w:val="prastasis"/>
    <w:qFormat/>
    <w:rsid w:val="00F45985"/>
  </w:style>
  <w:style w:type="paragraph" w:customStyle="1" w:styleId="Porat1">
    <w:name w:val="Poraštė1"/>
    <w:basedOn w:val="prastasis"/>
    <w:rsid w:val="00F45985"/>
  </w:style>
  <w:style w:type="paragraph" w:customStyle="1" w:styleId="Kadroturinys">
    <w:name w:val="Kadro turinys"/>
    <w:basedOn w:val="prastasis"/>
    <w:qFormat/>
    <w:rsid w:val="00F45985"/>
  </w:style>
  <w:style w:type="paragraph" w:styleId="Komentarotekstas">
    <w:name w:val="annotation text"/>
    <w:basedOn w:val="prastasis"/>
    <w:link w:val="KomentarotekstasDiagrama"/>
    <w:qFormat/>
    <w:rsid w:val="00D41A1C"/>
    <w:rPr>
      <w:sz w:val="20"/>
    </w:rPr>
  </w:style>
  <w:style w:type="paragraph" w:styleId="Komentarotema">
    <w:name w:val="annotation subject"/>
    <w:basedOn w:val="Komentarotekstas"/>
    <w:link w:val="KomentarotemaDiagrama"/>
    <w:qFormat/>
    <w:rsid w:val="00D41A1C"/>
    <w:rPr>
      <w:b/>
      <w:bCs/>
    </w:rPr>
  </w:style>
  <w:style w:type="paragraph" w:styleId="Debesliotekstas">
    <w:name w:val="Balloon Text"/>
    <w:basedOn w:val="prastasis"/>
    <w:link w:val="DebesliotekstasDiagrama"/>
    <w:qFormat/>
    <w:rsid w:val="00D41A1C"/>
    <w:rPr>
      <w:rFonts w:ascii="Tahoma" w:hAnsi="Tahoma" w:cs="Tahoma"/>
      <w:sz w:val="16"/>
      <w:szCs w:val="16"/>
    </w:rPr>
  </w:style>
  <w:style w:type="paragraph" w:styleId="Sraopastraipa">
    <w:name w:val="List Paragraph"/>
    <w:basedOn w:val="prastasis"/>
    <w:qFormat/>
    <w:rsid w:val="00647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3042</Words>
  <Characters>1735</Characters>
  <Application>Microsoft Office Word</Application>
  <DocSecurity>0</DocSecurity>
  <Lines>14</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LRVK</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Kristijonas Gudalevičius</cp:lastModifiedBy>
  <cp:revision>2</cp:revision>
  <cp:lastPrinted>2011-09-21T05:39:00Z</cp:lastPrinted>
  <dcterms:created xsi:type="dcterms:W3CDTF">2020-05-18T05:51:00Z</dcterms:created>
  <dcterms:modified xsi:type="dcterms:W3CDTF">2020-05-18T05:51:00Z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