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467AA" w14:textId="63E7D7E8" w:rsidR="0007283C" w:rsidRDefault="0007283C" w:rsidP="0007283C">
      <w:pPr>
        <w:pStyle w:val="Pagrindinistekstas"/>
        <w:ind w:firstLine="567"/>
        <w:jc w:val="center"/>
        <w:rPr>
          <w:b/>
          <w:lang w:val="lt-LT"/>
        </w:rPr>
      </w:pPr>
      <w:r w:rsidRPr="0007283C">
        <w:rPr>
          <w:b/>
          <w:lang w:val="lt-LT"/>
        </w:rPr>
        <w:t xml:space="preserve">LIETUVOS RESPUBLIKOS </w:t>
      </w:r>
      <w:r w:rsidR="00CF6995">
        <w:rPr>
          <w:b/>
          <w:lang w:val="lt-LT"/>
        </w:rPr>
        <w:t>VYRIAUSYBĖS NUTARIMO</w:t>
      </w:r>
      <w:r>
        <w:rPr>
          <w:b/>
          <w:lang w:val="lt-LT"/>
        </w:rPr>
        <w:t xml:space="preserve"> </w:t>
      </w:r>
      <w:r w:rsidR="00124705">
        <w:rPr>
          <w:b/>
          <w:lang w:val="lt-LT"/>
        </w:rPr>
        <w:t>„</w:t>
      </w:r>
      <w:r w:rsidR="00CF6995" w:rsidRPr="00674E9C">
        <w:rPr>
          <w:b/>
        </w:rPr>
        <w:t xml:space="preserve">DĖL </w:t>
      </w:r>
      <w:r w:rsidR="00CF6995" w:rsidRPr="00674E9C">
        <w:rPr>
          <w:b/>
          <w:bCs/>
        </w:rPr>
        <w:t>MAGISTRALINIO KELIO A5 KAUNAS–MARIJAMPOLĖ–SUVALKAI RUOŽO NUO 56,83 IKI 97,06 KM REKONSTRAVIMO SPECIALIOJO PLANO PATVIRTINIMO IR ŽEMĖS PAĖMIMO VISUOMENĖS POREIKIAMS MAGISTRALINIO KELIO A5 KAUNAS–MARIJAMPOLĖ–SUVALKAI RUOŽUI NUO 56,83 IKI 97,06 KM REKONSTRUOTI PROCEDŪROS PRADŽIOS</w:t>
      </w:r>
      <w:r w:rsidR="00124705">
        <w:rPr>
          <w:b/>
          <w:bCs/>
          <w:lang w:val="lt-LT"/>
        </w:rPr>
        <w:t>“</w:t>
      </w:r>
      <w:r w:rsidRPr="0007283C">
        <w:rPr>
          <w:b/>
          <w:lang w:val="lt-LT"/>
        </w:rPr>
        <w:t xml:space="preserve"> </w:t>
      </w:r>
      <w:r w:rsidR="00CF6995">
        <w:rPr>
          <w:b/>
          <w:lang w:val="lt-LT"/>
        </w:rPr>
        <w:t xml:space="preserve">PROJEKTO </w:t>
      </w:r>
      <w:r w:rsidRPr="0007283C">
        <w:rPr>
          <w:b/>
          <w:lang w:val="lt-LT"/>
        </w:rPr>
        <w:t>DERINIMO PAŽYMA</w:t>
      </w:r>
    </w:p>
    <w:p w14:paraId="0F19A20D" w14:textId="77777777" w:rsidR="00A513C3" w:rsidRDefault="00A513C3" w:rsidP="002E035C">
      <w:pPr>
        <w:pStyle w:val="Pagrindinistekstas"/>
        <w:spacing w:after="0"/>
        <w:ind w:firstLine="567"/>
        <w:jc w:val="center"/>
        <w:rPr>
          <w:b/>
          <w:lang w:val="lt-LT"/>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520"/>
        <w:gridCol w:w="6095"/>
      </w:tblGrid>
      <w:tr w:rsidR="002E035C" w:rsidRPr="00631D26" w14:paraId="6A47F105" w14:textId="77777777" w:rsidTr="0043218A">
        <w:tc>
          <w:tcPr>
            <w:tcW w:w="2547" w:type="dxa"/>
            <w:vAlign w:val="center"/>
          </w:tcPr>
          <w:p w14:paraId="656A9686" w14:textId="77777777" w:rsidR="002E035C" w:rsidRPr="00631D26" w:rsidRDefault="002E035C" w:rsidP="00B837B0">
            <w:pPr>
              <w:tabs>
                <w:tab w:val="left" w:pos="0"/>
              </w:tabs>
              <w:ind w:right="34"/>
              <w:jc w:val="center"/>
            </w:pPr>
            <w:r w:rsidRPr="00631D26">
              <w:t>Institucija, pateikusi pastabas ir pasiūlymus</w:t>
            </w:r>
          </w:p>
        </w:tc>
        <w:tc>
          <w:tcPr>
            <w:tcW w:w="6520" w:type="dxa"/>
            <w:vAlign w:val="center"/>
          </w:tcPr>
          <w:p w14:paraId="451D8FA9" w14:textId="77777777" w:rsidR="002E035C" w:rsidRPr="00631D26" w:rsidRDefault="002E035C" w:rsidP="00B837B0">
            <w:pPr>
              <w:tabs>
                <w:tab w:val="left" w:pos="0"/>
              </w:tabs>
              <w:ind w:right="34"/>
              <w:jc w:val="center"/>
            </w:pPr>
            <w:r w:rsidRPr="00631D26">
              <w:t>Pastabos ir pasiūlymai</w:t>
            </w:r>
          </w:p>
        </w:tc>
        <w:tc>
          <w:tcPr>
            <w:tcW w:w="6095" w:type="dxa"/>
            <w:vAlign w:val="center"/>
          </w:tcPr>
          <w:p w14:paraId="1A1D1F56" w14:textId="77777777" w:rsidR="002E035C" w:rsidRPr="00631D26" w:rsidRDefault="000906DB" w:rsidP="00B837B0">
            <w:pPr>
              <w:tabs>
                <w:tab w:val="left" w:pos="0"/>
              </w:tabs>
              <w:ind w:right="34"/>
              <w:jc w:val="center"/>
              <w:rPr>
                <w:b/>
              </w:rPr>
            </w:pPr>
            <w:r>
              <w:t>Argumentai, kodėl neatsižvelgta arba tik iš dalies atsižvelgta į</w:t>
            </w:r>
            <w:r w:rsidR="002E035C" w:rsidRPr="00631D26">
              <w:t xml:space="preserve"> pastab</w:t>
            </w:r>
            <w:r>
              <w:t>a</w:t>
            </w:r>
            <w:r w:rsidR="002E035C" w:rsidRPr="00631D26">
              <w:t>s ir pasiūlym</w:t>
            </w:r>
            <w:r>
              <w:t>u</w:t>
            </w:r>
            <w:r w:rsidR="002E035C" w:rsidRPr="00631D26">
              <w:t>s</w:t>
            </w:r>
          </w:p>
        </w:tc>
      </w:tr>
      <w:tr w:rsidR="00B837B0" w:rsidRPr="00631D26" w14:paraId="10C21497" w14:textId="77777777" w:rsidTr="00B837B0">
        <w:trPr>
          <w:trHeight w:val="1894"/>
        </w:trPr>
        <w:tc>
          <w:tcPr>
            <w:tcW w:w="2547" w:type="dxa"/>
          </w:tcPr>
          <w:p w14:paraId="1466604B" w14:textId="7458B40B" w:rsidR="00B837B0" w:rsidRDefault="00B837B0" w:rsidP="009035F9">
            <w:pPr>
              <w:tabs>
                <w:tab w:val="left" w:pos="0"/>
              </w:tabs>
              <w:ind w:right="34"/>
              <w:jc w:val="both"/>
              <w:rPr>
                <w:color w:val="000000"/>
              </w:rPr>
            </w:pPr>
            <w:r>
              <w:rPr>
                <w:color w:val="000000"/>
              </w:rPr>
              <w:t xml:space="preserve">Lietuvos Respublikos Vyriausybės kanceliarijos </w:t>
            </w:r>
          </w:p>
          <w:p w14:paraId="3688DC7D" w14:textId="0024CBBC" w:rsidR="00B837B0" w:rsidRPr="00547C3C" w:rsidRDefault="00B837B0" w:rsidP="009035F9">
            <w:pPr>
              <w:tabs>
                <w:tab w:val="left" w:pos="0"/>
              </w:tabs>
              <w:ind w:right="34"/>
              <w:jc w:val="both"/>
              <w:rPr>
                <w:b/>
                <w:bCs/>
                <w:color w:val="000000"/>
              </w:rPr>
            </w:pPr>
            <w:r w:rsidRPr="00547C3C">
              <w:rPr>
                <w:b/>
                <w:bCs/>
                <w:color w:val="000000"/>
              </w:rPr>
              <w:t xml:space="preserve">2019-11-04 raštas </w:t>
            </w:r>
          </w:p>
          <w:p w14:paraId="3B7F6693" w14:textId="3BDBF753" w:rsidR="00B837B0" w:rsidRPr="00631D26" w:rsidRDefault="00B837B0" w:rsidP="009035F9">
            <w:pPr>
              <w:tabs>
                <w:tab w:val="left" w:pos="0"/>
              </w:tabs>
              <w:ind w:right="34"/>
              <w:jc w:val="both"/>
            </w:pPr>
            <w:r w:rsidRPr="00547C3C">
              <w:rPr>
                <w:b/>
                <w:bCs/>
                <w:color w:val="000000"/>
              </w:rPr>
              <w:t>Nr. NV-3083</w:t>
            </w:r>
          </w:p>
        </w:tc>
        <w:tc>
          <w:tcPr>
            <w:tcW w:w="6520" w:type="dxa"/>
          </w:tcPr>
          <w:p w14:paraId="218EF3F7" w14:textId="28146E73" w:rsidR="00B837B0" w:rsidRPr="00631D26" w:rsidRDefault="00B837B0" w:rsidP="009035F9">
            <w:pPr>
              <w:jc w:val="both"/>
            </w:pPr>
            <w:r>
              <w:t xml:space="preserve">Nutarimo projektu siūlomo patvirtinti specialiojo plano V tomo dalyje „Sprendiniai“ nurodoma, jog kai kurie specialiajame plane pateikti sprendiniai yra tik preliminarūs (pvz., kelio važiuojamosios dalies plotis, skirtingų lygių sankryžos, sankirtos, tuneliniai pravažiavimai, viadukai ir pan.) ir turi būti tikslinami techninio darbo projekto rengimo metu neinicijuojant specialiojo plano koregavimo ir (ar) keitimo procedūros. </w:t>
            </w:r>
            <w:r w:rsidRPr="002168B3">
              <w:t xml:space="preserve">Atkreiptinas dėmesys, kad Lietuvos Respublikos teritorijų planavimo įstatyme specialiojo plano sprendinių preliminarumo galimybė nėra </w:t>
            </w:r>
            <w:r>
              <w:t>aptar</w:t>
            </w:r>
            <w:r w:rsidRPr="002168B3">
              <w:t>ta.</w:t>
            </w:r>
            <w:r>
              <w:t xml:space="preserve"> Siūlytina nurodyti teisinį pagrindą, kuriuo remiantis siūlomame Lietuvos Respublikos Vyriausybei patvirtinti specialiajame plane daromos minėtos išlygos.</w:t>
            </w:r>
          </w:p>
        </w:tc>
        <w:tc>
          <w:tcPr>
            <w:tcW w:w="6095" w:type="dxa"/>
          </w:tcPr>
          <w:p w14:paraId="3E07A736" w14:textId="5E7AA5AF" w:rsidR="00B837B0" w:rsidRDefault="00124705" w:rsidP="00063D76">
            <w:pPr>
              <w:tabs>
                <w:tab w:val="left" w:pos="0"/>
              </w:tabs>
              <w:ind w:right="34"/>
              <w:jc w:val="both"/>
            </w:pPr>
            <w:r w:rsidRPr="00547C3C">
              <w:rPr>
                <w:b/>
                <w:bCs/>
              </w:rPr>
              <w:t>N</w:t>
            </w:r>
            <w:r w:rsidR="00B837B0" w:rsidRPr="00547C3C">
              <w:rPr>
                <w:b/>
                <w:bCs/>
              </w:rPr>
              <w:t>eatsižvelgta.</w:t>
            </w:r>
            <w:r w:rsidR="00B837B0" w:rsidRPr="00E70539">
              <w:t xml:space="preserve"> </w:t>
            </w:r>
            <w:r w:rsidR="00547C3C" w:rsidRPr="001324CD">
              <w:t>Lietuvos Respublikos aplinkos ministro 2014 m. sausio 2 d. įsakym</w:t>
            </w:r>
            <w:r w:rsidR="00547C3C">
              <w:t>u</w:t>
            </w:r>
            <w:r w:rsidR="00547C3C" w:rsidRPr="001324CD">
              <w:t xml:space="preserve"> Nr. D1-7 „Dėl Teritorijų planavimo normų patvirtinimo“ </w:t>
            </w:r>
            <w:r w:rsidR="00547C3C">
              <w:t xml:space="preserve">patvirtintų Teritorijų planavimo normų </w:t>
            </w:r>
            <w:r w:rsidR="00547C3C" w:rsidRPr="001324CD">
              <w:t>(toliau – Normos) 1 skyriaus 3 dalimi</w:t>
            </w:r>
            <w:r w:rsidR="00547C3C">
              <w:t xml:space="preserve">, </w:t>
            </w:r>
            <w:r w:rsidR="00B837B0" w:rsidRPr="00063D76">
              <w:rPr>
                <w:i/>
                <w:iCs/>
              </w:rPr>
              <w:t xml:space="preserve">Normų reikalavimai </w:t>
            </w:r>
            <w:r w:rsidR="00B837B0" w:rsidRPr="00E70539">
              <w:rPr>
                <w:i/>
                <w:iCs/>
              </w:rPr>
              <w:t>privalomi visiems teritorijų planavimo dalyviams, viešojo administravimo subjektams, taip pat kitiems fiziniams ir juridiniams asmenims ar kitoms organizacijoms, kurių veiklos principus teritorijų planavimo srityje nustato Teritorijų planavimo įstatymas, jeigu nenurodyta, kad jie yra rekomendaciniai. Rekomendaciniai reikalavimai</w:t>
            </w:r>
            <w:r w:rsidR="00B837B0" w:rsidRPr="00E70539">
              <w:rPr>
                <w:i/>
                <w:iCs/>
              </w:rPr>
              <w:t>, apibendrinus teritorijų planavimo praktiką, nurodo preliminarius pa</w:t>
            </w:r>
            <w:bookmarkStart w:id="0" w:name="_GoBack"/>
            <w:bookmarkEnd w:id="0"/>
            <w:r w:rsidR="00B837B0" w:rsidRPr="00E70539">
              <w:rPr>
                <w:i/>
                <w:iCs/>
              </w:rPr>
              <w:t xml:space="preserve">rametrus, kurie padeda suformuoti efektyvias ir gyvybingas urbanistines struktūras. Šie parametrai gali būti modifikuojami, </w:t>
            </w:r>
            <w:r w:rsidR="00B837B0" w:rsidRPr="00E70539">
              <w:rPr>
                <w:i/>
                <w:iCs/>
              </w:rPr>
              <w:t>atsižvelgiant į specifines konkrečios planuojamos teritorijos savybes</w:t>
            </w:r>
            <w:r w:rsidR="00B837B0" w:rsidRPr="00E70539">
              <w:t xml:space="preserve">. </w:t>
            </w:r>
            <w:r w:rsidR="00B837B0" w:rsidRPr="00E70539">
              <w:rPr>
                <w:u w:val="single"/>
              </w:rPr>
              <w:t xml:space="preserve">Remiantis </w:t>
            </w:r>
            <w:r w:rsidR="00B837B0" w:rsidRPr="00E70539">
              <w:rPr>
                <w:u w:val="single"/>
              </w:rPr>
              <w:t>tuo, galima teigti, kad teritorijų planavimo dokumentuose</w:t>
            </w:r>
            <w:r w:rsidR="00E01A44">
              <w:rPr>
                <w:u w:val="single"/>
              </w:rPr>
              <w:t xml:space="preserve"> (toliau – TPD)</w:t>
            </w:r>
            <w:r w:rsidR="00B837B0" w:rsidRPr="00E70539">
              <w:rPr>
                <w:u w:val="single"/>
              </w:rPr>
              <w:t xml:space="preserve"> gali būti pateikiami preliminarūs parametrai</w:t>
            </w:r>
            <w:r w:rsidR="00B837B0" w:rsidRPr="00E70539">
              <w:t>.</w:t>
            </w:r>
          </w:p>
          <w:p w14:paraId="46A69976" w14:textId="77777777" w:rsidR="00B837B0" w:rsidRPr="00B559C5" w:rsidRDefault="00B837B0" w:rsidP="00063D76">
            <w:pPr>
              <w:tabs>
                <w:tab w:val="left" w:pos="0"/>
              </w:tabs>
              <w:ind w:right="34"/>
              <w:jc w:val="both"/>
              <w:rPr>
                <w:u w:val="single"/>
              </w:rPr>
            </w:pPr>
            <w:r w:rsidRPr="00B559C5">
              <w:rPr>
                <w:u w:val="single"/>
              </w:rPr>
              <w:t>Teisinis pagrindimas, kuriuo remiantis teikiamame tvirtinti specialiajame plane daromos minėtos išlygos:</w:t>
            </w:r>
          </w:p>
          <w:p w14:paraId="005A0B5A" w14:textId="2F00AF8B" w:rsidR="00B837B0" w:rsidRPr="00CB6E4E" w:rsidRDefault="00B837B0" w:rsidP="00063D76">
            <w:pPr>
              <w:jc w:val="both"/>
            </w:pPr>
            <w:r w:rsidRPr="00547C3C">
              <w:rPr>
                <w:iCs/>
              </w:rPr>
              <w:t>Vadovaujantis Lietuvos Respublikos teritorijų planavimo įstatymo 30 straipsnio 8 d</w:t>
            </w:r>
            <w:r w:rsidR="00124705" w:rsidRPr="00547C3C">
              <w:rPr>
                <w:iCs/>
              </w:rPr>
              <w:t>alimi</w:t>
            </w:r>
            <w:r w:rsidRPr="00CB6E4E">
              <w:t xml:space="preserve">, </w:t>
            </w:r>
            <w:r w:rsidRPr="00CB6E4E">
              <w:rPr>
                <w:u w:val="single"/>
              </w:rPr>
              <w:t xml:space="preserve">specialiojo </w:t>
            </w:r>
            <w:r w:rsidR="00E01A44" w:rsidRPr="00E01A44">
              <w:rPr>
                <w:u w:val="single"/>
              </w:rPr>
              <w:t>TPD</w:t>
            </w:r>
            <w:r w:rsidRPr="00CB6E4E">
              <w:t xml:space="preserve"> rengiami, koreguojami, keičiami, derinami, tikrinami ir tvirtinami vadovaujantis šiuo įstatymu, specialiojo </w:t>
            </w:r>
            <w:r w:rsidR="00E01A44">
              <w:t>TPD</w:t>
            </w:r>
            <w:r w:rsidRPr="00CB6E4E">
              <w:t xml:space="preserve"> rengimą organizuojančių subjektų veiklą reglamentuojančiais įstatymais ir Vyriausybės įgaliotų institucijų vadovų kartu su aplinkos ministru patvirtintomis tam tikromis specialiojo </w:t>
            </w:r>
            <w:r w:rsidR="00E01A44">
              <w:t>TPD</w:t>
            </w:r>
            <w:r w:rsidRPr="00CB6E4E">
              <w:t xml:space="preserve"> rengimo taisyklėmis, kuriose nustatoma specialiojo </w:t>
            </w:r>
            <w:r w:rsidR="00E01A44">
              <w:t>TPD</w:t>
            </w:r>
            <w:r w:rsidRPr="00CB6E4E">
              <w:t xml:space="preserve"> organizavimo, rengimo, koregavimo, keitimo, derinimo, tikrinimo, tvirtinimo tvarka.</w:t>
            </w:r>
          </w:p>
          <w:p w14:paraId="19723A1D" w14:textId="7446C341" w:rsidR="00B837B0" w:rsidRPr="00CB6E4E" w:rsidRDefault="00B837B0" w:rsidP="00063D76">
            <w:pPr>
              <w:jc w:val="both"/>
            </w:pPr>
            <w:r w:rsidRPr="00CB6E4E">
              <w:rPr>
                <w:u w:val="single"/>
              </w:rPr>
              <w:lastRenderedPageBreak/>
              <w:t xml:space="preserve">Rengiant šį specialiojo </w:t>
            </w:r>
            <w:r w:rsidR="00E01A44">
              <w:rPr>
                <w:u w:val="single"/>
              </w:rPr>
              <w:t>TPD</w:t>
            </w:r>
            <w:r w:rsidRPr="00CB6E4E">
              <w:rPr>
                <w:u w:val="single"/>
              </w:rPr>
              <w:t xml:space="preserve"> yra vadovaujamasi</w:t>
            </w:r>
            <w:r w:rsidRPr="00CB6E4E">
              <w:t xml:space="preserve"> </w:t>
            </w:r>
            <w:r w:rsidRPr="00547C3C">
              <w:rPr>
                <w:iCs/>
              </w:rPr>
              <w:t>Lietuvos Respublikos teritorijų planavimo įstatymu</w:t>
            </w:r>
            <w:r w:rsidRPr="00124705">
              <w:t xml:space="preserve"> ir </w:t>
            </w:r>
            <w:r w:rsidRPr="00547C3C">
              <w:rPr>
                <w:iCs/>
              </w:rPr>
              <w:t>Susisiekimo komunikacijų inžinerinės infrastruktūros vystymo planų rengimo taisyklėmis</w:t>
            </w:r>
            <w:r w:rsidRPr="00124705">
              <w:t>,</w:t>
            </w:r>
            <w:r w:rsidRPr="00CB6E4E">
              <w:t xml:space="preserve"> patvirtintomis Lietuvos Respublikos susisiekimo ministro ir Lietuvos Respublikos aplinkos ministro 2006 m. lapkričio 24 d. įsakymu Nr. 3-453/D1-549 (toliau – Taisyklės).</w:t>
            </w:r>
          </w:p>
          <w:p w14:paraId="4E2C29C7" w14:textId="63C48E01" w:rsidR="00B837B0" w:rsidRPr="00CB6E4E" w:rsidRDefault="00B837B0" w:rsidP="00063D76">
            <w:pPr>
              <w:jc w:val="both"/>
            </w:pPr>
            <w:r w:rsidRPr="00547C3C">
              <w:rPr>
                <w:iCs/>
              </w:rPr>
              <w:t>Vadovaujantis Lietuvos Respublikos teritorijų planavimo įstatymo 2 straipsnio 5 d</w:t>
            </w:r>
            <w:r w:rsidR="00124705">
              <w:rPr>
                <w:iCs/>
              </w:rPr>
              <w:t>alimi</w:t>
            </w:r>
            <w:r w:rsidRPr="00547C3C">
              <w:rPr>
                <w:iCs/>
              </w:rPr>
              <w:t>,</w:t>
            </w:r>
            <w:r w:rsidRPr="00CB6E4E">
              <w:t xml:space="preserve"> inžinerinės infrastruktūros vystymo planas – specialiojo </w:t>
            </w:r>
            <w:r w:rsidR="00E01A44">
              <w:t>TPD</w:t>
            </w:r>
            <w:r w:rsidRPr="00CB6E4E">
              <w:t>, kuriame numatomas inžinerinės infrastruktūros objektų išdėstymas, šių objektų, gretimų teritorijų naudojimo ir apsaugos priemonės.</w:t>
            </w:r>
          </w:p>
          <w:p w14:paraId="0F4B84D4" w14:textId="5939D6ED" w:rsidR="00B837B0" w:rsidRPr="00CB6E4E" w:rsidRDefault="00B837B0" w:rsidP="00063D76">
            <w:pPr>
              <w:jc w:val="both"/>
            </w:pPr>
            <w:r w:rsidRPr="00547C3C">
              <w:rPr>
                <w:iCs/>
              </w:rPr>
              <w:t xml:space="preserve">Vadovaujantis Taisyklių II skyriaus 5.2 papunkčiu, </w:t>
            </w:r>
            <w:r w:rsidRPr="00CB6E4E">
              <w:t xml:space="preserve">vietovės lygmens susisiekimo komunikacijų inžinerinės infrastruktūros vystymo planų </w:t>
            </w:r>
            <w:r w:rsidRPr="00CB6E4E">
              <w:rPr>
                <w:u w:val="single"/>
              </w:rPr>
              <w:t>tikslai</w:t>
            </w:r>
            <w:r w:rsidRPr="00CB6E4E">
              <w:t xml:space="preserve"> </w:t>
            </w:r>
            <w:r w:rsidR="00124705" w:rsidRPr="00CB6E4E">
              <w:t>–</w:t>
            </w:r>
            <w:r w:rsidR="00124705">
              <w:t xml:space="preserve"> </w:t>
            </w:r>
            <w:r w:rsidRPr="00CB6E4E">
              <w:t>užtikrinti darnią susisiekimo komunikacijų infrastruktūros plėtrą savivaldybių teritorijose, nustatyti plėtros kryptis.</w:t>
            </w:r>
          </w:p>
          <w:p w14:paraId="5F337448" w14:textId="235E041F" w:rsidR="00B837B0" w:rsidRPr="00CB6E4E" w:rsidRDefault="00B837B0" w:rsidP="00063D76">
            <w:pPr>
              <w:jc w:val="both"/>
            </w:pPr>
            <w:r w:rsidRPr="00547C3C">
              <w:rPr>
                <w:iCs/>
              </w:rPr>
              <w:t>Vadovaujantis Lietuvos Respublikos teritorijų planavimo įstatymo 21 straipsnio 2 d</w:t>
            </w:r>
            <w:r w:rsidR="00124705">
              <w:rPr>
                <w:iCs/>
              </w:rPr>
              <w:t>alimi</w:t>
            </w:r>
            <w:r w:rsidRPr="00124705">
              <w:t xml:space="preserve">, </w:t>
            </w:r>
            <w:r w:rsidRPr="00CB6E4E">
              <w:t>specialiojo teritorijų planavimo</w:t>
            </w:r>
            <w:r w:rsidRPr="00CB6E4E">
              <w:rPr>
                <w:u w:val="single"/>
              </w:rPr>
              <w:t xml:space="preserve"> uždavinys</w:t>
            </w:r>
            <w:r w:rsidRPr="00CB6E4E">
              <w:t xml:space="preserve"> </w:t>
            </w:r>
            <w:r w:rsidR="00124705" w:rsidRPr="00CB6E4E">
              <w:t>–</w:t>
            </w:r>
            <w:r w:rsidR="00124705">
              <w:t xml:space="preserve"> </w:t>
            </w:r>
            <w:r w:rsidRPr="00CB6E4E">
              <w:t>plėtoti susisiekimo komunikacijų infrastruktūrą ir numatyti jų plėtrai reikalingas teritorijas, nurodyti specialiąsias žemės naudojimo sąlygas.</w:t>
            </w:r>
          </w:p>
          <w:p w14:paraId="5400E1FF" w14:textId="6389D138" w:rsidR="00B837B0" w:rsidRPr="00CB6E4E" w:rsidRDefault="00B837B0" w:rsidP="00063D76">
            <w:pPr>
              <w:jc w:val="both"/>
            </w:pPr>
            <w:r w:rsidRPr="00CB6E4E">
              <w:rPr>
                <w:u w:val="single"/>
              </w:rPr>
              <w:t xml:space="preserve">Rengiant specialiojo </w:t>
            </w:r>
            <w:r w:rsidR="00E01A44">
              <w:rPr>
                <w:u w:val="single"/>
              </w:rPr>
              <w:t>TPD</w:t>
            </w:r>
            <w:r w:rsidR="00547C3C">
              <w:rPr>
                <w:u w:val="single"/>
              </w:rPr>
              <w:t xml:space="preserve">, </w:t>
            </w:r>
            <w:r w:rsidR="00E01A44">
              <w:rPr>
                <w:u w:val="single"/>
              </w:rPr>
              <w:t xml:space="preserve">brėžinių </w:t>
            </w:r>
            <w:r w:rsidR="00547C3C">
              <w:rPr>
                <w:u w:val="single"/>
              </w:rPr>
              <w:t>m</w:t>
            </w:r>
            <w:r w:rsidR="00E01A44">
              <w:rPr>
                <w:u w:val="single"/>
              </w:rPr>
              <w:t>a</w:t>
            </w:r>
            <w:r w:rsidR="00547C3C">
              <w:rPr>
                <w:u w:val="single"/>
              </w:rPr>
              <w:t>stelio</w:t>
            </w:r>
            <w:r w:rsidRPr="00CB6E4E">
              <w:rPr>
                <w:u w:val="single"/>
              </w:rPr>
              <w:t xml:space="preserve"> detalumas neleidžia išspręsti visų techninių </w:t>
            </w:r>
            <w:r w:rsidRPr="00CB6E4E">
              <w:rPr>
                <w:u w:val="single"/>
              </w:rPr>
              <w:t xml:space="preserve">sprendinių, šie sprendiniai </w:t>
            </w:r>
            <w:r w:rsidR="00E01A44">
              <w:rPr>
                <w:u w:val="single"/>
              </w:rPr>
              <w:t>bus</w:t>
            </w:r>
            <w:r w:rsidRPr="00CB6E4E">
              <w:rPr>
                <w:u w:val="single"/>
              </w:rPr>
              <w:t xml:space="preserve"> rengiami vėlesniuose šio projekto įgyvendinimo etapuose (rengiant techninius projektus).</w:t>
            </w:r>
            <w:r w:rsidRPr="00E01A44">
              <w:t xml:space="preserve"> </w:t>
            </w:r>
            <w:r w:rsidRPr="00E01A44">
              <w:rPr>
                <w:iCs/>
              </w:rPr>
              <w:t>Vadovaujantis Lietuvos Respublikos teritorijų planavimo įstatymo 4 straipsnio 1 d</w:t>
            </w:r>
            <w:r w:rsidR="00124705">
              <w:t>alimi</w:t>
            </w:r>
            <w:r w:rsidRPr="00124705">
              <w:t xml:space="preserve"> ir </w:t>
            </w:r>
            <w:r w:rsidRPr="00E01A44">
              <w:rPr>
                <w:iCs/>
              </w:rPr>
              <w:t>Taisyklių 3.3 papunkčiu,</w:t>
            </w:r>
            <w:r w:rsidRPr="00CB6E4E">
              <w:rPr>
                <w:i/>
                <w:iCs/>
              </w:rPr>
              <w:t xml:space="preserve"> </w:t>
            </w:r>
            <w:r w:rsidRPr="00CB6E4E">
              <w:t xml:space="preserve">vietovės lygmens specialiojo </w:t>
            </w:r>
            <w:r w:rsidR="00E01A44">
              <w:t>TPD</w:t>
            </w:r>
            <w:r w:rsidRPr="00CB6E4E">
              <w:t xml:space="preserve"> rengiami masteliu M 1:500–M 1:10 000. Vadovaujantis šiuo įstatymu ir Taisyklėmis, dokumento sprendiniai parengti masteliu M 1:5000.</w:t>
            </w:r>
          </w:p>
          <w:p w14:paraId="40EAC66F" w14:textId="11204FC8" w:rsidR="00B837B0" w:rsidRPr="00CB6E4E" w:rsidRDefault="00B837B0" w:rsidP="00063D76">
            <w:pPr>
              <w:jc w:val="both"/>
            </w:pPr>
            <w:r w:rsidRPr="00E01A44">
              <w:rPr>
                <w:iCs/>
              </w:rPr>
              <w:t>Teritorijų planavimo normų</w:t>
            </w:r>
            <w:r w:rsidRPr="00CB6E4E">
              <w:t>, patvirtintų Lietuvos Respublikos aplinkos ministro 2014 m. sausio 2 d. įsakymu Nr. D1-7 „Dėl Teritorijų planavimo normų patvirtinimo“ (toliau – Normos)</w:t>
            </w:r>
            <w:r w:rsidR="009D05FB">
              <w:t>,</w:t>
            </w:r>
            <w:r w:rsidRPr="00CB6E4E">
              <w:t xml:space="preserve"> </w:t>
            </w:r>
            <w:r w:rsidRPr="00E01A44">
              <w:rPr>
                <w:iCs/>
              </w:rPr>
              <w:t>1 punkte</w:t>
            </w:r>
            <w:r w:rsidRPr="00124705">
              <w:t xml:space="preserve"> </w:t>
            </w:r>
            <w:r w:rsidRPr="00CB6E4E">
              <w:t xml:space="preserve">nurodyta, kad Normos nustato privalomus ar rekomendacinius teritorijų planavimo kiekybinius ir </w:t>
            </w:r>
            <w:r w:rsidRPr="00CB6E4E">
              <w:lastRenderedPageBreak/>
              <w:t xml:space="preserve">kokybinius reikalavimus ir jų rodiklius (dydžius), taikomus rengiant </w:t>
            </w:r>
            <w:r w:rsidR="00E01A44">
              <w:t>TPD</w:t>
            </w:r>
            <w:r w:rsidRPr="00CB6E4E">
              <w:t>.</w:t>
            </w:r>
          </w:p>
          <w:p w14:paraId="09CB5F27" w14:textId="5EBC18F5" w:rsidR="00B837B0" w:rsidRPr="00CB6E4E" w:rsidRDefault="009D05FB" w:rsidP="00063D76">
            <w:pPr>
              <w:jc w:val="both"/>
            </w:pPr>
            <w:r>
              <w:t>Pagal</w:t>
            </w:r>
            <w:r w:rsidRPr="00CB6E4E">
              <w:t xml:space="preserve"> </w:t>
            </w:r>
            <w:r w:rsidR="00B837B0" w:rsidRPr="00E01A44">
              <w:rPr>
                <w:iCs/>
              </w:rPr>
              <w:t>Normų 2 punkt</w:t>
            </w:r>
            <w:r>
              <w:rPr>
                <w:iCs/>
              </w:rPr>
              <w:t>ą</w:t>
            </w:r>
            <w:r w:rsidR="00B837B0" w:rsidRPr="00CB6E4E">
              <w:rPr>
                <w:i/>
                <w:iCs/>
              </w:rPr>
              <w:t xml:space="preserve"> </w:t>
            </w:r>
            <w:r w:rsidR="00B837B0" w:rsidRPr="00CB6E4E">
              <w:t xml:space="preserve">Normomis vadovaujamasi rengiant savivaldybės ir vietovės lygmens kompleksinio </w:t>
            </w:r>
            <w:r w:rsidR="00E01A44">
              <w:t>TPD</w:t>
            </w:r>
            <w:r w:rsidR="00B837B0" w:rsidRPr="00CB6E4E">
              <w:t xml:space="preserve"> (bendruosius ir detaliuosius planus), </w:t>
            </w:r>
            <w:r w:rsidR="00B837B0" w:rsidRPr="00CB6E4E">
              <w:rPr>
                <w:u w:val="single"/>
              </w:rPr>
              <w:t xml:space="preserve">taip pat specialiojo </w:t>
            </w:r>
            <w:r w:rsidR="00E01A44">
              <w:rPr>
                <w:u w:val="single"/>
              </w:rPr>
              <w:t>TPD</w:t>
            </w:r>
            <w:r w:rsidR="00B837B0" w:rsidRPr="00CB6E4E">
              <w:rPr>
                <w:u w:val="single"/>
              </w:rPr>
              <w:t>, jeigu šiuose dokumentuose reglamentuojama ar kitaip įtakojama šių vietovių fizinė ir funkcinė struktūra.</w:t>
            </w:r>
          </w:p>
          <w:p w14:paraId="5A0E11F0" w14:textId="67BE5DDF" w:rsidR="00B837B0" w:rsidRPr="00CB6E4E" w:rsidRDefault="00E70495" w:rsidP="00063D76">
            <w:pPr>
              <w:jc w:val="both"/>
              <w:rPr>
                <w:u w:val="single"/>
              </w:rPr>
            </w:pPr>
            <w:r>
              <w:t>Pagal</w:t>
            </w:r>
            <w:r w:rsidRPr="00CB6E4E">
              <w:t xml:space="preserve"> </w:t>
            </w:r>
            <w:r w:rsidR="00B837B0" w:rsidRPr="00E01A44">
              <w:rPr>
                <w:iCs/>
              </w:rPr>
              <w:t xml:space="preserve">Normų </w:t>
            </w:r>
            <w:bookmarkStart w:id="1" w:name="_Hlk24029594"/>
            <w:r w:rsidR="00B837B0" w:rsidRPr="00E01A44">
              <w:rPr>
                <w:iCs/>
              </w:rPr>
              <w:t>3 punkt</w:t>
            </w:r>
            <w:r>
              <w:rPr>
                <w:iCs/>
              </w:rPr>
              <w:t>ą</w:t>
            </w:r>
            <w:r w:rsidR="00B837B0" w:rsidRPr="00CB6E4E">
              <w:rPr>
                <w:i/>
                <w:iCs/>
              </w:rPr>
              <w:t xml:space="preserve"> </w:t>
            </w:r>
            <w:bookmarkEnd w:id="1"/>
            <w:r w:rsidR="00B837B0" w:rsidRPr="00CB6E4E">
              <w:t xml:space="preserve">Normų reikalavimai privalomi visiems teritorijų planavimo dalyviams, viešojo administravimo subjektams, taip pat kitiems fiziniams ir juridiniams asmenims ar kitoms organizacijoms, kurių veiklos principus teritorijų planavimo </w:t>
            </w:r>
            <w:r w:rsidR="00B837B0" w:rsidRPr="00CB6E4E">
              <w:t xml:space="preserve">srityje nustato Teritorijų planavimo statymas, jeigu nenurodyta, kad jie yra rekomendaciniai. </w:t>
            </w:r>
            <w:r w:rsidR="00B837B0" w:rsidRPr="00CB6E4E">
              <w:rPr>
                <w:u w:val="single"/>
              </w:rPr>
              <w:t>Rekomendaciniai reikalavimai, apibendrinus teritorijų planavimo praktiką, nurodo orientacinius parametrus, kurie padeda suformuoti efektyvias ir gyvybingas urbanistines struktūras. Šie parametrai gali būti modifikuojami, atsižvelgiant į specifines konkrečios planuojamos teritorijos savybes.</w:t>
            </w:r>
          </w:p>
          <w:p w14:paraId="68D31BEC" w14:textId="266C37DC" w:rsidR="00B837B0" w:rsidRPr="00CB6E4E" w:rsidRDefault="00B837B0" w:rsidP="00063D76">
            <w:pPr>
              <w:jc w:val="both"/>
            </w:pPr>
            <w:r w:rsidRPr="00CB6E4E">
              <w:t xml:space="preserve">Vadovaujantis </w:t>
            </w:r>
            <w:r w:rsidRPr="00E01A44">
              <w:rPr>
                <w:iCs/>
              </w:rPr>
              <w:t>Normų II skyriaus 6 punktu,</w:t>
            </w:r>
            <w:r w:rsidRPr="00CB6E4E">
              <w:rPr>
                <w:i/>
                <w:iCs/>
              </w:rPr>
              <w:t xml:space="preserve"> </w:t>
            </w:r>
            <w:r w:rsidRPr="00CB6E4E">
              <w:t xml:space="preserve">teritorijų planavimo lygmenį atitinkanti planuojamos teritorijos funkcinė struktūra formuojama Teritorijų planavimo įstatyme nustatyta tvarka ir seka rengiant </w:t>
            </w:r>
            <w:r w:rsidR="00E01A44">
              <w:t>TPD</w:t>
            </w:r>
            <w:r w:rsidRPr="00CB6E4E">
              <w:t>.</w:t>
            </w:r>
          </w:p>
          <w:p w14:paraId="05E3109E" w14:textId="0CAC7C90" w:rsidR="00B837B0" w:rsidRPr="00CB6E4E" w:rsidRDefault="00B837B0" w:rsidP="00063D76">
            <w:pPr>
              <w:jc w:val="both"/>
            </w:pPr>
            <w:r w:rsidRPr="00E01A44">
              <w:rPr>
                <w:iCs/>
              </w:rPr>
              <w:t>Teritorijų planavimo erdvinių duomenų specifikacijos</w:t>
            </w:r>
            <w:r w:rsidRPr="00E70495">
              <w:t>,</w:t>
            </w:r>
            <w:r w:rsidRPr="00CB6E4E">
              <w:t xml:space="preserve"> patvirtintos Lietuvos Respublikos aplinkos ministro 2013 m. gruodžio 31 d. įsakymu Nr. D1-1009 „Dėl Teritorijų planavimo erdvinių </w:t>
            </w:r>
            <w:r w:rsidRPr="00CB6E4E">
              <w:t>duomenų specifikacijos patvirtinimo</w:t>
            </w:r>
            <w:r w:rsidRPr="00E70495">
              <w:t>“</w:t>
            </w:r>
            <w:r w:rsidRPr="00CB6E4E">
              <w:t xml:space="preserve"> (toliau – Specifikacija)</w:t>
            </w:r>
            <w:r w:rsidR="00E70495">
              <w:t>,</w:t>
            </w:r>
            <w:r w:rsidRPr="00CB6E4E">
              <w:rPr>
                <w:i/>
                <w:iCs/>
              </w:rPr>
              <w:t xml:space="preserve"> </w:t>
            </w:r>
            <w:r w:rsidRPr="00E01A44">
              <w:rPr>
                <w:iCs/>
              </w:rPr>
              <w:t>1 punkte</w:t>
            </w:r>
            <w:r w:rsidRPr="00CB6E4E">
              <w:rPr>
                <w:i/>
                <w:iCs/>
              </w:rPr>
              <w:t xml:space="preserve"> </w:t>
            </w:r>
            <w:r w:rsidRPr="00CB6E4E">
              <w:t xml:space="preserve">nurodyta, kad Specifikacija nustato kompleksinio ir </w:t>
            </w:r>
            <w:r w:rsidRPr="00CB6E4E">
              <w:rPr>
                <w:u w:val="single"/>
              </w:rPr>
              <w:t>specialiojo</w:t>
            </w:r>
            <w:r w:rsidR="00E01A44">
              <w:rPr>
                <w:u w:val="single"/>
              </w:rPr>
              <w:t xml:space="preserve"> </w:t>
            </w:r>
            <w:r w:rsidRPr="00E01A44">
              <w:rPr>
                <w:u w:val="single"/>
              </w:rPr>
              <w:t>TPD</w:t>
            </w:r>
            <w:r w:rsidRPr="00CB6E4E">
              <w:t xml:space="preserve">) sprendinių erdvinių </w:t>
            </w:r>
            <w:r w:rsidRPr="00CB6E4E">
              <w:t xml:space="preserve">duomenų (toliau – TPD erdviniai duomenys), teikiamų į Lietuvos Respublikos </w:t>
            </w:r>
            <w:r w:rsidR="00CC2AB0">
              <w:t>TPD</w:t>
            </w:r>
            <w:r w:rsidRPr="00CB6E4E">
              <w:t xml:space="preserve"> rengimo ir teritorijų planavimo proceso valstybinės priežiūros informacin</w:t>
            </w:r>
            <w:r w:rsidR="00E70495">
              <w:t>ę</w:t>
            </w:r>
            <w:r w:rsidRPr="00CB6E4E">
              <w:t xml:space="preserve"> sistem</w:t>
            </w:r>
            <w:r w:rsidR="00E70495">
              <w:t>ą</w:t>
            </w:r>
            <w:r w:rsidRPr="00CB6E4E">
              <w:t xml:space="preserve"> (toliau </w:t>
            </w:r>
            <w:r w:rsidR="00E70495" w:rsidRPr="00CB6E4E">
              <w:t>–</w:t>
            </w:r>
            <w:r w:rsidRPr="00CB6E4E">
              <w:t xml:space="preserve"> TPDRIS) ir Lietuvos Respublikos </w:t>
            </w:r>
            <w:r w:rsidR="00CC2AB0">
              <w:t>TPD</w:t>
            </w:r>
            <w:r w:rsidRPr="00CB6E4E">
              <w:t xml:space="preserve"> registrą </w:t>
            </w:r>
            <w:r w:rsidRPr="00CB6E4E">
              <w:t xml:space="preserve">(toliau – </w:t>
            </w:r>
            <w:r w:rsidRPr="00CB6E4E">
              <w:t>Registras)</w:t>
            </w:r>
            <w:r w:rsidR="00E70495">
              <w:t>,</w:t>
            </w:r>
            <w:r w:rsidRPr="00CB6E4E">
              <w:t xml:space="preserve"> </w:t>
            </w:r>
            <w:r w:rsidRPr="00CB6E4E">
              <w:rPr>
                <w:u w:val="single"/>
              </w:rPr>
              <w:t xml:space="preserve">turinį, juos sudarančių </w:t>
            </w:r>
            <w:r w:rsidRPr="00CB6E4E">
              <w:rPr>
                <w:u w:val="single"/>
              </w:rPr>
              <w:t xml:space="preserve">erdvinių objektų kodavimą ir grupavimą, privalomus ir rekomenduojamus šių objektų </w:t>
            </w:r>
            <w:r w:rsidRPr="00CB6E4E">
              <w:rPr>
                <w:u w:val="single"/>
              </w:rPr>
              <w:lastRenderedPageBreak/>
              <w:t xml:space="preserve">atributus, jų </w:t>
            </w:r>
            <w:r w:rsidRPr="00CB6E4E">
              <w:rPr>
                <w:u w:val="single"/>
              </w:rPr>
              <w:t>klasifikavimo principus, TPD erdvinių duomenų struktūrą ir jų sudarymo principus.</w:t>
            </w:r>
            <w:r w:rsidRPr="00CB6E4E">
              <w:t xml:space="preserve"> </w:t>
            </w:r>
          </w:p>
          <w:p w14:paraId="730135BE" w14:textId="57AE1CD3" w:rsidR="00B837B0" w:rsidRPr="00CB6E4E" w:rsidRDefault="00B837B0" w:rsidP="00063D76">
            <w:pPr>
              <w:jc w:val="both"/>
            </w:pPr>
            <w:r w:rsidRPr="00CB6E4E">
              <w:t xml:space="preserve">Vadovaujantis </w:t>
            </w:r>
            <w:r w:rsidRPr="00CC2AB0">
              <w:rPr>
                <w:iCs/>
              </w:rPr>
              <w:t xml:space="preserve">Specifikacijos 6.3 </w:t>
            </w:r>
            <w:r w:rsidR="00D26AFE">
              <w:rPr>
                <w:iCs/>
              </w:rPr>
              <w:t>pa</w:t>
            </w:r>
            <w:r w:rsidRPr="00CC2AB0">
              <w:rPr>
                <w:iCs/>
              </w:rPr>
              <w:t>punk</w:t>
            </w:r>
            <w:r w:rsidR="00D26AFE">
              <w:rPr>
                <w:iCs/>
              </w:rPr>
              <w:t>či</w:t>
            </w:r>
            <w:r w:rsidRPr="00CC2AB0">
              <w:rPr>
                <w:iCs/>
              </w:rPr>
              <w:t>u,</w:t>
            </w:r>
            <w:r w:rsidRPr="00CB6E4E">
              <w:rPr>
                <w:i/>
                <w:iCs/>
              </w:rPr>
              <w:t xml:space="preserve"> </w:t>
            </w:r>
            <w:r w:rsidRPr="00CB6E4E">
              <w:t xml:space="preserve">specialiojo </w:t>
            </w:r>
            <w:r w:rsidR="00CC2AB0">
              <w:t>TPD</w:t>
            </w:r>
            <w:r w:rsidRPr="00CB6E4E">
              <w:t xml:space="preserve">, išskyrus kaimo plėtros žemėtvarkos projektus, erdviniai duomenys (3 lentelė. Specialiojo </w:t>
            </w:r>
            <w:r w:rsidR="00CC2AB0">
              <w:t>TPD</w:t>
            </w:r>
            <w:r w:rsidRPr="00CB6E4E">
              <w:t xml:space="preserve"> erdviniai </w:t>
            </w:r>
            <w:r w:rsidRPr="00CB6E4E">
              <w:t xml:space="preserve">duomenys, išskyrus kaimo plėtros žemėtvarkos projektus.) yra </w:t>
            </w:r>
            <w:r w:rsidRPr="00CB6E4E">
              <w:rPr>
                <w:u w:val="single"/>
              </w:rPr>
              <w:t>galiojimo riba, specialiojo TPD brėžiniai ir tekstiniai reglamentai.</w:t>
            </w:r>
          </w:p>
          <w:p w14:paraId="0E4539AB" w14:textId="36E53385" w:rsidR="00B837B0" w:rsidRPr="00E70539" w:rsidRDefault="00B837B0" w:rsidP="009035F9">
            <w:pPr>
              <w:jc w:val="both"/>
            </w:pPr>
            <w:r w:rsidRPr="00CB6E4E">
              <w:t xml:space="preserve">Susisiekimo komunikacijų ir inžinerinės infrastruktūros schemoje rodoma papildoma informacija. Specialiojo </w:t>
            </w:r>
            <w:r w:rsidR="00CC2AB0">
              <w:t>TPD</w:t>
            </w:r>
            <w:r w:rsidRPr="00CB6E4E">
              <w:t xml:space="preserve"> sprendiniai yra atitinkantys šį planavimo lygmenį. Techniniai sprendiniai yra projektuojami kitoje projekto įgyvendinimo stadijoje – rengiant techninį projektą. Atsižvelgiant į tai, techniniai sprendiniai nėra specialiojo </w:t>
            </w:r>
            <w:r w:rsidR="00CC2AB0">
              <w:t>TPD</w:t>
            </w:r>
            <w:r w:rsidRPr="00CB6E4E">
              <w:t xml:space="preserve"> sprendiniai, tai yra rekomendacijos (preliminarūs sprendiniai).</w:t>
            </w:r>
          </w:p>
        </w:tc>
      </w:tr>
    </w:tbl>
    <w:p w14:paraId="11FBE2BE" w14:textId="77777777" w:rsidR="003D1D16" w:rsidRDefault="003D1D16" w:rsidP="003D1D16">
      <w:pPr>
        <w:jc w:val="center"/>
      </w:pPr>
    </w:p>
    <w:p w14:paraId="07365AE2" w14:textId="77777777" w:rsidR="002E035C" w:rsidRDefault="003D1D16" w:rsidP="003D1D16">
      <w:pPr>
        <w:jc w:val="center"/>
      </w:pPr>
      <w:r>
        <w:t>––––––––––––––––––––</w:t>
      </w:r>
    </w:p>
    <w:sectPr w:rsidR="002E035C" w:rsidSect="003D1D16">
      <w:headerReference w:type="default" r:id="rId8"/>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1159E" w14:textId="77777777" w:rsidR="0078262F" w:rsidRDefault="0078262F" w:rsidP="00E83896">
      <w:r>
        <w:separator/>
      </w:r>
    </w:p>
  </w:endnote>
  <w:endnote w:type="continuationSeparator" w:id="0">
    <w:p w14:paraId="009326B4" w14:textId="77777777" w:rsidR="0078262F" w:rsidRDefault="0078262F" w:rsidP="00E8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FB95" w14:textId="77777777" w:rsidR="0078262F" w:rsidRDefault="0078262F" w:rsidP="00E83896">
      <w:r>
        <w:separator/>
      </w:r>
    </w:p>
  </w:footnote>
  <w:footnote w:type="continuationSeparator" w:id="0">
    <w:p w14:paraId="562BD271" w14:textId="77777777" w:rsidR="0078262F" w:rsidRDefault="0078262F" w:rsidP="00E8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608653"/>
      <w:docPartObj>
        <w:docPartGallery w:val="Page Numbers (Top of Page)"/>
        <w:docPartUnique/>
      </w:docPartObj>
    </w:sdtPr>
    <w:sdtEndPr/>
    <w:sdtContent>
      <w:p w14:paraId="0D0B0C3C" w14:textId="77777777" w:rsidR="00E83896" w:rsidRDefault="00E83896">
        <w:pPr>
          <w:pStyle w:val="Antrats"/>
          <w:jc w:val="center"/>
        </w:pPr>
        <w:r>
          <w:fldChar w:fldCharType="begin"/>
        </w:r>
        <w:r>
          <w:instrText>PAGE   \* MERGEFORMAT</w:instrText>
        </w:r>
        <w:r>
          <w:fldChar w:fldCharType="separate"/>
        </w:r>
        <w:r w:rsidR="00D26AFE">
          <w:rPr>
            <w:noProof/>
          </w:rPr>
          <w:t>4</w:t>
        </w:r>
        <w:r>
          <w:fldChar w:fldCharType="end"/>
        </w:r>
      </w:p>
    </w:sdtContent>
  </w:sdt>
  <w:p w14:paraId="7BE11B0E" w14:textId="77777777" w:rsidR="00E83896" w:rsidRDefault="00E838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4432F"/>
    <w:multiLevelType w:val="hybridMultilevel"/>
    <w:tmpl w:val="A2B80824"/>
    <w:lvl w:ilvl="0" w:tplc="0427000F">
      <w:start w:val="1"/>
      <w:numFmt w:val="decimal"/>
      <w:lvlText w:val="%1."/>
      <w:lvlJc w:val="left"/>
      <w:pPr>
        <w:ind w:left="1920" w:hanging="360"/>
      </w:pPr>
    </w:lvl>
    <w:lvl w:ilvl="1" w:tplc="1FA2D840">
      <w:start w:val="5"/>
      <w:numFmt w:val="bullet"/>
      <w:lvlText w:val="-"/>
      <w:lvlJc w:val="left"/>
      <w:pPr>
        <w:ind w:left="2640" w:hanging="360"/>
      </w:pPr>
      <w:rPr>
        <w:rFonts w:ascii="Calibri" w:eastAsia="Calibri" w:hAnsi="Calibri" w:cs="Calibri" w:hint="default"/>
      </w:r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abstractNum w:abstractNumId="1" w15:restartNumberingAfterBreak="0">
    <w:nsid w:val="370A2BE3"/>
    <w:multiLevelType w:val="hybridMultilevel"/>
    <w:tmpl w:val="53AC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B132B"/>
    <w:multiLevelType w:val="hybridMultilevel"/>
    <w:tmpl w:val="5FC21BA0"/>
    <w:lvl w:ilvl="0" w:tplc="A7DC0FEE">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0379CD"/>
    <w:multiLevelType w:val="hybridMultilevel"/>
    <w:tmpl w:val="BD0E7A5E"/>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924582"/>
    <w:multiLevelType w:val="hybridMultilevel"/>
    <w:tmpl w:val="D524410C"/>
    <w:lvl w:ilvl="0" w:tplc="2104EFA2">
      <w:start w:val="2"/>
      <w:numFmt w:val="bullet"/>
      <w:lvlText w:val="-"/>
      <w:lvlJc w:val="left"/>
      <w:pPr>
        <w:ind w:left="720" w:hanging="360"/>
      </w:pPr>
      <w:rPr>
        <w:rFonts w:ascii="Times New Roman" w:eastAsia="Times New Roman" w:hAnsi="Times New Roman" w:cs="Times New Roman" w:hint="default"/>
        <w:b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5C"/>
    <w:rsid w:val="00000BAE"/>
    <w:rsid w:val="0002234A"/>
    <w:rsid w:val="00030D36"/>
    <w:rsid w:val="000325AA"/>
    <w:rsid w:val="00054B29"/>
    <w:rsid w:val="00063D76"/>
    <w:rsid w:val="0007283C"/>
    <w:rsid w:val="00081B9B"/>
    <w:rsid w:val="000828AB"/>
    <w:rsid w:val="000906DB"/>
    <w:rsid w:val="000A5D51"/>
    <w:rsid w:val="000D7C38"/>
    <w:rsid w:val="000D7CD3"/>
    <w:rsid w:val="00123C5A"/>
    <w:rsid w:val="00124705"/>
    <w:rsid w:val="00135689"/>
    <w:rsid w:val="00147726"/>
    <w:rsid w:val="00152E13"/>
    <w:rsid w:val="00154F9B"/>
    <w:rsid w:val="001655A2"/>
    <w:rsid w:val="00181796"/>
    <w:rsid w:val="001832E6"/>
    <w:rsid w:val="00193D32"/>
    <w:rsid w:val="001A173A"/>
    <w:rsid w:val="001B0644"/>
    <w:rsid w:val="001E0637"/>
    <w:rsid w:val="001E6270"/>
    <w:rsid w:val="001F38E8"/>
    <w:rsid w:val="001F5669"/>
    <w:rsid w:val="002143B2"/>
    <w:rsid w:val="0021729C"/>
    <w:rsid w:val="00230FC3"/>
    <w:rsid w:val="00240056"/>
    <w:rsid w:val="00240A3E"/>
    <w:rsid w:val="002411E9"/>
    <w:rsid w:val="002425D4"/>
    <w:rsid w:val="00262C2B"/>
    <w:rsid w:val="00282777"/>
    <w:rsid w:val="00282D02"/>
    <w:rsid w:val="00294E82"/>
    <w:rsid w:val="002A44AA"/>
    <w:rsid w:val="002E035C"/>
    <w:rsid w:val="00301D99"/>
    <w:rsid w:val="00307483"/>
    <w:rsid w:val="00323F59"/>
    <w:rsid w:val="003254E5"/>
    <w:rsid w:val="00333ECA"/>
    <w:rsid w:val="00344934"/>
    <w:rsid w:val="00350E49"/>
    <w:rsid w:val="00352ACB"/>
    <w:rsid w:val="0035472C"/>
    <w:rsid w:val="003566AE"/>
    <w:rsid w:val="003643B2"/>
    <w:rsid w:val="00377301"/>
    <w:rsid w:val="003901E1"/>
    <w:rsid w:val="00393608"/>
    <w:rsid w:val="00395404"/>
    <w:rsid w:val="003B4205"/>
    <w:rsid w:val="003C4170"/>
    <w:rsid w:val="003D1D16"/>
    <w:rsid w:val="003D2EA9"/>
    <w:rsid w:val="003E17FE"/>
    <w:rsid w:val="00404688"/>
    <w:rsid w:val="0041316C"/>
    <w:rsid w:val="0043218A"/>
    <w:rsid w:val="00433D6F"/>
    <w:rsid w:val="004475AD"/>
    <w:rsid w:val="0045062B"/>
    <w:rsid w:val="004670A7"/>
    <w:rsid w:val="004819C8"/>
    <w:rsid w:val="00492677"/>
    <w:rsid w:val="004A1B38"/>
    <w:rsid w:val="004B0C5D"/>
    <w:rsid w:val="004D7397"/>
    <w:rsid w:val="004F6B9F"/>
    <w:rsid w:val="005105AA"/>
    <w:rsid w:val="005445F5"/>
    <w:rsid w:val="00547350"/>
    <w:rsid w:val="00547C3C"/>
    <w:rsid w:val="005531FD"/>
    <w:rsid w:val="0056295A"/>
    <w:rsid w:val="00565983"/>
    <w:rsid w:val="005719FF"/>
    <w:rsid w:val="005944FD"/>
    <w:rsid w:val="005A0C30"/>
    <w:rsid w:val="005D45F1"/>
    <w:rsid w:val="005D6F86"/>
    <w:rsid w:val="005F3825"/>
    <w:rsid w:val="005F523F"/>
    <w:rsid w:val="006012E0"/>
    <w:rsid w:val="00607524"/>
    <w:rsid w:val="006235AF"/>
    <w:rsid w:val="00632E15"/>
    <w:rsid w:val="00663A26"/>
    <w:rsid w:val="00670D94"/>
    <w:rsid w:val="0067375A"/>
    <w:rsid w:val="0067498B"/>
    <w:rsid w:val="006858E1"/>
    <w:rsid w:val="00697966"/>
    <w:rsid w:val="006A0B37"/>
    <w:rsid w:val="006A1023"/>
    <w:rsid w:val="006C623C"/>
    <w:rsid w:val="006F7518"/>
    <w:rsid w:val="00700A20"/>
    <w:rsid w:val="0071051A"/>
    <w:rsid w:val="007122E0"/>
    <w:rsid w:val="0072059D"/>
    <w:rsid w:val="007501E0"/>
    <w:rsid w:val="0078230F"/>
    <w:rsid w:val="0078262F"/>
    <w:rsid w:val="00783373"/>
    <w:rsid w:val="00783F7F"/>
    <w:rsid w:val="00794D06"/>
    <w:rsid w:val="007A090F"/>
    <w:rsid w:val="007A45AA"/>
    <w:rsid w:val="007B0913"/>
    <w:rsid w:val="007C3257"/>
    <w:rsid w:val="007E2F7F"/>
    <w:rsid w:val="007F012D"/>
    <w:rsid w:val="007F0E99"/>
    <w:rsid w:val="007F1B40"/>
    <w:rsid w:val="007F6B1C"/>
    <w:rsid w:val="0080451E"/>
    <w:rsid w:val="00837AC1"/>
    <w:rsid w:val="00864360"/>
    <w:rsid w:val="008647B0"/>
    <w:rsid w:val="00881703"/>
    <w:rsid w:val="0088619F"/>
    <w:rsid w:val="008874CA"/>
    <w:rsid w:val="008B2BD0"/>
    <w:rsid w:val="008B4032"/>
    <w:rsid w:val="008C6C25"/>
    <w:rsid w:val="008D6420"/>
    <w:rsid w:val="008E4BC0"/>
    <w:rsid w:val="009035F9"/>
    <w:rsid w:val="009140B0"/>
    <w:rsid w:val="00914CC9"/>
    <w:rsid w:val="0093004E"/>
    <w:rsid w:val="00931FD4"/>
    <w:rsid w:val="0094407A"/>
    <w:rsid w:val="00947DEB"/>
    <w:rsid w:val="00953A8E"/>
    <w:rsid w:val="009543FF"/>
    <w:rsid w:val="009643CC"/>
    <w:rsid w:val="00971435"/>
    <w:rsid w:val="009745CF"/>
    <w:rsid w:val="00980DB5"/>
    <w:rsid w:val="009835DE"/>
    <w:rsid w:val="00992CA4"/>
    <w:rsid w:val="009B54A3"/>
    <w:rsid w:val="009C5198"/>
    <w:rsid w:val="009D05FB"/>
    <w:rsid w:val="009E583D"/>
    <w:rsid w:val="009F314C"/>
    <w:rsid w:val="00A02F43"/>
    <w:rsid w:val="00A05E20"/>
    <w:rsid w:val="00A06FAA"/>
    <w:rsid w:val="00A21C05"/>
    <w:rsid w:val="00A32654"/>
    <w:rsid w:val="00A513C3"/>
    <w:rsid w:val="00A526D7"/>
    <w:rsid w:val="00A5493E"/>
    <w:rsid w:val="00A570B6"/>
    <w:rsid w:val="00A64667"/>
    <w:rsid w:val="00A91487"/>
    <w:rsid w:val="00A938F7"/>
    <w:rsid w:val="00A959A5"/>
    <w:rsid w:val="00AA2D54"/>
    <w:rsid w:val="00AA52AC"/>
    <w:rsid w:val="00AB036A"/>
    <w:rsid w:val="00AB4EC0"/>
    <w:rsid w:val="00AD4C51"/>
    <w:rsid w:val="00AF441F"/>
    <w:rsid w:val="00B03F6B"/>
    <w:rsid w:val="00B23C3B"/>
    <w:rsid w:val="00B2402D"/>
    <w:rsid w:val="00B25CBD"/>
    <w:rsid w:val="00B318F4"/>
    <w:rsid w:val="00B559C5"/>
    <w:rsid w:val="00B825C5"/>
    <w:rsid w:val="00B837B0"/>
    <w:rsid w:val="00B87BE9"/>
    <w:rsid w:val="00B95972"/>
    <w:rsid w:val="00BB0E6B"/>
    <w:rsid w:val="00BC2AA0"/>
    <w:rsid w:val="00BE2481"/>
    <w:rsid w:val="00BE654A"/>
    <w:rsid w:val="00C04EE1"/>
    <w:rsid w:val="00C14303"/>
    <w:rsid w:val="00C25544"/>
    <w:rsid w:val="00C30627"/>
    <w:rsid w:val="00C31A02"/>
    <w:rsid w:val="00C51C9D"/>
    <w:rsid w:val="00C5277E"/>
    <w:rsid w:val="00C6348F"/>
    <w:rsid w:val="00C647D4"/>
    <w:rsid w:val="00C7542E"/>
    <w:rsid w:val="00C8137B"/>
    <w:rsid w:val="00C8444C"/>
    <w:rsid w:val="00C97002"/>
    <w:rsid w:val="00CB07B9"/>
    <w:rsid w:val="00CB39FF"/>
    <w:rsid w:val="00CC2AB0"/>
    <w:rsid w:val="00CC5E65"/>
    <w:rsid w:val="00CD1E84"/>
    <w:rsid w:val="00CD2AD4"/>
    <w:rsid w:val="00CF6995"/>
    <w:rsid w:val="00D01FA2"/>
    <w:rsid w:val="00D1084B"/>
    <w:rsid w:val="00D26AFE"/>
    <w:rsid w:val="00D32758"/>
    <w:rsid w:val="00D34C5E"/>
    <w:rsid w:val="00D45BC3"/>
    <w:rsid w:val="00D558AA"/>
    <w:rsid w:val="00D62C83"/>
    <w:rsid w:val="00D8589B"/>
    <w:rsid w:val="00D92F7B"/>
    <w:rsid w:val="00DB0396"/>
    <w:rsid w:val="00DC6142"/>
    <w:rsid w:val="00DD0187"/>
    <w:rsid w:val="00DD7E6D"/>
    <w:rsid w:val="00DF2EC8"/>
    <w:rsid w:val="00E01A44"/>
    <w:rsid w:val="00E3164D"/>
    <w:rsid w:val="00E4314B"/>
    <w:rsid w:val="00E51D2D"/>
    <w:rsid w:val="00E67A38"/>
    <w:rsid w:val="00E70495"/>
    <w:rsid w:val="00E70539"/>
    <w:rsid w:val="00E76311"/>
    <w:rsid w:val="00E83896"/>
    <w:rsid w:val="00EA4EE9"/>
    <w:rsid w:val="00EA5FE3"/>
    <w:rsid w:val="00EC0E7B"/>
    <w:rsid w:val="00EE5873"/>
    <w:rsid w:val="00EF6A31"/>
    <w:rsid w:val="00F035EB"/>
    <w:rsid w:val="00F04717"/>
    <w:rsid w:val="00F16777"/>
    <w:rsid w:val="00F20931"/>
    <w:rsid w:val="00F2123B"/>
    <w:rsid w:val="00F22ED1"/>
    <w:rsid w:val="00F26726"/>
    <w:rsid w:val="00F33945"/>
    <w:rsid w:val="00F34C7D"/>
    <w:rsid w:val="00F536DD"/>
    <w:rsid w:val="00F540B0"/>
    <w:rsid w:val="00F561C1"/>
    <w:rsid w:val="00F77D18"/>
    <w:rsid w:val="00F87CCF"/>
    <w:rsid w:val="00F95809"/>
    <w:rsid w:val="00FA285C"/>
    <w:rsid w:val="00FB1FD5"/>
    <w:rsid w:val="00FC16B9"/>
    <w:rsid w:val="00FD4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EE86"/>
  <w15:docId w15:val="{24C719A0-52C0-45DD-9C76-5B8EB1BF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5C"/>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E035C"/>
    <w:pPr>
      <w:spacing w:after="120"/>
    </w:pPr>
    <w:rPr>
      <w:lang w:val="x-none" w:eastAsia="x-none"/>
    </w:rPr>
  </w:style>
  <w:style w:type="character" w:customStyle="1" w:styleId="PagrindinistekstasDiagrama">
    <w:name w:val="Pagrindinis tekstas Diagrama"/>
    <w:basedOn w:val="Numatytasispastraiposriftas"/>
    <w:link w:val="Pagrindinistekstas"/>
    <w:rsid w:val="002E035C"/>
    <w:rPr>
      <w:rFonts w:eastAsia="Times New Roman" w:cs="Times New Roman"/>
      <w:szCs w:val="24"/>
      <w:lang w:val="x-none" w:eastAsia="x-none"/>
    </w:rPr>
  </w:style>
  <w:style w:type="character" w:styleId="Hipersaitas">
    <w:name w:val="Hyperlink"/>
    <w:basedOn w:val="Numatytasispastraiposriftas"/>
    <w:uiPriority w:val="99"/>
    <w:semiHidden/>
    <w:unhideWhenUsed/>
    <w:rsid w:val="002E035C"/>
    <w:rPr>
      <w:color w:val="0000FF"/>
      <w:u w:val="single"/>
    </w:rPr>
  </w:style>
  <w:style w:type="paragraph" w:styleId="Sraopastraipa">
    <w:name w:val="List Paragraph"/>
    <w:basedOn w:val="prastasis"/>
    <w:uiPriority w:val="34"/>
    <w:qFormat/>
    <w:rsid w:val="00193D32"/>
    <w:pPr>
      <w:ind w:left="720"/>
      <w:contextualSpacing/>
    </w:pPr>
  </w:style>
  <w:style w:type="paragraph" w:styleId="Debesliotekstas">
    <w:name w:val="Balloon Text"/>
    <w:basedOn w:val="prastasis"/>
    <w:link w:val="DebesliotekstasDiagrama"/>
    <w:uiPriority w:val="99"/>
    <w:semiHidden/>
    <w:unhideWhenUsed/>
    <w:rsid w:val="00F212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123B"/>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E83896"/>
    <w:pPr>
      <w:tabs>
        <w:tab w:val="center" w:pos="4819"/>
        <w:tab w:val="right" w:pos="9638"/>
      </w:tabs>
    </w:pPr>
  </w:style>
  <w:style w:type="character" w:customStyle="1" w:styleId="AntratsDiagrama">
    <w:name w:val="Antraštės Diagrama"/>
    <w:basedOn w:val="Numatytasispastraiposriftas"/>
    <w:link w:val="Antrats"/>
    <w:uiPriority w:val="99"/>
    <w:rsid w:val="00E83896"/>
    <w:rPr>
      <w:rFonts w:eastAsia="Times New Roman" w:cs="Times New Roman"/>
      <w:szCs w:val="24"/>
      <w:lang w:eastAsia="lt-LT"/>
    </w:rPr>
  </w:style>
  <w:style w:type="paragraph" w:styleId="Porat">
    <w:name w:val="footer"/>
    <w:basedOn w:val="prastasis"/>
    <w:link w:val="PoratDiagrama"/>
    <w:uiPriority w:val="99"/>
    <w:unhideWhenUsed/>
    <w:rsid w:val="00E83896"/>
    <w:pPr>
      <w:tabs>
        <w:tab w:val="center" w:pos="4819"/>
        <w:tab w:val="right" w:pos="9638"/>
      </w:tabs>
    </w:pPr>
  </w:style>
  <w:style w:type="character" w:customStyle="1" w:styleId="PoratDiagrama">
    <w:name w:val="Poraštė Diagrama"/>
    <w:basedOn w:val="Numatytasispastraiposriftas"/>
    <w:link w:val="Porat"/>
    <w:uiPriority w:val="99"/>
    <w:rsid w:val="00E83896"/>
    <w:rPr>
      <w:rFonts w:eastAsia="Times New Roman" w:cs="Times New Roman"/>
      <w:szCs w:val="24"/>
      <w:lang w:eastAsia="lt-LT"/>
    </w:rPr>
  </w:style>
  <w:style w:type="paragraph" w:styleId="HTMLiankstoformatuotas">
    <w:name w:val="HTML Preformatted"/>
    <w:basedOn w:val="prastasis"/>
    <w:link w:val="HTMLiankstoformatuotasDiagrama"/>
    <w:uiPriority w:val="99"/>
    <w:unhideWhenUsed/>
    <w:rsid w:val="00C8444C"/>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C8444C"/>
    <w:rPr>
      <w:rFonts w:ascii="Consolas" w:eastAsia="Times New Roman" w:hAnsi="Consolas" w:cs="Consolas"/>
      <w:sz w:val="20"/>
      <w:szCs w:val="20"/>
      <w:lang w:eastAsia="lt-LT"/>
    </w:rPr>
  </w:style>
  <w:style w:type="character" w:styleId="Komentaronuoroda">
    <w:name w:val="annotation reference"/>
    <w:basedOn w:val="Numatytasispastraiposriftas"/>
    <w:uiPriority w:val="99"/>
    <w:semiHidden/>
    <w:unhideWhenUsed/>
    <w:rsid w:val="007E2F7F"/>
    <w:rPr>
      <w:sz w:val="16"/>
      <w:szCs w:val="16"/>
    </w:rPr>
  </w:style>
  <w:style w:type="paragraph" w:styleId="Komentarotekstas">
    <w:name w:val="annotation text"/>
    <w:basedOn w:val="prastasis"/>
    <w:link w:val="KomentarotekstasDiagrama"/>
    <w:uiPriority w:val="99"/>
    <w:semiHidden/>
    <w:unhideWhenUsed/>
    <w:rsid w:val="007E2F7F"/>
    <w:rPr>
      <w:sz w:val="20"/>
      <w:szCs w:val="20"/>
    </w:rPr>
  </w:style>
  <w:style w:type="character" w:customStyle="1" w:styleId="KomentarotekstasDiagrama">
    <w:name w:val="Komentaro tekstas Diagrama"/>
    <w:basedOn w:val="Numatytasispastraiposriftas"/>
    <w:link w:val="Komentarotekstas"/>
    <w:uiPriority w:val="99"/>
    <w:semiHidden/>
    <w:rsid w:val="007E2F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2F7F"/>
    <w:rPr>
      <w:b/>
      <w:bCs/>
    </w:rPr>
  </w:style>
  <w:style w:type="character" w:customStyle="1" w:styleId="KomentarotemaDiagrama">
    <w:name w:val="Komentaro tema Diagrama"/>
    <w:basedOn w:val="KomentarotekstasDiagrama"/>
    <w:link w:val="Komentarotema"/>
    <w:uiPriority w:val="99"/>
    <w:semiHidden/>
    <w:rsid w:val="007E2F7F"/>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6407">
      <w:bodyDiv w:val="1"/>
      <w:marLeft w:val="0"/>
      <w:marRight w:val="0"/>
      <w:marTop w:val="0"/>
      <w:marBottom w:val="0"/>
      <w:divBdr>
        <w:top w:val="none" w:sz="0" w:space="0" w:color="auto"/>
        <w:left w:val="none" w:sz="0" w:space="0" w:color="auto"/>
        <w:bottom w:val="none" w:sz="0" w:space="0" w:color="auto"/>
        <w:right w:val="none" w:sz="0" w:space="0" w:color="auto"/>
      </w:divBdr>
    </w:div>
    <w:div w:id="567808910">
      <w:bodyDiv w:val="1"/>
      <w:marLeft w:val="0"/>
      <w:marRight w:val="0"/>
      <w:marTop w:val="0"/>
      <w:marBottom w:val="0"/>
      <w:divBdr>
        <w:top w:val="none" w:sz="0" w:space="0" w:color="auto"/>
        <w:left w:val="none" w:sz="0" w:space="0" w:color="auto"/>
        <w:bottom w:val="none" w:sz="0" w:space="0" w:color="auto"/>
        <w:right w:val="none" w:sz="0" w:space="0" w:color="auto"/>
      </w:divBdr>
      <w:divsChild>
        <w:div w:id="731462759">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sChild>
    </w:div>
    <w:div w:id="575435224">
      <w:bodyDiv w:val="1"/>
      <w:marLeft w:val="0"/>
      <w:marRight w:val="0"/>
      <w:marTop w:val="0"/>
      <w:marBottom w:val="0"/>
      <w:divBdr>
        <w:top w:val="none" w:sz="0" w:space="0" w:color="auto"/>
        <w:left w:val="none" w:sz="0" w:space="0" w:color="auto"/>
        <w:bottom w:val="none" w:sz="0" w:space="0" w:color="auto"/>
        <w:right w:val="none" w:sz="0" w:space="0" w:color="auto"/>
      </w:divBdr>
    </w:div>
    <w:div w:id="596522157">
      <w:bodyDiv w:val="1"/>
      <w:marLeft w:val="0"/>
      <w:marRight w:val="0"/>
      <w:marTop w:val="0"/>
      <w:marBottom w:val="0"/>
      <w:divBdr>
        <w:top w:val="none" w:sz="0" w:space="0" w:color="auto"/>
        <w:left w:val="none" w:sz="0" w:space="0" w:color="auto"/>
        <w:bottom w:val="none" w:sz="0" w:space="0" w:color="auto"/>
        <w:right w:val="none" w:sz="0" w:space="0" w:color="auto"/>
      </w:divBdr>
    </w:div>
    <w:div w:id="665549335">
      <w:bodyDiv w:val="1"/>
      <w:marLeft w:val="0"/>
      <w:marRight w:val="0"/>
      <w:marTop w:val="0"/>
      <w:marBottom w:val="0"/>
      <w:divBdr>
        <w:top w:val="none" w:sz="0" w:space="0" w:color="auto"/>
        <w:left w:val="none" w:sz="0" w:space="0" w:color="auto"/>
        <w:bottom w:val="none" w:sz="0" w:space="0" w:color="auto"/>
        <w:right w:val="none" w:sz="0" w:space="0" w:color="auto"/>
      </w:divBdr>
    </w:div>
    <w:div w:id="785394283">
      <w:bodyDiv w:val="1"/>
      <w:marLeft w:val="0"/>
      <w:marRight w:val="0"/>
      <w:marTop w:val="0"/>
      <w:marBottom w:val="0"/>
      <w:divBdr>
        <w:top w:val="none" w:sz="0" w:space="0" w:color="auto"/>
        <w:left w:val="none" w:sz="0" w:space="0" w:color="auto"/>
        <w:bottom w:val="none" w:sz="0" w:space="0" w:color="auto"/>
        <w:right w:val="none" w:sz="0" w:space="0" w:color="auto"/>
      </w:divBdr>
      <w:divsChild>
        <w:div w:id="239751241">
          <w:marLeft w:val="0"/>
          <w:marRight w:val="0"/>
          <w:marTop w:val="0"/>
          <w:marBottom w:val="0"/>
          <w:divBdr>
            <w:top w:val="none" w:sz="0" w:space="0" w:color="auto"/>
            <w:left w:val="none" w:sz="0" w:space="0" w:color="auto"/>
            <w:bottom w:val="none" w:sz="0" w:space="0" w:color="auto"/>
            <w:right w:val="none" w:sz="0" w:space="0" w:color="auto"/>
          </w:divBdr>
          <w:divsChild>
            <w:div w:id="678584644">
              <w:marLeft w:val="0"/>
              <w:marRight w:val="0"/>
              <w:marTop w:val="0"/>
              <w:marBottom w:val="0"/>
              <w:divBdr>
                <w:top w:val="none" w:sz="0" w:space="0" w:color="auto"/>
                <w:left w:val="none" w:sz="0" w:space="0" w:color="auto"/>
                <w:bottom w:val="none" w:sz="0" w:space="0" w:color="auto"/>
                <w:right w:val="none" w:sz="0" w:space="0" w:color="auto"/>
              </w:divBdr>
              <w:divsChild>
                <w:div w:id="2104957735">
                  <w:marLeft w:val="0"/>
                  <w:marRight w:val="0"/>
                  <w:marTop w:val="0"/>
                  <w:marBottom w:val="0"/>
                  <w:divBdr>
                    <w:top w:val="none" w:sz="0" w:space="0" w:color="auto"/>
                    <w:left w:val="none" w:sz="0" w:space="0" w:color="auto"/>
                    <w:bottom w:val="none" w:sz="0" w:space="0" w:color="auto"/>
                    <w:right w:val="none" w:sz="0" w:space="0" w:color="auto"/>
                  </w:divBdr>
                  <w:divsChild>
                    <w:div w:id="1748650770">
                      <w:marLeft w:val="0"/>
                      <w:marRight w:val="0"/>
                      <w:marTop w:val="0"/>
                      <w:marBottom w:val="0"/>
                      <w:divBdr>
                        <w:top w:val="none" w:sz="0" w:space="0" w:color="auto"/>
                        <w:left w:val="none" w:sz="0" w:space="0" w:color="auto"/>
                        <w:bottom w:val="none" w:sz="0" w:space="0" w:color="auto"/>
                        <w:right w:val="none" w:sz="0" w:space="0" w:color="auto"/>
                      </w:divBdr>
                      <w:divsChild>
                        <w:div w:id="800463742">
                          <w:marLeft w:val="0"/>
                          <w:marRight w:val="0"/>
                          <w:marTop w:val="0"/>
                          <w:marBottom w:val="0"/>
                          <w:divBdr>
                            <w:top w:val="none" w:sz="0" w:space="0" w:color="auto"/>
                            <w:left w:val="none" w:sz="0" w:space="0" w:color="auto"/>
                            <w:bottom w:val="none" w:sz="0" w:space="0" w:color="auto"/>
                            <w:right w:val="none" w:sz="0" w:space="0" w:color="auto"/>
                          </w:divBdr>
                        </w:div>
                        <w:div w:id="1178810995">
                          <w:marLeft w:val="0"/>
                          <w:marRight w:val="0"/>
                          <w:marTop w:val="0"/>
                          <w:marBottom w:val="0"/>
                          <w:divBdr>
                            <w:top w:val="none" w:sz="0" w:space="0" w:color="auto"/>
                            <w:left w:val="none" w:sz="0" w:space="0" w:color="auto"/>
                            <w:bottom w:val="none" w:sz="0" w:space="0" w:color="auto"/>
                            <w:right w:val="none" w:sz="0" w:space="0" w:color="auto"/>
                          </w:divBdr>
                        </w:div>
                        <w:div w:id="17894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1822">
      <w:bodyDiv w:val="1"/>
      <w:marLeft w:val="0"/>
      <w:marRight w:val="0"/>
      <w:marTop w:val="0"/>
      <w:marBottom w:val="0"/>
      <w:divBdr>
        <w:top w:val="none" w:sz="0" w:space="0" w:color="auto"/>
        <w:left w:val="none" w:sz="0" w:space="0" w:color="auto"/>
        <w:bottom w:val="none" w:sz="0" w:space="0" w:color="auto"/>
        <w:right w:val="none" w:sz="0" w:space="0" w:color="auto"/>
      </w:divBdr>
    </w:div>
    <w:div w:id="1168596010">
      <w:bodyDiv w:val="1"/>
      <w:marLeft w:val="0"/>
      <w:marRight w:val="0"/>
      <w:marTop w:val="0"/>
      <w:marBottom w:val="0"/>
      <w:divBdr>
        <w:top w:val="none" w:sz="0" w:space="0" w:color="auto"/>
        <w:left w:val="none" w:sz="0" w:space="0" w:color="auto"/>
        <w:bottom w:val="none" w:sz="0" w:space="0" w:color="auto"/>
        <w:right w:val="none" w:sz="0" w:space="0" w:color="auto"/>
      </w:divBdr>
    </w:div>
    <w:div w:id="1448425109">
      <w:bodyDiv w:val="1"/>
      <w:marLeft w:val="0"/>
      <w:marRight w:val="0"/>
      <w:marTop w:val="0"/>
      <w:marBottom w:val="0"/>
      <w:divBdr>
        <w:top w:val="none" w:sz="0" w:space="0" w:color="auto"/>
        <w:left w:val="none" w:sz="0" w:space="0" w:color="auto"/>
        <w:bottom w:val="none" w:sz="0" w:space="0" w:color="auto"/>
        <w:right w:val="none" w:sz="0" w:space="0" w:color="auto"/>
      </w:divBdr>
    </w:div>
    <w:div w:id="1823153034">
      <w:bodyDiv w:val="1"/>
      <w:marLeft w:val="0"/>
      <w:marRight w:val="0"/>
      <w:marTop w:val="0"/>
      <w:marBottom w:val="0"/>
      <w:divBdr>
        <w:top w:val="none" w:sz="0" w:space="0" w:color="auto"/>
        <w:left w:val="none" w:sz="0" w:space="0" w:color="auto"/>
        <w:bottom w:val="none" w:sz="0" w:space="0" w:color="auto"/>
        <w:right w:val="none" w:sz="0" w:space="0" w:color="auto"/>
      </w:divBdr>
    </w:div>
    <w:div w:id="1852603787">
      <w:bodyDiv w:val="1"/>
      <w:marLeft w:val="0"/>
      <w:marRight w:val="0"/>
      <w:marTop w:val="0"/>
      <w:marBottom w:val="0"/>
      <w:divBdr>
        <w:top w:val="none" w:sz="0" w:space="0" w:color="auto"/>
        <w:left w:val="none" w:sz="0" w:space="0" w:color="auto"/>
        <w:bottom w:val="none" w:sz="0" w:space="0" w:color="auto"/>
        <w:right w:val="none" w:sz="0" w:space="0" w:color="auto"/>
      </w:divBdr>
    </w:div>
    <w:div w:id="1881285834">
      <w:bodyDiv w:val="1"/>
      <w:marLeft w:val="0"/>
      <w:marRight w:val="0"/>
      <w:marTop w:val="0"/>
      <w:marBottom w:val="0"/>
      <w:divBdr>
        <w:top w:val="none" w:sz="0" w:space="0" w:color="auto"/>
        <w:left w:val="none" w:sz="0" w:space="0" w:color="auto"/>
        <w:bottom w:val="none" w:sz="0" w:space="0" w:color="auto"/>
        <w:right w:val="none" w:sz="0" w:space="0" w:color="auto"/>
      </w:divBdr>
    </w:div>
    <w:div w:id="1913158604">
      <w:bodyDiv w:val="1"/>
      <w:marLeft w:val="0"/>
      <w:marRight w:val="0"/>
      <w:marTop w:val="0"/>
      <w:marBottom w:val="0"/>
      <w:divBdr>
        <w:top w:val="none" w:sz="0" w:space="0" w:color="auto"/>
        <w:left w:val="none" w:sz="0" w:space="0" w:color="auto"/>
        <w:bottom w:val="none" w:sz="0" w:space="0" w:color="auto"/>
        <w:right w:val="none" w:sz="0" w:space="0" w:color="auto"/>
      </w:divBdr>
    </w:div>
    <w:div w:id="2079132425">
      <w:bodyDiv w:val="1"/>
      <w:marLeft w:val="0"/>
      <w:marRight w:val="0"/>
      <w:marTop w:val="0"/>
      <w:marBottom w:val="0"/>
      <w:divBdr>
        <w:top w:val="none" w:sz="0" w:space="0" w:color="auto"/>
        <w:left w:val="none" w:sz="0" w:space="0" w:color="auto"/>
        <w:bottom w:val="none" w:sz="0" w:space="0" w:color="auto"/>
        <w:right w:val="none" w:sz="0" w:space="0" w:color="auto"/>
      </w:divBdr>
      <w:divsChild>
        <w:div w:id="65287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EB9D-251E-42E0-9D93-72223687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4818</Words>
  <Characters>2747</Characters>
  <Application>Microsoft Office Word</Application>
  <DocSecurity>4</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2019-11-19T12:50:00Z</dcterms:created>
  <dc:creator>Jaunius Jasiunas</dc:creator>
  <cp:lastModifiedBy>Darius Sriubas</cp:lastModifiedBy>
  <cp:lastPrinted>2019-11-12T06:30:00Z</cp:lastPrinted>
  <dcterms:modified xsi:type="dcterms:W3CDTF">2019-11-19T12:50:00Z</dcterms:modified>
  <cp:revision>2</cp:revision>
</cp:coreProperties>
</file>