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5F966D" w14:textId="77777777" w:rsidR="00CA1B68" w:rsidRPr="00E947CE" w:rsidRDefault="00CA1B68" w:rsidP="004E6F94">
      <w:pPr>
        <w:pStyle w:val="Heading2"/>
        <w:jc w:val="center"/>
        <w:rPr>
          <w:b w:val="0"/>
          <w:sz w:val="24"/>
          <w:szCs w:val="24"/>
        </w:rPr>
      </w:pPr>
      <w:r w:rsidRPr="00E947CE">
        <w:rPr>
          <w:sz w:val="24"/>
          <w:szCs w:val="24"/>
        </w:rPr>
        <w:t>DERINIMO PAŽYMA</w:t>
      </w:r>
    </w:p>
    <w:p w14:paraId="305F966E" w14:textId="77777777" w:rsidR="00CA1B68" w:rsidRPr="00E947CE" w:rsidRDefault="0089457D" w:rsidP="004E6F94">
      <w:pPr>
        <w:spacing w:after="0" w:line="240" w:lineRule="auto"/>
        <w:jc w:val="center"/>
        <w:rPr>
          <w:rFonts w:ascii="Times New Roman" w:hAnsi="Times New Roman" w:cs="Times New Roman"/>
          <w:b/>
          <w:sz w:val="24"/>
          <w:szCs w:val="24"/>
        </w:rPr>
      </w:pPr>
      <w:r w:rsidRPr="00E947CE">
        <w:rPr>
          <w:rFonts w:ascii="Times New Roman" w:hAnsi="Times New Roman" w:cs="Times New Roman"/>
          <w:b/>
          <w:bCs/>
          <w:sz w:val="24"/>
          <w:szCs w:val="24"/>
        </w:rPr>
        <w:t>DĖL</w:t>
      </w:r>
      <w:r w:rsidRPr="00E947CE">
        <w:rPr>
          <w:rFonts w:ascii="Times New Roman" w:hAnsi="Times New Roman" w:cs="Times New Roman"/>
          <w:b/>
          <w:bCs/>
          <w:i/>
          <w:sz w:val="24"/>
          <w:szCs w:val="24"/>
        </w:rPr>
        <w:t xml:space="preserve"> </w:t>
      </w:r>
      <w:r w:rsidRPr="00E947CE">
        <w:rPr>
          <w:rFonts w:ascii="Times New Roman" w:hAnsi="Times New Roman" w:cs="Times New Roman"/>
          <w:b/>
          <w:bCs/>
          <w:sz w:val="24"/>
          <w:szCs w:val="24"/>
        </w:rPr>
        <w:t xml:space="preserve">LIETUVOS RESPUBLIKOS </w:t>
      </w:r>
      <w:r w:rsidR="007642AC">
        <w:rPr>
          <w:rFonts w:ascii="Times New Roman" w:hAnsi="Times New Roman" w:cs="Times New Roman"/>
          <w:b/>
          <w:bCs/>
          <w:sz w:val="24"/>
          <w:szCs w:val="24"/>
        </w:rPr>
        <w:t xml:space="preserve">VYRIAUSYBĖS 2018 M. LAPKRIČIO 28 D. NUTARIMO NR. 1176 „DĖL LIETUVOS RESPUBLIKOS VALSTYBĖS TARNYBOS ĮSTATYMO ĮGYVENDINIMO“ PAKEITIMO </w:t>
      </w:r>
      <w:r w:rsidR="001151AB" w:rsidRPr="00E947CE">
        <w:rPr>
          <w:rFonts w:ascii="Times New Roman" w:hAnsi="Times New Roman" w:cs="Times New Roman"/>
          <w:b/>
          <w:bCs/>
          <w:sz w:val="24"/>
          <w:szCs w:val="24"/>
        </w:rPr>
        <w:t xml:space="preserve">PROJEKTO </w:t>
      </w:r>
      <w:r w:rsidRPr="00E947CE">
        <w:rPr>
          <w:rFonts w:ascii="Times New Roman" w:hAnsi="Times New Roman" w:cs="Times New Roman"/>
          <w:b/>
          <w:sz w:val="24"/>
          <w:szCs w:val="24"/>
        </w:rPr>
        <w:t xml:space="preserve">(TOLIAU – </w:t>
      </w:r>
      <w:r w:rsidR="007642AC">
        <w:rPr>
          <w:rFonts w:ascii="Times New Roman" w:hAnsi="Times New Roman" w:cs="Times New Roman"/>
          <w:b/>
          <w:sz w:val="24"/>
          <w:szCs w:val="24"/>
        </w:rPr>
        <w:t>NUTARIMO</w:t>
      </w:r>
      <w:r w:rsidRPr="00E947CE">
        <w:rPr>
          <w:rFonts w:ascii="Times New Roman" w:hAnsi="Times New Roman" w:cs="Times New Roman"/>
          <w:b/>
          <w:sz w:val="24"/>
          <w:szCs w:val="24"/>
        </w:rPr>
        <w:t xml:space="preserve"> PROJEKTAS) </w:t>
      </w:r>
    </w:p>
    <w:p w14:paraId="305F966F" w14:textId="77777777" w:rsidR="00CA1B68" w:rsidRPr="00E947CE" w:rsidRDefault="00CA1B68" w:rsidP="004E6F94">
      <w:pPr>
        <w:spacing w:after="0" w:line="240" w:lineRule="auto"/>
        <w:rPr>
          <w:rFonts w:ascii="Times New Roman" w:hAnsi="Times New Roman" w:cs="Times New Roman"/>
          <w:sz w:val="24"/>
          <w:szCs w:val="24"/>
        </w:rPr>
      </w:pPr>
    </w:p>
    <w:tbl>
      <w:tblPr>
        <w:tblStyle w:val="TableGrid"/>
        <w:tblW w:w="15735" w:type="dxa"/>
        <w:tblInd w:w="-176" w:type="dxa"/>
        <w:tblLayout w:type="fixed"/>
        <w:tblLook w:val="04A0" w:firstRow="1" w:lastRow="0" w:firstColumn="1" w:lastColumn="0" w:noHBand="0" w:noVBand="1"/>
      </w:tblPr>
      <w:tblGrid>
        <w:gridCol w:w="993"/>
        <w:gridCol w:w="1588"/>
        <w:gridCol w:w="6521"/>
        <w:gridCol w:w="6633"/>
      </w:tblGrid>
      <w:tr w:rsidR="00226F12" w:rsidRPr="00D27D64" w14:paraId="305F9674" w14:textId="77777777" w:rsidTr="00D27D64">
        <w:tc>
          <w:tcPr>
            <w:tcW w:w="993" w:type="dxa"/>
          </w:tcPr>
          <w:p w14:paraId="305F9670" w14:textId="77777777" w:rsidR="00226F12" w:rsidRPr="00D27D64" w:rsidRDefault="00226F12" w:rsidP="00EB2777">
            <w:pPr>
              <w:jc w:val="center"/>
              <w:rPr>
                <w:rFonts w:ascii="Times New Roman" w:hAnsi="Times New Roman" w:cs="Times New Roman"/>
                <w:b/>
              </w:rPr>
            </w:pPr>
            <w:r w:rsidRPr="00D27D64">
              <w:rPr>
                <w:rFonts w:ascii="Times New Roman" w:hAnsi="Times New Roman" w:cs="Times New Roman"/>
                <w:b/>
              </w:rPr>
              <w:t>Eil. Nr.</w:t>
            </w:r>
          </w:p>
        </w:tc>
        <w:tc>
          <w:tcPr>
            <w:tcW w:w="1588" w:type="dxa"/>
          </w:tcPr>
          <w:p w14:paraId="305F9671" w14:textId="77777777" w:rsidR="00226F12" w:rsidRPr="00D27D64" w:rsidRDefault="00226F12" w:rsidP="00EB2777">
            <w:pPr>
              <w:pStyle w:val="Heading1"/>
              <w:jc w:val="center"/>
              <w:outlineLvl w:val="0"/>
              <w:rPr>
                <w:b/>
                <w:sz w:val="22"/>
                <w:szCs w:val="22"/>
              </w:rPr>
            </w:pPr>
            <w:r w:rsidRPr="00D27D64">
              <w:rPr>
                <w:b/>
                <w:sz w:val="22"/>
                <w:szCs w:val="22"/>
              </w:rPr>
              <w:t>Institucijos pavadinimas (rašto data ir Nr.)</w:t>
            </w:r>
          </w:p>
        </w:tc>
        <w:tc>
          <w:tcPr>
            <w:tcW w:w="6521" w:type="dxa"/>
          </w:tcPr>
          <w:p w14:paraId="305F9672" w14:textId="77777777" w:rsidR="00226F12" w:rsidRPr="00D27D64" w:rsidRDefault="00226F12" w:rsidP="00EB2777">
            <w:pPr>
              <w:pStyle w:val="Heading1"/>
              <w:jc w:val="center"/>
              <w:outlineLvl w:val="0"/>
              <w:rPr>
                <w:b/>
                <w:sz w:val="22"/>
                <w:szCs w:val="22"/>
              </w:rPr>
            </w:pPr>
            <w:r w:rsidRPr="00D27D64">
              <w:rPr>
                <w:b/>
                <w:sz w:val="22"/>
                <w:szCs w:val="22"/>
              </w:rPr>
              <w:t>Pastabos ir pasiūlymai</w:t>
            </w:r>
          </w:p>
        </w:tc>
        <w:tc>
          <w:tcPr>
            <w:tcW w:w="6633" w:type="dxa"/>
          </w:tcPr>
          <w:p w14:paraId="305F9673" w14:textId="77777777" w:rsidR="00226F12" w:rsidRPr="00D27D64" w:rsidRDefault="00226F12" w:rsidP="00EB2777">
            <w:pPr>
              <w:ind w:firstLine="33"/>
              <w:jc w:val="center"/>
              <w:rPr>
                <w:rFonts w:ascii="Times New Roman" w:hAnsi="Times New Roman" w:cs="Times New Roman"/>
                <w:b/>
              </w:rPr>
            </w:pPr>
            <w:r w:rsidRPr="00D27D64">
              <w:rPr>
                <w:rFonts w:ascii="Times New Roman" w:hAnsi="Times New Roman" w:cs="Times New Roman"/>
                <w:b/>
              </w:rPr>
              <w:t>Argumentai dėl pastabų, į kurias neatsižvelgta arba atsižvelgta iš dalies</w:t>
            </w:r>
          </w:p>
        </w:tc>
      </w:tr>
      <w:tr w:rsidR="00620357" w:rsidRPr="00D27D64" w14:paraId="305F967D" w14:textId="77777777" w:rsidTr="00D27D64">
        <w:tc>
          <w:tcPr>
            <w:tcW w:w="993" w:type="dxa"/>
          </w:tcPr>
          <w:p w14:paraId="305F9675" w14:textId="77777777" w:rsidR="00620357" w:rsidRPr="00D27D64" w:rsidRDefault="00071A72" w:rsidP="00EB2777">
            <w:pPr>
              <w:ind w:left="567"/>
              <w:rPr>
                <w:rFonts w:ascii="Times New Roman" w:hAnsi="Times New Roman" w:cs="Times New Roman"/>
              </w:rPr>
            </w:pPr>
            <w:r w:rsidRPr="00D27D64">
              <w:rPr>
                <w:rFonts w:ascii="Times New Roman" w:hAnsi="Times New Roman" w:cs="Times New Roman"/>
              </w:rPr>
              <w:t>1.</w:t>
            </w:r>
          </w:p>
        </w:tc>
        <w:tc>
          <w:tcPr>
            <w:tcW w:w="1588" w:type="dxa"/>
          </w:tcPr>
          <w:p w14:paraId="305F9676" w14:textId="77777777" w:rsidR="00620357" w:rsidRPr="009D6CBF" w:rsidRDefault="00620357" w:rsidP="00EB2777">
            <w:pPr>
              <w:rPr>
                <w:rFonts w:ascii="Times New Roman" w:hAnsi="Times New Roman" w:cs="Times New Roman"/>
              </w:rPr>
            </w:pPr>
            <w:r w:rsidRPr="009D6CBF">
              <w:rPr>
                <w:rFonts w:ascii="Times New Roman" w:hAnsi="Times New Roman" w:cs="Times New Roman"/>
              </w:rPr>
              <w:t>Krašto apsaugos ministerijos 2019-08-07 raštas Nr. 12-01-1269</w:t>
            </w:r>
            <w:r w:rsidR="00857A9A" w:rsidRPr="009D6CBF">
              <w:rPr>
                <w:rFonts w:ascii="Times New Roman" w:hAnsi="Times New Roman" w:cs="Times New Roman"/>
              </w:rPr>
              <w:t>;</w:t>
            </w:r>
          </w:p>
          <w:p w14:paraId="305F9677" w14:textId="77777777" w:rsidR="00857A9A" w:rsidRPr="00D27D64" w:rsidRDefault="00857A9A" w:rsidP="00EB2777">
            <w:pPr>
              <w:rPr>
                <w:rFonts w:ascii="Times New Roman" w:hAnsi="Times New Roman" w:cs="Times New Roman"/>
              </w:rPr>
            </w:pPr>
            <w:r w:rsidRPr="009D6CBF">
              <w:rPr>
                <w:rFonts w:ascii="Times New Roman" w:hAnsi="Times New Roman" w:cs="Times New Roman"/>
              </w:rPr>
              <w:t xml:space="preserve">2019-11-15 raštas Nr. </w:t>
            </w:r>
            <w:r w:rsidRPr="00E771F2">
              <w:rPr>
                <w:rFonts w:ascii="Times New Roman" w:hAnsi="Times New Roman" w:cs="Times New Roman"/>
                <w:color w:val="000000"/>
                <w:shd w:val="clear" w:color="auto" w:fill="FFFFFF"/>
              </w:rPr>
              <w:t>12-01-1767</w:t>
            </w:r>
          </w:p>
        </w:tc>
        <w:tc>
          <w:tcPr>
            <w:tcW w:w="6521" w:type="dxa"/>
          </w:tcPr>
          <w:p w14:paraId="305F9678" w14:textId="77777777" w:rsidR="00620357" w:rsidRPr="00D27D64" w:rsidRDefault="00620357" w:rsidP="00EB2777">
            <w:pPr>
              <w:tabs>
                <w:tab w:val="left" w:pos="1134"/>
              </w:tabs>
              <w:jc w:val="both"/>
              <w:rPr>
                <w:rFonts w:ascii="Times New Roman" w:hAnsi="Times New Roman" w:cs="Times New Roman"/>
              </w:rPr>
            </w:pPr>
            <w:r w:rsidRPr="00D27D64">
              <w:rPr>
                <w:rFonts w:ascii="Times New Roman" w:hAnsi="Times New Roman" w:cs="Times New Roman"/>
              </w:rPr>
              <w:t xml:space="preserve">8. Metodikos 1 priede nustatyti tipiniai reikalavimai ir specialieji reikalavimai atitinkamoms valstybės tarnautojų pareigybėms. Atkreiptinas dėmesys, kad labai padidėja darbo patirties veiklos srityje (priklausomai nuo įgyto išsilavinimo) reikalavimai. Atsižvelgdami į tai, kad valstybės tarnyba kol kas nėra patraukli sritis ir į ją labai sunkiai pritraukiama naujų darbuotojų, siūlome mažinti patirties reikalavimą per visą sistemą, pvz., vyriausiajam specialistui vietoj 3 metų darbo patirties užtektų turėti 1 metų patirtį, atitinkamai mažinti ir kitų pareigybių lygių darbo patirties reikalavimą iki maksimaliai 3 metų visose atitinkamose srityse. Nesumažinus darbo patirties veiklos srityje reikalavimų, sumažės tinkamų kandidatų skaičius, gali būti neįmanoma užimti pareigybių tarnybinio kaitumo būdu, taip pat grąžinti į pareigas ir tuos valstybės tarnautojus, kurie yra perkelti į kitas pareigas vadovaujantis VTĮ 25 str. nuostatomis. </w:t>
            </w:r>
          </w:p>
        </w:tc>
        <w:tc>
          <w:tcPr>
            <w:tcW w:w="6633" w:type="dxa"/>
          </w:tcPr>
          <w:p w14:paraId="305F9679" w14:textId="77777777" w:rsidR="00620357" w:rsidRPr="00D27D64" w:rsidRDefault="00620357" w:rsidP="00EB2777">
            <w:pPr>
              <w:rPr>
                <w:rFonts w:ascii="Times New Roman" w:hAnsi="Times New Roman" w:cs="Times New Roman"/>
                <w:b/>
              </w:rPr>
            </w:pPr>
            <w:r w:rsidRPr="00D27D64">
              <w:rPr>
                <w:rFonts w:ascii="Times New Roman" w:hAnsi="Times New Roman" w:cs="Times New Roman"/>
                <w:b/>
              </w:rPr>
              <w:t>Atsižvelgta iš dalies.</w:t>
            </w:r>
          </w:p>
          <w:p w14:paraId="305F967A" w14:textId="77777777" w:rsidR="00620357" w:rsidRPr="00D27D64" w:rsidRDefault="00071A72" w:rsidP="00EB2777">
            <w:pPr>
              <w:jc w:val="both"/>
              <w:rPr>
                <w:rFonts w:ascii="Times New Roman" w:hAnsi="Times New Roman" w:cs="Times New Roman"/>
              </w:rPr>
            </w:pPr>
            <w:r w:rsidRPr="00D27D64">
              <w:rPr>
                <w:rFonts w:ascii="Times New Roman" w:hAnsi="Times New Roman" w:cs="Times New Roman"/>
              </w:rPr>
              <w:t>Pareigybių aprašymo ir vertinimo metodikos (toliau – Metodika) 1</w:t>
            </w:r>
            <w:r w:rsidR="009D6CBF">
              <w:rPr>
                <w:rFonts w:ascii="Times New Roman" w:hAnsi="Times New Roman" w:cs="Times New Roman"/>
              </w:rPr>
              <w:t> </w:t>
            </w:r>
            <w:r w:rsidRPr="00D27D64">
              <w:rPr>
                <w:rFonts w:ascii="Times New Roman" w:hAnsi="Times New Roman" w:cs="Times New Roman"/>
              </w:rPr>
              <w:t>priedo „Tipiniai specialieji reikalavimai valstybės tarnautojams“ 9</w:t>
            </w:r>
            <w:r w:rsidR="009D6CBF">
              <w:rPr>
                <w:rFonts w:ascii="Times New Roman" w:hAnsi="Times New Roman" w:cs="Times New Roman"/>
              </w:rPr>
              <w:t> </w:t>
            </w:r>
            <w:r w:rsidRPr="00D27D64">
              <w:rPr>
                <w:rFonts w:ascii="Times New Roman" w:hAnsi="Times New Roman" w:cs="Times New Roman"/>
              </w:rPr>
              <w:t>eilutė patikslinta v</w:t>
            </w:r>
            <w:r w:rsidR="00620357" w:rsidRPr="00D27D64">
              <w:rPr>
                <w:rFonts w:ascii="Times New Roman" w:hAnsi="Times New Roman" w:cs="Times New Roman"/>
              </w:rPr>
              <w:t xml:space="preserve">yriausiajam specialistui </w:t>
            </w:r>
            <w:r w:rsidRPr="00D27D64">
              <w:rPr>
                <w:rFonts w:ascii="Times New Roman" w:hAnsi="Times New Roman" w:cs="Times New Roman"/>
              </w:rPr>
              <w:t>nustatant</w:t>
            </w:r>
            <w:r w:rsidR="00620357" w:rsidRPr="00D27D64">
              <w:rPr>
                <w:rFonts w:ascii="Times New Roman" w:hAnsi="Times New Roman" w:cs="Times New Roman"/>
              </w:rPr>
              <w:t xml:space="preserve"> 2 metų darbo patirt</w:t>
            </w:r>
            <w:r w:rsidRPr="00D27D64">
              <w:rPr>
                <w:rFonts w:ascii="Times New Roman" w:hAnsi="Times New Roman" w:cs="Times New Roman"/>
              </w:rPr>
              <w:t>į</w:t>
            </w:r>
            <w:r w:rsidR="00620357" w:rsidRPr="00D27D64">
              <w:rPr>
                <w:rFonts w:ascii="Times New Roman" w:hAnsi="Times New Roman" w:cs="Times New Roman"/>
              </w:rPr>
              <w:t>.</w:t>
            </w:r>
          </w:p>
          <w:p w14:paraId="305F967B" w14:textId="77777777" w:rsidR="00620357" w:rsidRPr="00D27D64" w:rsidRDefault="00620357" w:rsidP="00EB2777">
            <w:pPr>
              <w:jc w:val="both"/>
              <w:rPr>
                <w:rFonts w:ascii="Times New Roman" w:hAnsi="Times New Roman" w:cs="Times New Roman"/>
              </w:rPr>
            </w:pPr>
          </w:p>
          <w:p w14:paraId="305F967C" w14:textId="77777777" w:rsidR="00620357" w:rsidRPr="00D27D64" w:rsidRDefault="00620357" w:rsidP="00EB2777">
            <w:pPr>
              <w:rPr>
                <w:rFonts w:ascii="Times New Roman" w:hAnsi="Times New Roman" w:cs="Times New Roman"/>
              </w:rPr>
            </w:pPr>
          </w:p>
        </w:tc>
      </w:tr>
      <w:tr w:rsidR="00620357" w:rsidRPr="00D27D64" w14:paraId="305F9683" w14:textId="77777777" w:rsidTr="00D27D64">
        <w:tc>
          <w:tcPr>
            <w:tcW w:w="993" w:type="dxa"/>
          </w:tcPr>
          <w:p w14:paraId="305F967E" w14:textId="77777777" w:rsidR="00620357" w:rsidRPr="00D27D64" w:rsidRDefault="00620357" w:rsidP="00EB2777">
            <w:pPr>
              <w:ind w:left="567"/>
              <w:rPr>
                <w:rFonts w:ascii="Times New Roman" w:hAnsi="Times New Roman" w:cs="Times New Roman"/>
              </w:rPr>
            </w:pPr>
          </w:p>
        </w:tc>
        <w:tc>
          <w:tcPr>
            <w:tcW w:w="1588" w:type="dxa"/>
          </w:tcPr>
          <w:p w14:paraId="305F967F" w14:textId="77777777" w:rsidR="00620357" w:rsidRPr="00D27D64" w:rsidRDefault="00620357" w:rsidP="00EB2777">
            <w:pPr>
              <w:rPr>
                <w:rFonts w:ascii="Times New Roman" w:hAnsi="Times New Roman" w:cs="Times New Roman"/>
              </w:rPr>
            </w:pPr>
          </w:p>
        </w:tc>
        <w:tc>
          <w:tcPr>
            <w:tcW w:w="6521" w:type="dxa"/>
          </w:tcPr>
          <w:p w14:paraId="305F9680" w14:textId="77777777" w:rsidR="00620357" w:rsidRPr="00D27D64" w:rsidRDefault="00620357" w:rsidP="00EB2777">
            <w:pPr>
              <w:tabs>
                <w:tab w:val="left" w:pos="1134"/>
              </w:tabs>
              <w:jc w:val="both"/>
              <w:rPr>
                <w:rFonts w:ascii="Times New Roman" w:hAnsi="Times New Roman" w:cs="Times New Roman"/>
              </w:rPr>
            </w:pPr>
            <w:r w:rsidRPr="00D27D64">
              <w:rPr>
                <w:rFonts w:ascii="Times New Roman" w:hAnsi="Times New Roman" w:cs="Times New Roman"/>
              </w:rPr>
              <w:t xml:space="preserve">9. Siūlome keisti Metodikos 1 priede pateiktą išsilavinimo aprašymą. Pažymėtina, kad netikslinga apriboti aukštojo mokslo kvalifikacijos iki 4 studijų krypčių, nes kai kurioms funkcijoms atlikti nėra reikalingas labai konkretus išsilavinimas ar patirtis, todėl toks reikalavimas gali labai sumažinti galimų pretendentų skaičių. </w:t>
            </w:r>
          </w:p>
        </w:tc>
        <w:tc>
          <w:tcPr>
            <w:tcW w:w="6633" w:type="dxa"/>
          </w:tcPr>
          <w:p w14:paraId="305F9681" w14:textId="77777777" w:rsidR="00620357" w:rsidRPr="00D27D64" w:rsidRDefault="00620357" w:rsidP="00EB2777">
            <w:pPr>
              <w:rPr>
                <w:rFonts w:ascii="Times New Roman" w:hAnsi="Times New Roman" w:cs="Times New Roman"/>
                <w:b/>
              </w:rPr>
            </w:pPr>
            <w:r w:rsidRPr="00D27D64">
              <w:rPr>
                <w:rFonts w:ascii="Times New Roman" w:hAnsi="Times New Roman" w:cs="Times New Roman"/>
                <w:b/>
              </w:rPr>
              <w:t>Neatsižvelgta.</w:t>
            </w:r>
          </w:p>
          <w:p w14:paraId="305F9682" w14:textId="77777777" w:rsidR="00620357" w:rsidRPr="00D27D64" w:rsidRDefault="00620357" w:rsidP="00EB2777">
            <w:pPr>
              <w:jc w:val="both"/>
              <w:rPr>
                <w:rFonts w:ascii="Times New Roman" w:hAnsi="Times New Roman" w:cs="Times New Roman"/>
              </w:rPr>
            </w:pPr>
            <w:r w:rsidRPr="00D27D64">
              <w:rPr>
                <w:rFonts w:ascii="Times New Roman" w:hAnsi="Times New Roman" w:cs="Times New Roman"/>
              </w:rPr>
              <w:t>Išsilavinimo ir darbo patirties reikalavimų alternatyvos paremtos principu į pareigas priimti asmenį su bet kokios krypties išsilavinimu, tačiau su darbo patirtimi ARBA su konkrečios krypties išsilavinimu, bet be patirties.</w:t>
            </w:r>
          </w:p>
        </w:tc>
      </w:tr>
      <w:tr w:rsidR="00620357" w:rsidRPr="00D27D64" w14:paraId="305F968C" w14:textId="77777777" w:rsidTr="00D27D64">
        <w:tc>
          <w:tcPr>
            <w:tcW w:w="993" w:type="dxa"/>
          </w:tcPr>
          <w:p w14:paraId="305F9684" w14:textId="77777777" w:rsidR="00620357" w:rsidRPr="00D27D64" w:rsidRDefault="00620357" w:rsidP="00EB2777">
            <w:pPr>
              <w:ind w:left="567"/>
              <w:rPr>
                <w:rFonts w:ascii="Times New Roman" w:hAnsi="Times New Roman" w:cs="Times New Roman"/>
              </w:rPr>
            </w:pPr>
          </w:p>
        </w:tc>
        <w:tc>
          <w:tcPr>
            <w:tcW w:w="1588" w:type="dxa"/>
          </w:tcPr>
          <w:p w14:paraId="305F9685" w14:textId="77777777" w:rsidR="00620357" w:rsidRPr="00D27D64" w:rsidRDefault="00620357" w:rsidP="00EB2777">
            <w:pPr>
              <w:rPr>
                <w:rFonts w:ascii="Times New Roman" w:hAnsi="Times New Roman" w:cs="Times New Roman"/>
              </w:rPr>
            </w:pPr>
          </w:p>
        </w:tc>
        <w:tc>
          <w:tcPr>
            <w:tcW w:w="6521" w:type="dxa"/>
          </w:tcPr>
          <w:p w14:paraId="305F9686" w14:textId="77777777" w:rsidR="001C3599" w:rsidRPr="00D27D64" w:rsidRDefault="001C3599" w:rsidP="00EB2777">
            <w:pPr>
              <w:pStyle w:val="ListParagraph"/>
              <w:tabs>
                <w:tab w:val="left" w:pos="1134"/>
              </w:tabs>
              <w:ind w:left="0"/>
              <w:jc w:val="both"/>
              <w:rPr>
                <w:rFonts w:ascii="Times New Roman" w:hAnsi="Times New Roman" w:cs="Times New Roman"/>
                <w:i/>
              </w:rPr>
            </w:pPr>
            <w:r w:rsidRPr="00D27D64">
              <w:rPr>
                <w:rFonts w:ascii="Times New Roman" w:hAnsi="Times New Roman" w:cs="Times New Roman"/>
                <w:i/>
                <w:iCs/>
              </w:rPr>
              <w:t>Dėl Valstybės tarnautojų tarnybinės veiklos vertinimo tvarkos aprašo</w:t>
            </w:r>
            <w:r w:rsidRPr="00D27D64">
              <w:rPr>
                <w:rFonts w:ascii="Times New Roman" w:hAnsi="Times New Roman" w:cs="Times New Roman"/>
                <w:i/>
              </w:rPr>
              <w:t xml:space="preserve"> (toliau – Aprašas):</w:t>
            </w:r>
          </w:p>
          <w:p w14:paraId="305F9687" w14:textId="77777777" w:rsidR="00620357" w:rsidRPr="00D27D64" w:rsidRDefault="00620357" w:rsidP="00EB2777">
            <w:pPr>
              <w:autoSpaceDE w:val="0"/>
              <w:autoSpaceDN w:val="0"/>
              <w:adjustRightInd w:val="0"/>
              <w:jc w:val="both"/>
              <w:rPr>
                <w:rFonts w:ascii="Times New Roman" w:hAnsi="Times New Roman" w:cs="Times New Roman"/>
                <w:spacing w:val="-2"/>
              </w:rPr>
            </w:pPr>
            <w:r w:rsidRPr="00D27D64">
              <w:rPr>
                <w:rFonts w:ascii="Times New Roman" w:hAnsi="Times New Roman" w:cs="Times New Roman"/>
                <w:spacing w:val="-2"/>
              </w:rPr>
              <w:t>16. Pagal Aprašo 62 punkto nuostatas nėra visiškai aišku, kaip reikėtų elgtis su valstybės tarnautoju, perkeltu vadovaujantis VTĮ 25 str. ar 26 str. nuostatomis, todėl reikėtų detalesnio aprašymo.</w:t>
            </w:r>
          </w:p>
        </w:tc>
        <w:tc>
          <w:tcPr>
            <w:tcW w:w="6633" w:type="dxa"/>
          </w:tcPr>
          <w:p w14:paraId="305F9688" w14:textId="77777777" w:rsidR="00620357" w:rsidRPr="00D27D64" w:rsidRDefault="00620357" w:rsidP="00EB2777">
            <w:pPr>
              <w:rPr>
                <w:rFonts w:ascii="Times New Roman" w:hAnsi="Times New Roman" w:cs="Times New Roman"/>
                <w:b/>
              </w:rPr>
            </w:pPr>
            <w:r w:rsidRPr="00D27D64">
              <w:rPr>
                <w:rFonts w:ascii="Times New Roman" w:hAnsi="Times New Roman" w:cs="Times New Roman"/>
                <w:b/>
              </w:rPr>
              <w:t>Neatsižvelgta.</w:t>
            </w:r>
          </w:p>
          <w:p w14:paraId="305F9689" w14:textId="77777777" w:rsidR="00620357" w:rsidRPr="00D27D64" w:rsidRDefault="00620357" w:rsidP="00EB2777">
            <w:pPr>
              <w:jc w:val="both"/>
              <w:rPr>
                <w:rFonts w:ascii="Times New Roman" w:hAnsi="Times New Roman" w:cs="Times New Roman"/>
              </w:rPr>
            </w:pPr>
            <w:r w:rsidRPr="00D27D64">
              <w:rPr>
                <w:rFonts w:ascii="Times New Roman" w:hAnsi="Times New Roman" w:cs="Times New Roman"/>
              </w:rPr>
              <w:t xml:space="preserve">Pagal </w:t>
            </w:r>
            <w:r w:rsidR="00071A72" w:rsidRPr="00D27D64">
              <w:rPr>
                <w:rFonts w:ascii="Times New Roman" w:hAnsi="Times New Roman" w:cs="Times New Roman"/>
              </w:rPr>
              <w:t xml:space="preserve">Valstybės tarnybos įstatymo (toliau – </w:t>
            </w:r>
            <w:r w:rsidRPr="00D27D64">
              <w:rPr>
                <w:rFonts w:ascii="Times New Roman" w:hAnsi="Times New Roman" w:cs="Times New Roman"/>
              </w:rPr>
              <w:t>VTĮ</w:t>
            </w:r>
            <w:r w:rsidR="00071A72" w:rsidRPr="00D27D64">
              <w:rPr>
                <w:rFonts w:ascii="Times New Roman" w:hAnsi="Times New Roman" w:cs="Times New Roman"/>
              </w:rPr>
              <w:t>)</w:t>
            </w:r>
            <w:r w:rsidRPr="00D27D64">
              <w:rPr>
                <w:rFonts w:ascii="Times New Roman" w:hAnsi="Times New Roman" w:cs="Times New Roman"/>
              </w:rPr>
              <w:t xml:space="preserve"> 26 straipsnį valstybės tarnautojas perkeliamas ne laikinai, o nuolat.</w:t>
            </w:r>
            <w:r w:rsidR="00BF0135" w:rsidRPr="00D27D64">
              <w:rPr>
                <w:rFonts w:ascii="Times New Roman" w:hAnsi="Times New Roman" w:cs="Times New Roman"/>
              </w:rPr>
              <w:t xml:space="preserve"> </w:t>
            </w:r>
            <w:r w:rsidRPr="00D27D64">
              <w:rPr>
                <w:rFonts w:ascii="Times New Roman" w:hAnsi="Times New Roman" w:cs="Times New Roman"/>
              </w:rPr>
              <w:t>Tuo tarpu valstybės tarnautojo, perkelto pagal VTĮ 25 straipsnį, veiklą vertina jo tiesioginis vadovas tose pareigose, į kurias jis perkeltas.</w:t>
            </w:r>
          </w:p>
          <w:p w14:paraId="305F968A" w14:textId="77777777" w:rsidR="00620357" w:rsidRPr="00D27D64" w:rsidRDefault="00620357" w:rsidP="00EB2777">
            <w:pPr>
              <w:jc w:val="both"/>
              <w:rPr>
                <w:rFonts w:ascii="Times New Roman" w:hAnsi="Times New Roman" w:cs="Times New Roman"/>
              </w:rPr>
            </w:pPr>
            <w:r w:rsidRPr="00D27D64">
              <w:rPr>
                <w:rFonts w:ascii="Times New Roman" w:hAnsi="Times New Roman" w:cs="Times New Roman"/>
              </w:rPr>
              <w:t xml:space="preserve">Sprendimas perkelti į aukštesnes pareigas įgyvendinamas grąžinus jį į anksčiau buvusias pareigas, kaip ir nurodoma </w:t>
            </w:r>
            <w:r w:rsidR="00071A72" w:rsidRPr="00D27D64">
              <w:rPr>
                <w:rFonts w:ascii="Times New Roman" w:hAnsi="Times New Roman" w:cs="Times New Roman"/>
                <w:iCs/>
              </w:rPr>
              <w:t>Valstybės tarnautojų tarnybinės veiklos vertinimo tvarkos aprašo</w:t>
            </w:r>
            <w:r w:rsidR="00071A72" w:rsidRPr="00D27D64">
              <w:rPr>
                <w:rFonts w:ascii="Times New Roman" w:hAnsi="Times New Roman" w:cs="Times New Roman"/>
              </w:rPr>
              <w:t xml:space="preserve"> (toliau – Aprašas)</w:t>
            </w:r>
            <w:r w:rsidRPr="00D27D64">
              <w:rPr>
                <w:rFonts w:ascii="Times New Roman" w:hAnsi="Times New Roman" w:cs="Times New Roman"/>
              </w:rPr>
              <w:t xml:space="preserve"> 62</w:t>
            </w:r>
            <w:r w:rsidR="009D6CBF">
              <w:rPr>
                <w:rFonts w:ascii="Times New Roman" w:hAnsi="Times New Roman" w:cs="Times New Roman"/>
              </w:rPr>
              <w:t> </w:t>
            </w:r>
            <w:r w:rsidRPr="00D27D64">
              <w:rPr>
                <w:rFonts w:ascii="Times New Roman" w:hAnsi="Times New Roman" w:cs="Times New Roman"/>
              </w:rPr>
              <w:t>punkte.</w:t>
            </w:r>
          </w:p>
          <w:p w14:paraId="305F968B" w14:textId="77777777" w:rsidR="00620357" w:rsidRPr="00D27D64" w:rsidRDefault="00620357" w:rsidP="00EB2777">
            <w:pPr>
              <w:jc w:val="both"/>
              <w:rPr>
                <w:rFonts w:ascii="Times New Roman" w:hAnsi="Times New Roman" w:cs="Times New Roman"/>
              </w:rPr>
            </w:pPr>
            <w:r w:rsidRPr="00D27D64">
              <w:rPr>
                <w:rFonts w:ascii="Times New Roman" w:hAnsi="Times New Roman" w:cs="Times New Roman"/>
              </w:rPr>
              <w:t>Aprašo nuostatos teikiant projektą 2018 m. rudenį buvo suderintos ir su Lietuvos Respublikos Vyriausybės kanceliarija.</w:t>
            </w:r>
          </w:p>
        </w:tc>
      </w:tr>
      <w:tr w:rsidR="00071A72" w:rsidRPr="00D27D64" w14:paraId="305F9693" w14:textId="77777777" w:rsidTr="00D27D64">
        <w:tc>
          <w:tcPr>
            <w:tcW w:w="993" w:type="dxa"/>
          </w:tcPr>
          <w:p w14:paraId="305F968D" w14:textId="77777777" w:rsidR="00071A72" w:rsidRPr="00D27D64" w:rsidRDefault="00071A72" w:rsidP="00EB2777">
            <w:pPr>
              <w:ind w:left="567"/>
              <w:rPr>
                <w:rFonts w:ascii="Times New Roman" w:hAnsi="Times New Roman" w:cs="Times New Roman"/>
              </w:rPr>
            </w:pPr>
            <w:r w:rsidRPr="00D27D64">
              <w:rPr>
                <w:rFonts w:ascii="Times New Roman" w:hAnsi="Times New Roman" w:cs="Times New Roman"/>
              </w:rPr>
              <w:t>2.</w:t>
            </w:r>
          </w:p>
        </w:tc>
        <w:tc>
          <w:tcPr>
            <w:tcW w:w="1588" w:type="dxa"/>
          </w:tcPr>
          <w:p w14:paraId="305F968E" w14:textId="77777777" w:rsidR="00071A72" w:rsidRPr="00D27D64" w:rsidRDefault="00071A72" w:rsidP="00EB2777">
            <w:pPr>
              <w:rPr>
                <w:rFonts w:ascii="Times New Roman" w:hAnsi="Times New Roman" w:cs="Times New Roman"/>
              </w:rPr>
            </w:pPr>
            <w:r w:rsidRPr="00D27D64">
              <w:rPr>
                <w:rFonts w:ascii="Times New Roman" w:hAnsi="Times New Roman" w:cs="Times New Roman"/>
              </w:rPr>
              <w:t>Valstybės kontrolės 2019-07-19 raštas Nr. SD-(4-1.8E)-443</w:t>
            </w:r>
          </w:p>
        </w:tc>
        <w:tc>
          <w:tcPr>
            <w:tcW w:w="6521" w:type="dxa"/>
          </w:tcPr>
          <w:p w14:paraId="305F968F" w14:textId="77777777" w:rsidR="00071A72" w:rsidRPr="00D27D64" w:rsidRDefault="00071A72" w:rsidP="00EB2777">
            <w:pPr>
              <w:widowControl w:val="0"/>
              <w:tabs>
                <w:tab w:val="left" w:pos="37"/>
              </w:tabs>
              <w:suppressAutoHyphens/>
              <w:jc w:val="both"/>
              <w:rPr>
                <w:rFonts w:ascii="Times New Roman" w:hAnsi="Times New Roman" w:cs="Times New Roman"/>
              </w:rPr>
            </w:pPr>
            <w:r w:rsidRPr="00D27D64">
              <w:rPr>
                <w:rFonts w:ascii="Times New Roman" w:hAnsi="Times New Roman" w:cs="Times New Roman"/>
                <w:iCs/>
                <w:spacing w:val="-2"/>
              </w:rPr>
              <w:t xml:space="preserve">Valstybės kontrolė kompetencijų sistemą taiko jau nuo 2003 metų. 2018 metais pradėjome diegti naują kompetencijų sistemą, jau parengtos institucijos specifiką atitinkančios bendrosios ir vadovavimo kompetencijos. Bendrosios kompetencijos susietos su institucijos vertybėmis, todėl neturi reikiamos sąsajos su </w:t>
            </w:r>
            <w:r w:rsidRPr="00D27D64">
              <w:rPr>
                <w:rFonts w:ascii="Times New Roman" w:hAnsi="Times New Roman" w:cs="Times New Roman"/>
                <w:spacing w:val="-2"/>
              </w:rPr>
              <w:t>Valstybės tarnautojų pareigybių aprašymo ir vertinimo metodikos projekte numatytomis bendrosiomis kompetencijomis</w:t>
            </w:r>
            <w:r w:rsidRPr="00D27D64">
              <w:rPr>
                <w:rFonts w:ascii="Times New Roman" w:hAnsi="Times New Roman" w:cs="Times New Roman"/>
                <w:iCs/>
                <w:spacing w:val="-2"/>
              </w:rPr>
              <w:t xml:space="preserve">. Vadovaudamiesi šiomis kompetencijomis, atlikome vadovų 360 laipsnių kompetencijų vertinimą (vertinimui palyginti efektyvu ir tikslinga šį įrankį naudoti ir toliau). Šiuo metu yra rengiamos profesinės (valstybinių auditorių ir audite dalyvaujančių specialistų ir kt.) kompetencijos. Kuriant ir diegiant kompetencijų sistemą, buvo panaudoti institucijos finansiniai ir žmogiškieji ištekliai. Siekiant išvengti galimo neefektyvaus valstybės biudžeto lėšų panaudojimo, siūlytina išsiaiškinti, ar kitos valstybės ir savivaldybių įstaigos neturi parengusios jų veiklos specifiką atitinkančių kompetencijų sistemų. Atsižvelgdami į tai, siūlome </w:t>
            </w:r>
            <w:r w:rsidRPr="00D27D64">
              <w:rPr>
                <w:rFonts w:ascii="Times New Roman" w:hAnsi="Times New Roman" w:cs="Times New Roman"/>
                <w:spacing w:val="-2"/>
              </w:rPr>
              <w:t xml:space="preserve">Valstybės tarnautojų pareigybių aprašymo ir vertinimo metodikos projekte ir Valstybės tarnautojų tarnybinės veiklos vertinimo tvarkos aprašo projekte </w:t>
            </w:r>
            <w:r w:rsidRPr="00D27D64">
              <w:rPr>
                <w:rFonts w:ascii="Times New Roman" w:hAnsi="Times New Roman" w:cs="Times New Roman"/>
                <w:iCs/>
                <w:spacing w:val="-2"/>
              </w:rPr>
              <w:t>numatyti</w:t>
            </w:r>
            <w:r w:rsidRPr="00D27D64">
              <w:rPr>
                <w:rFonts w:ascii="Times New Roman" w:hAnsi="Times New Roman" w:cs="Times New Roman"/>
                <w:spacing w:val="-2"/>
              </w:rPr>
              <w:t xml:space="preserve"> išimtis, kai įstaigoms tikslinga taikyti savo nustatytą kompetencijų sistemą.</w:t>
            </w:r>
          </w:p>
        </w:tc>
        <w:tc>
          <w:tcPr>
            <w:tcW w:w="6633" w:type="dxa"/>
          </w:tcPr>
          <w:p w14:paraId="305F9690" w14:textId="77777777" w:rsidR="00071A72" w:rsidRPr="00D27D64" w:rsidRDefault="00071A72" w:rsidP="00EB2777">
            <w:pPr>
              <w:rPr>
                <w:rFonts w:ascii="Times New Roman" w:hAnsi="Times New Roman" w:cs="Times New Roman"/>
                <w:b/>
              </w:rPr>
            </w:pPr>
            <w:r w:rsidRPr="00D27D64">
              <w:rPr>
                <w:rFonts w:ascii="Times New Roman" w:hAnsi="Times New Roman" w:cs="Times New Roman"/>
                <w:b/>
              </w:rPr>
              <w:t>Neatsižvelgta.</w:t>
            </w:r>
          </w:p>
          <w:p w14:paraId="305F9691" w14:textId="77777777" w:rsidR="00071A72" w:rsidRPr="00D27D64" w:rsidRDefault="00071A72" w:rsidP="00EB2777">
            <w:pPr>
              <w:jc w:val="both"/>
              <w:rPr>
                <w:rFonts w:ascii="Times New Roman" w:hAnsi="Times New Roman" w:cs="Times New Roman"/>
              </w:rPr>
            </w:pPr>
            <w:r w:rsidRPr="00D27D64">
              <w:rPr>
                <w:rFonts w:ascii="Times New Roman" w:hAnsi="Times New Roman" w:cs="Times New Roman"/>
              </w:rPr>
              <w:t>Siekiant užtikrinti vieningą valstybės tarnybą, tikslinga turėti vieningą, bendrai taikomą kompetencijų sistemą.</w:t>
            </w:r>
          </w:p>
          <w:p w14:paraId="305F9692" w14:textId="77777777" w:rsidR="00071A72" w:rsidRPr="00D27D64" w:rsidRDefault="00071A72" w:rsidP="00EB2777">
            <w:pPr>
              <w:jc w:val="both"/>
              <w:rPr>
                <w:rFonts w:ascii="Times New Roman" w:hAnsi="Times New Roman" w:cs="Times New Roman"/>
              </w:rPr>
            </w:pPr>
            <w:r w:rsidRPr="00D27D64">
              <w:rPr>
                <w:rFonts w:ascii="Times New Roman" w:hAnsi="Times New Roman" w:cs="Times New Roman"/>
              </w:rPr>
              <w:t>Taip pat atkreiptinas dėmesys į tai, kad Metodikoje bus galimybė nusistatyti profesines kompetencijas, jeigu nepakaks specifinių kompetencijų (45 punktas). Todėl manytina, kad tos kompetencijos, kurios reikalingos išskirtinai Valstybės kontrolės institucijoje dirbantiems asmenims</w:t>
            </w:r>
            <w:r w:rsidR="009D6CBF">
              <w:rPr>
                <w:rFonts w:ascii="Times New Roman" w:hAnsi="Times New Roman" w:cs="Times New Roman"/>
              </w:rPr>
              <w:t>,</w:t>
            </w:r>
            <w:r w:rsidRPr="00D27D64">
              <w:rPr>
                <w:rFonts w:ascii="Times New Roman" w:hAnsi="Times New Roman" w:cs="Times New Roman"/>
              </w:rPr>
              <w:t xml:space="preserve"> galėtų būti patvirtintos kaip profesinės kompetencijos.</w:t>
            </w:r>
          </w:p>
        </w:tc>
      </w:tr>
      <w:tr w:rsidR="00071A72" w:rsidRPr="00D27D64" w14:paraId="305F9699" w14:textId="77777777" w:rsidTr="00D27D64">
        <w:tc>
          <w:tcPr>
            <w:tcW w:w="993" w:type="dxa"/>
          </w:tcPr>
          <w:p w14:paraId="305F9694" w14:textId="77777777" w:rsidR="00071A72" w:rsidRPr="00D27D64" w:rsidRDefault="00071A72" w:rsidP="00EB2777">
            <w:pPr>
              <w:ind w:left="567"/>
              <w:rPr>
                <w:rFonts w:ascii="Times New Roman" w:hAnsi="Times New Roman" w:cs="Times New Roman"/>
              </w:rPr>
            </w:pPr>
          </w:p>
        </w:tc>
        <w:tc>
          <w:tcPr>
            <w:tcW w:w="1588" w:type="dxa"/>
          </w:tcPr>
          <w:p w14:paraId="305F9695" w14:textId="77777777" w:rsidR="00071A72" w:rsidRPr="00D27D64" w:rsidRDefault="00071A72" w:rsidP="00EB2777">
            <w:pPr>
              <w:rPr>
                <w:rFonts w:ascii="Times New Roman" w:hAnsi="Times New Roman" w:cs="Times New Roman"/>
              </w:rPr>
            </w:pPr>
          </w:p>
        </w:tc>
        <w:tc>
          <w:tcPr>
            <w:tcW w:w="6521" w:type="dxa"/>
          </w:tcPr>
          <w:p w14:paraId="305F9696" w14:textId="77777777" w:rsidR="00071A72" w:rsidRPr="00D27D64" w:rsidRDefault="00071A72" w:rsidP="00EB2777">
            <w:pPr>
              <w:widowControl w:val="0"/>
              <w:tabs>
                <w:tab w:val="left" w:pos="37"/>
              </w:tabs>
              <w:suppressAutoHyphens/>
              <w:jc w:val="both"/>
              <w:rPr>
                <w:rFonts w:ascii="Times New Roman" w:hAnsi="Times New Roman" w:cs="Times New Roman"/>
              </w:rPr>
            </w:pPr>
            <w:r w:rsidRPr="00D27D64">
              <w:rPr>
                <w:rFonts w:ascii="Times New Roman" w:hAnsi="Times New Roman" w:cs="Times New Roman"/>
                <w:spacing w:val="-2"/>
              </w:rPr>
              <w:t>Valstybės tarnautojų pareigybių aprašymo ir vertinimo metodikos projekte reglamentuotas pareigybių aprašymo rengimas, bet nereglamentuotas jų keitimas. Poreikis keisti pareigybių aprašymus atsiranda dėl struktūrinių pertvarkymų, teisės aktų pakeitimų ir kt. Manytina, kad, siekiant teisinio aiškumo ir nuoseklumo, pareigybių aprašymo keitimo procedūra turėtų būti reglamentuota metodikoje.</w:t>
            </w:r>
          </w:p>
        </w:tc>
        <w:tc>
          <w:tcPr>
            <w:tcW w:w="6633" w:type="dxa"/>
          </w:tcPr>
          <w:p w14:paraId="305F9697" w14:textId="77777777" w:rsidR="00071A72" w:rsidRPr="00D27D64" w:rsidRDefault="00071A72" w:rsidP="00EB2777">
            <w:pPr>
              <w:rPr>
                <w:rFonts w:ascii="Times New Roman" w:hAnsi="Times New Roman" w:cs="Times New Roman"/>
                <w:b/>
              </w:rPr>
            </w:pPr>
            <w:r w:rsidRPr="00D27D64">
              <w:rPr>
                <w:rFonts w:ascii="Times New Roman" w:hAnsi="Times New Roman" w:cs="Times New Roman"/>
                <w:b/>
              </w:rPr>
              <w:t>Neatsižvelgta.</w:t>
            </w:r>
          </w:p>
          <w:p w14:paraId="305F9698" w14:textId="77777777" w:rsidR="00071A72" w:rsidRPr="00D27D64" w:rsidRDefault="00071A72" w:rsidP="00EB2777">
            <w:pPr>
              <w:jc w:val="both"/>
              <w:rPr>
                <w:rFonts w:ascii="Times New Roman" w:hAnsi="Times New Roman" w:cs="Times New Roman"/>
              </w:rPr>
            </w:pPr>
            <w:r w:rsidRPr="00D27D64">
              <w:rPr>
                <w:rFonts w:ascii="Times New Roman" w:hAnsi="Times New Roman" w:cs="Times New Roman"/>
              </w:rPr>
              <w:t>Pareigybių aprašymų tvirtinimas, aprašymas ir keitimas yra įstaigos vidaus administravimo dalis. Įstaigos vadovas pagal poreikį, atsižvelgdamas į įstaigai pavestus naujus uždavinius</w:t>
            </w:r>
            <w:r w:rsidR="004C58F3">
              <w:rPr>
                <w:rFonts w:ascii="Times New Roman" w:hAnsi="Times New Roman" w:cs="Times New Roman"/>
              </w:rPr>
              <w:t>,</w:t>
            </w:r>
            <w:r w:rsidRPr="00D27D64">
              <w:rPr>
                <w:rFonts w:ascii="Times New Roman" w:hAnsi="Times New Roman" w:cs="Times New Roman"/>
              </w:rPr>
              <w:t xml:space="preserve"> pagal turimus žmogiškųjų išteklių ir finansinius resursus, rengia, keičia ir tvirtina pareigybių aprašymus. Todėl detalizuoti pareigybių aprašymų keitimo procedūrų nėra tikslinga.</w:t>
            </w:r>
          </w:p>
        </w:tc>
      </w:tr>
      <w:tr w:rsidR="00071A72" w:rsidRPr="00D27D64" w14:paraId="305F96A0" w14:textId="77777777" w:rsidTr="00D27D64">
        <w:tc>
          <w:tcPr>
            <w:tcW w:w="993" w:type="dxa"/>
          </w:tcPr>
          <w:p w14:paraId="305F969A" w14:textId="77777777" w:rsidR="00071A72" w:rsidRPr="00D27D64" w:rsidRDefault="00071A72" w:rsidP="00EB2777">
            <w:pPr>
              <w:ind w:left="567"/>
              <w:rPr>
                <w:rFonts w:ascii="Times New Roman" w:hAnsi="Times New Roman" w:cs="Times New Roman"/>
              </w:rPr>
            </w:pPr>
          </w:p>
        </w:tc>
        <w:tc>
          <w:tcPr>
            <w:tcW w:w="1588" w:type="dxa"/>
          </w:tcPr>
          <w:p w14:paraId="305F969B" w14:textId="77777777" w:rsidR="00071A72" w:rsidRPr="00D27D64" w:rsidRDefault="00071A72" w:rsidP="00EB2777">
            <w:pPr>
              <w:rPr>
                <w:rFonts w:ascii="Times New Roman" w:hAnsi="Times New Roman" w:cs="Times New Roman"/>
              </w:rPr>
            </w:pPr>
          </w:p>
        </w:tc>
        <w:tc>
          <w:tcPr>
            <w:tcW w:w="6521" w:type="dxa"/>
          </w:tcPr>
          <w:p w14:paraId="305F969C" w14:textId="77777777" w:rsidR="00071A72" w:rsidRPr="00D27D64" w:rsidRDefault="00071A72" w:rsidP="00EB2777">
            <w:pPr>
              <w:autoSpaceDE w:val="0"/>
              <w:autoSpaceDN w:val="0"/>
              <w:adjustRightInd w:val="0"/>
              <w:jc w:val="both"/>
              <w:rPr>
                <w:rFonts w:ascii="Times New Roman" w:hAnsi="Times New Roman" w:cs="Times New Roman"/>
              </w:rPr>
            </w:pPr>
            <w:r w:rsidRPr="00D27D64">
              <w:rPr>
                <w:rFonts w:ascii="Times New Roman" w:hAnsi="Times New Roman" w:cs="Times New Roman"/>
                <w:spacing w:val="-2"/>
              </w:rPr>
              <w:t>Viešojo valdymo tobulinimo 2012–2020 metų programos 13.3.1 p. numatyta stiprinti vadovaujančiųjų valstybės tarnautojų grandį, jiems nustatant specialias / atskiras tarnybinės veiklos vertinimo procedūras. Tačiau parengtame Valstybės tarnautojų tarnybinės veiklos vertinimo tvarkos aprašo projekte specialios / atskiros tarnybinės veiklos vertinimo procedūros vadovaujantiems valstybės tarnautojams, išskyrus įstaigų vadovus, nėra numatytos.</w:t>
            </w:r>
          </w:p>
        </w:tc>
        <w:tc>
          <w:tcPr>
            <w:tcW w:w="6633" w:type="dxa"/>
          </w:tcPr>
          <w:p w14:paraId="305F969D" w14:textId="77777777" w:rsidR="00071A72" w:rsidRPr="00D27D64" w:rsidRDefault="00071A72" w:rsidP="00EB2777">
            <w:pPr>
              <w:rPr>
                <w:rFonts w:ascii="Times New Roman" w:hAnsi="Times New Roman" w:cs="Times New Roman"/>
                <w:b/>
              </w:rPr>
            </w:pPr>
            <w:r w:rsidRPr="00D27D64">
              <w:rPr>
                <w:rFonts w:ascii="Times New Roman" w:hAnsi="Times New Roman" w:cs="Times New Roman"/>
                <w:b/>
              </w:rPr>
              <w:t>Neatsižvelgta.</w:t>
            </w:r>
          </w:p>
          <w:p w14:paraId="305F969E" w14:textId="77777777" w:rsidR="00071A72" w:rsidRPr="00D27D64" w:rsidRDefault="00071A72" w:rsidP="00EB2777">
            <w:pPr>
              <w:jc w:val="both"/>
              <w:rPr>
                <w:rFonts w:ascii="Times New Roman" w:hAnsi="Times New Roman" w:cs="Times New Roman"/>
              </w:rPr>
            </w:pPr>
            <w:r w:rsidRPr="00D27D64">
              <w:rPr>
                <w:rFonts w:ascii="Times New Roman" w:hAnsi="Times New Roman" w:cs="Times New Roman"/>
              </w:rPr>
              <w:t xml:space="preserve">Įvertinus 360 laipsnių vertinimo modelio veikimą praktikoje, esant poreikiui, ateityje numatoma šio įrankio taikymą plėsti ir taikyti administracijos padalinių vadovams. </w:t>
            </w:r>
          </w:p>
          <w:p w14:paraId="305F969F" w14:textId="77777777" w:rsidR="00071A72" w:rsidRPr="00D27D64" w:rsidRDefault="00071A72" w:rsidP="00EB2777">
            <w:pPr>
              <w:jc w:val="both"/>
              <w:rPr>
                <w:rFonts w:ascii="Times New Roman" w:hAnsi="Times New Roman" w:cs="Times New Roman"/>
              </w:rPr>
            </w:pPr>
            <w:r w:rsidRPr="00D27D64">
              <w:rPr>
                <w:rFonts w:ascii="Times New Roman" w:hAnsi="Times New Roman" w:cs="Times New Roman"/>
              </w:rPr>
              <w:t>Pastebėtina, kad vadovaujančios grandies stiprinimas išreiškiamas ne tik per tarnybinės veiklos vertinimo procesą. Vadovaujančioms pareigybėms yra nustatomi ir aukštesni kompetencijų reikalavimai (lygiai).</w:t>
            </w:r>
          </w:p>
        </w:tc>
      </w:tr>
      <w:tr w:rsidR="001C4799" w:rsidRPr="00D27D64" w14:paraId="305F96A7" w14:textId="77777777" w:rsidTr="00D27D64">
        <w:tc>
          <w:tcPr>
            <w:tcW w:w="993" w:type="dxa"/>
          </w:tcPr>
          <w:p w14:paraId="305F96A1" w14:textId="77777777" w:rsidR="001C4799" w:rsidRPr="00D27D64" w:rsidRDefault="001C4799" w:rsidP="00EB2777">
            <w:pPr>
              <w:ind w:left="567"/>
              <w:rPr>
                <w:rFonts w:ascii="Times New Roman" w:hAnsi="Times New Roman" w:cs="Times New Roman"/>
              </w:rPr>
            </w:pPr>
          </w:p>
        </w:tc>
        <w:tc>
          <w:tcPr>
            <w:tcW w:w="1588" w:type="dxa"/>
          </w:tcPr>
          <w:p w14:paraId="305F96A2" w14:textId="77777777" w:rsidR="001C4799" w:rsidRPr="00D27D64" w:rsidRDefault="001C4799" w:rsidP="00EB2777">
            <w:pPr>
              <w:rPr>
                <w:rFonts w:ascii="Times New Roman" w:hAnsi="Times New Roman" w:cs="Times New Roman"/>
              </w:rPr>
            </w:pPr>
            <w:r w:rsidRPr="00D27D64">
              <w:rPr>
                <w:rFonts w:ascii="Times New Roman" w:hAnsi="Times New Roman" w:cs="Times New Roman"/>
                <w:color w:val="000000"/>
                <w:shd w:val="clear" w:color="auto" w:fill="FFFFFF"/>
              </w:rPr>
              <w:t>Valstybės kontrolės 2019-11-11 raštas Nr. SD-(4-1.8 E)-792</w:t>
            </w:r>
          </w:p>
        </w:tc>
        <w:tc>
          <w:tcPr>
            <w:tcW w:w="6521" w:type="dxa"/>
          </w:tcPr>
          <w:p w14:paraId="305F96A3" w14:textId="77777777" w:rsidR="001C4799" w:rsidRPr="00D27D64" w:rsidRDefault="001C4799" w:rsidP="00EB2777">
            <w:pPr>
              <w:autoSpaceDE w:val="0"/>
              <w:autoSpaceDN w:val="0"/>
              <w:adjustRightInd w:val="0"/>
              <w:jc w:val="both"/>
              <w:rPr>
                <w:rFonts w:ascii="Times New Roman" w:hAnsi="Times New Roman" w:cs="Times New Roman"/>
                <w:spacing w:val="-2"/>
              </w:rPr>
            </w:pPr>
            <w:r w:rsidRPr="00D27D64">
              <w:rPr>
                <w:rFonts w:ascii="Times New Roman" w:hAnsi="Times New Roman" w:cs="Times New Roman"/>
                <w:spacing w:val="-2"/>
              </w:rPr>
              <w:t>1. Tiesioginis vadovas turi dukart vertinti ir aprašyti valstybės tarnautojo kvalifikaciją  ir gebėjimus – teikdamas motyvuotą siūlymą į pareigas priimančiam asmeniui bei po pokalbio su valstybės tarnautoju įrašydamas į valstybės tarnautojo motyvuotą siūlymą.</w:t>
            </w:r>
          </w:p>
        </w:tc>
        <w:tc>
          <w:tcPr>
            <w:tcW w:w="6633" w:type="dxa"/>
          </w:tcPr>
          <w:p w14:paraId="305F96A4" w14:textId="77777777" w:rsidR="00DA0125" w:rsidRPr="00D27D64" w:rsidRDefault="00DA0125" w:rsidP="00EB2777">
            <w:pPr>
              <w:rPr>
                <w:rFonts w:ascii="Times New Roman" w:hAnsi="Times New Roman" w:cs="Times New Roman"/>
                <w:b/>
              </w:rPr>
            </w:pPr>
            <w:r w:rsidRPr="00D27D64">
              <w:rPr>
                <w:rFonts w:ascii="Times New Roman" w:hAnsi="Times New Roman" w:cs="Times New Roman"/>
                <w:b/>
              </w:rPr>
              <w:t>Neatsižvelgta.</w:t>
            </w:r>
          </w:p>
          <w:p w14:paraId="305F96A5" w14:textId="77777777" w:rsidR="00927114" w:rsidRPr="00D27D64" w:rsidRDefault="00927114" w:rsidP="00EB2777">
            <w:pPr>
              <w:jc w:val="both"/>
              <w:rPr>
                <w:rFonts w:ascii="Times New Roman" w:hAnsi="Times New Roman" w:cs="Times New Roman"/>
                <w:color w:val="000000"/>
              </w:rPr>
            </w:pPr>
            <w:r w:rsidRPr="00D27D64">
              <w:rPr>
                <w:rFonts w:ascii="Times New Roman" w:hAnsi="Times New Roman" w:cs="Times New Roman"/>
              </w:rPr>
              <w:t>VTĮ 27 straipsnio 11 dalis nustato atvejus, kuriems esant atliekamas v</w:t>
            </w:r>
            <w:r w:rsidRPr="00D27D64">
              <w:rPr>
                <w:rFonts w:ascii="Times New Roman" w:hAnsi="Times New Roman" w:cs="Times New Roman"/>
                <w:color w:val="000000"/>
              </w:rPr>
              <w:t>alstybės tarnautojo tarnybinės veiklos neeilinis vertinimas. Atkreiptinas dėmesys, kad neeilinis valstybės tarnautojo veiklos vertinimas atliekamas tik esant valstybės tarnautoją į pareigas priimančio asmens ar įstaigos vadovą į pareigas priimančio kolegialios institucijos vadovo sprendimui.</w:t>
            </w:r>
          </w:p>
          <w:p w14:paraId="305F96A6" w14:textId="77777777" w:rsidR="001C4799" w:rsidRPr="00D27D64" w:rsidRDefault="00927114" w:rsidP="00EB2777">
            <w:pPr>
              <w:jc w:val="both"/>
              <w:rPr>
                <w:color w:val="000000"/>
              </w:rPr>
            </w:pPr>
            <w:r w:rsidRPr="00D27D64">
              <w:rPr>
                <w:rFonts w:ascii="Times New Roman" w:hAnsi="Times New Roman" w:cs="Times New Roman"/>
                <w:color w:val="000000"/>
              </w:rPr>
              <w:t>Todėl tiesioginis vadovas prieš teikdamas rašytinį motyvuotą siūlymą į pareigas priimančiam asmeniui atlikti neeilinį vertinimą neprivalo atlikti išankstinio išsamaus valstybės tarnautojo veiklos vertinimo. Tiesioginis vadovas teikia į pareigas priimančiam asmeniui tik rašytinį motyvuotą siūlymą, susijusį  su valstybės tarnautojo kvalifikacija ir gebėjimais atlikti pareigybės aprašyme nustatytas funkcijas</w:t>
            </w:r>
            <w:r w:rsidR="00DA0125" w:rsidRPr="00D27D64">
              <w:rPr>
                <w:rFonts w:ascii="Times New Roman" w:hAnsi="Times New Roman" w:cs="Times New Roman"/>
                <w:color w:val="000000"/>
              </w:rPr>
              <w:t>.</w:t>
            </w:r>
          </w:p>
        </w:tc>
      </w:tr>
      <w:tr w:rsidR="001C4799" w:rsidRPr="00D27D64" w14:paraId="305F96AD" w14:textId="77777777" w:rsidTr="00D27D64">
        <w:tc>
          <w:tcPr>
            <w:tcW w:w="993" w:type="dxa"/>
          </w:tcPr>
          <w:p w14:paraId="305F96A8" w14:textId="77777777" w:rsidR="001C4799" w:rsidRPr="00D27D64" w:rsidRDefault="001C4799" w:rsidP="00EB2777">
            <w:pPr>
              <w:ind w:left="567"/>
              <w:rPr>
                <w:rFonts w:ascii="Times New Roman" w:hAnsi="Times New Roman" w:cs="Times New Roman"/>
              </w:rPr>
            </w:pPr>
          </w:p>
        </w:tc>
        <w:tc>
          <w:tcPr>
            <w:tcW w:w="1588" w:type="dxa"/>
          </w:tcPr>
          <w:p w14:paraId="305F96A9" w14:textId="77777777" w:rsidR="001C4799" w:rsidRPr="00D27D64" w:rsidRDefault="001C4799" w:rsidP="00EB2777">
            <w:pPr>
              <w:rPr>
                <w:rFonts w:ascii="Times New Roman" w:hAnsi="Times New Roman" w:cs="Times New Roman"/>
              </w:rPr>
            </w:pPr>
          </w:p>
        </w:tc>
        <w:tc>
          <w:tcPr>
            <w:tcW w:w="6521" w:type="dxa"/>
          </w:tcPr>
          <w:p w14:paraId="305F96AA" w14:textId="77777777" w:rsidR="001C4799" w:rsidRPr="00D27D64" w:rsidRDefault="001C4799" w:rsidP="00EB2777">
            <w:pPr>
              <w:autoSpaceDE w:val="0"/>
              <w:autoSpaceDN w:val="0"/>
              <w:adjustRightInd w:val="0"/>
              <w:jc w:val="both"/>
              <w:rPr>
                <w:rFonts w:ascii="Times New Roman" w:hAnsi="Times New Roman" w:cs="Times New Roman"/>
                <w:spacing w:val="-2"/>
              </w:rPr>
            </w:pPr>
            <w:r w:rsidRPr="00D27D64">
              <w:rPr>
                <w:rFonts w:ascii="Times New Roman" w:hAnsi="Times New Roman" w:cs="Times New Roman"/>
                <w:spacing w:val="-2"/>
              </w:rPr>
              <w:t xml:space="preserve">2. Į pareigas priimantis asmuo, prieš priimdamas sprendimą dėl neeilinio vertinimo, turi spręsti dėl siūlomo vertinti valstybės tarnautojo kvalifikacijos ir gebėjimų atlikti pareigybės aprašyme nustatytas funkcijas. Sprendimas dėl neeilinio vertinimo neatlikimo turėtų būti motyvuotas. Manome, kad įstaigos vadovui žinoti visų institucijos valstybės tarnautojų kvalifikaciją ir gebėjimus yra nerealu. </w:t>
            </w:r>
          </w:p>
        </w:tc>
        <w:tc>
          <w:tcPr>
            <w:tcW w:w="6633" w:type="dxa"/>
          </w:tcPr>
          <w:p w14:paraId="305F96AB" w14:textId="77777777" w:rsidR="00DA0125" w:rsidRPr="00D27D64" w:rsidRDefault="00DA0125" w:rsidP="00EB2777">
            <w:pPr>
              <w:rPr>
                <w:rFonts w:ascii="Times New Roman" w:hAnsi="Times New Roman" w:cs="Times New Roman"/>
                <w:b/>
              </w:rPr>
            </w:pPr>
            <w:r w:rsidRPr="00D27D64">
              <w:rPr>
                <w:rFonts w:ascii="Times New Roman" w:hAnsi="Times New Roman" w:cs="Times New Roman"/>
                <w:b/>
              </w:rPr>
              <w:t>Neatsižvelgta.</w:t>
            </w:r>
          </w:p>
          <w:p w14:paraId="305F96AC" w14:textId="77777777" w:rsidR="001C4799" w:rsidRPr="00D27D64" w:rsidRDefault="00DA0125">
            <w:pPr>
              <w:jc w:val="both"/>
              <w:rPr>
                <w:rFonts w:ascii="Times New Roman" w:hAnsi="Times New Roman" w:cs="Times New Roman"/>
              </w:rPr>
            </w:pPr>
            <w:r w:rsidRPr="00D27D64">
              <w:rPr>
                <w:rFonts w:ascii="Times New Roman" w:hAnsi="Times New Roman" w:cs="Times New Roman"/>
              </w:rPr>
              <w:t xml:space="preserve">Į pareigas priimantis asmuo turi spręsti ne dėl </w:t>
            </w:r>
            <w:r w:rsidRPr="00D27D64">
              <w:rPr>
                <w:rFonts w:ascii="Times New Roman" w:hAnsi="Times New Roman" w:cs="Times New Roman"/>
                <w:spacing w:val="-2"/>
              </w:rPr>
              <w:t xml:space="preserve">valstybės tarnautojo kvalifikacijos ir gebėjimų atlikti pareigybės aprašyme nustatytas funkcijas, o dėl </w:t>
            </w:r>
            <w:r w:rsidRPr="00D27D64">
              <w:rPr>
                <w:rFonts w:ascii="Times New Roman" w:hAnsi="Times New Roman" w:cs="Times New Roman"/>
              </w:rPr>
              <w:t>valstybės tarnautojo tarnybinės veiklos neeilinio vertinimo atlikimo arba neatlikimo. Va</w:t>
            </w:r>
            <w:r w:rsidR="00D27D64">
              <w:rPr>
                <w:rFonts w:ascii="Times New Roman" w:hAnsi="Times New Roman" w:cs="Times New Roman"/>
              </w:rPr>
              <w:t>l</w:t>
            </w:r>
            <w:r w:rsidRPr="00D27D64">
              <w:rPr>
                <w:rFonts w:ascii="Times New Roman" w:hAnsi="Times New Roman" w:cs="Times New Roman"/>
              </w:rPr>
              <w:t xml:space="preserve">stybės tarnautojo </w:t>
            </w:r>
            <w:r w:rsidRPr="00D27D64">
              <w:rPr>
                <w:rFonts w:ascii="Times New Roman" w:hAnsi="Times New Roman" w:cs="Times New Roman"/>
                <w:spacing w:val="-2"/>
              </w:rPr>
              <w:t xml:space="preserve">kvalifikacijos ir gebėjimų atlikti pareigybės aprašyme nustatytas funkcijas išsamiai vertinami tik priėmus sprendimą atlikti </w:t>
            </w:r>
            <w:r w:rsidRPr="00D27D64">
              <w:rPr>
                <w:rFonts w:ascii="Times New Roman" w:hAnsi="Times New Roman" w:cs="Times New Roman"/>
              </w:rPr>
              <w:t>tarnybinės veiklos neeilinį vertinimą.</w:t>
            </w:r>
          </w:p>
        </w:tc>
      </w:tr>
      <w:tr w:rsidR="001C4799" w:rsidRPr="00D27D64" w14:paraId="305F96B3" w14:textId="77777777" w:rsidTr="00D27D64">
        <w:tc>
          <w:tcPr>
            <w:tcW w:w="993" w:type="dxa"/>
          </w:tcPr>
          <w:p w14:paraId="305F96AE" w14:textId="77777777" w:rsidR="001C4799" w:rsidRPr="00D27D64" w:rsidRDefault="001C4799" w:rsidP="00EB2777">
            <w:pPr>
              <w:ind w:left="567"/>
              <w:rPr>
                <w:rFonts w:ascii="Times New Roman" w:hAnsi="Times New Roman" w:cs="Times New Roman"/>
              </w:rPr>
            </w:pPr>
          </w:p>
        </w:tc>
        <w:tc>
          <w:tcPr>
            <w:tcW w:w="1588" w:type="dxa"/>
          </w:tcPr>
          <w:p w14:paraId="305F96AF" w14:textId="77777777" w:rsidR="001C4799" w:rsidRPr="00D27D64" w:rsidRDefault="001C4799" w:rsidP="00EB2777">
            <w:pPr>
              <w:rPr>
                <w:rFonts w:ascii="Times New Roman" w:hAnsi="Times New Roman" w:cs="Times New Roman"/>
              </w:rPr>
            </w:pPr>
          </w:p>
        </w:tc>
        <w:tc>
          <w:tcPr>
            <w:tcW w:w="6521" w:type="dxa"/>
          </w:tcPr>
          <w:p w14:paraId="305F96B0" w14:textId="77777777" w:rsidR="001C4799" w:rsidRPr="00D27D64" w:rsidRDefault="001C4799" w:rsidP="00EB2777">
            <w:pPr>
              <w:autoSpaceDE w:val="0"/>
              <w:autoSpaceDN w:val="0"/>
              <w:adjustRightInd w:val="0"/>
              <w:jc w:val="both"/>
              <w:rPr>
                <w:rFonts w:ascii="Times New Roman" w:hAnsi="Times New Roman" w:cs="Times New Roman"/>
                <w:spacing w:val="-2"/>
              </w:rPr>
            </w:pPr>
            <w:r w:rsidRPr="00D27D64">
              <w:rPr>
                <w:rFonts w:ascii="Times New Roman" w:hAnsi="Times New Roman" w:cs="Times New Roman"/>
                <w:spacing w:val="-2"/>
              </w:rPr>
              <w:t>3. Jei valstybės tarnautojo tarnybinė veikla kasmetinio vertinimo metu buvo įvertinta nepatenkinamai ir buvo sudarytas jo tarnybinės veiklos rezultatų gerinimo planas, neeilinis vertinimas turėtų būti privalomas (be įstaigos vadovo atskiro sprendimo).</w:t>
            </w:r>
          </w:p>
        </w:tc>
        <w:tc>
          <w:tcPr>
            <w:tcW w:w="6633" w:type="dxa"/>
          </w:tcPr>
          <w:p w14:paraId="305F96B1" w14:textId="77777777" w:rsidR="001C4799" w:rsidRPr="00D27D64" w:rsidRDefault="002F58D2" w:rsidP="00EB2777">
            <w:pPr>
              <w:rPr>
                <w:rFonts w:ascii="Times New Roman" w:hAnsi="Times New Roman" w:cs="Times New Roman"/>
                <w:b/>
                <w:color w:val="FF0000"/>
              </w:rPr>
            </w:pPr>
            <w:r w:rsidRPr="00D27D64">
              <w:rPr>
                <w:rFonts w:ascii="Times New Roman" w:hAnsi="Times New Roman" w:cs="Times New Roman"/>
                <w:b/>
              </w:rPr>
              <w:t>Nea</w:t>
            </w:r>
            <w:r w:rsidR="00DA0125" w:rsidRPr="00D27D64">
              <w:rPr>
                <w:rFonts w:ascii="Times New Roman" w:hAnsi="Times New Roman" w:cs="Times New Roman"/>
                <w:b/>
              </w:rPr>
              <w:t>tsižvelgta.</w:t>
            </w:r>
          </w:p>
          <w:p w14:paraId="305F96B2" w14:textId="77777777" w:rsidR="001B2C8E" w:rsidRPr="00D27D64" w:rsidRDefault="002F58D2" w:rsidP="002F58D2">
            <w:pPr>
              <w:jc w:val="both"/>
              <w:rPr>
                <w:rFonts w:ascii="Times New Roman" w:hAnsi="Times New Roman" w:cs="Times New Roman"/>
              </w:rPr>
            </w:pPr>
            <w:r w:rsidRPr="00D27D64">
              <w:rPr>
                <w:rFonts w:ascii="Times New Roman" w:hAnsi="Times New Roman" w:cs="Times New Roman"/>
              </w:rPr>
              <w:t>Aprašo 30 punkte yra nustatyta, kad neeilinį vertinimą privaloma atlikti Lietuvos Respublikos valstybės tarnybos įstatymo 27 straipsnio 11</w:t>
            </w:r>
            <w:r w:rsidR="000B2CF5">
              <w:rPr>
                <w:rFonts w:ascii="Times New Roman" w:hAnsi="Times New Roman" w:cs="Times New Roman"/>
              </w:rPr>
              <w:t> </w:t>
            </w:r>
            <w:r w:rsidRPr="00D27D64">
              <w:rPr>
                <w:rFonts w:ascii="Times New Roman" w:hAnsi="Times New Roman" w:cs="Times New Roman"/>
              </w:rPr>
              <w:t>dalies 4</w:t>
            </w:r>
            <w:r w:rsidR="000B2CF5">
              <w:rPr>
                <w:rFonts w:ascii="Times New Roman" w:hAnsi="Times New Roman" w:cs="Times New Roman"/>
              </w:rPr>
              <w:t> </w:t>
            </w:r>
            <w:r w:rsidRPr="00D27D64">
              <w:rPr>
                <w:rFonts w:ascii="Times New Roman" w:hAnsi="Times New Roman" w:cs="Times New Roman"/>
              </w:rPr>
              <w:t>punkte nustatytu atveju (t. y., jeigu kasmetinio vertinimo metu valstybės tarnautojo tarnybinė veikla buvo įvertinta nepatenkinamai ir buvo sudarytas jo tarnybinės veiklos rezultatų gerinimo planas).</w:t>
            </w:r>
          </w:p>
        </w:tc>
      </w:tr>
      <w:tr w:rsidR="001C4799" w:rsidRPr="00D27D64" w14:paraId="305F96BB" w14:textId="77777777" w:rsidTr="00D27D64">
        <w:tc>
          <w:tcPr>
            <w:tcW w:w="993" w:type="dxa"/>
          </w:tcPr>
          <w:p w14:paraId="305F96B4" w14:textId="77777777" w:rsidR="001C4799" w:rsidRPr="00D27D64" w:rsidRDefault="001C4799" w:rsidP="00EB2777">
            <w:pPr>
              <w:ind w:left="567"/>
              <w:rPr>
                <w:rFonts w:ascii="Times New Roman" w:hAnsi="Times New Roman" w:cs="Times New Roman"/>
              </w:rPr>
            </w:pPr>
          </w:p>
        </w:tc>
        <w:tc>
          <w:tcPr>
            <w:tcW w:w="1588" w:type="dxa"/>
          </w:tcPr>
          <w:p w14:paraId="305F96B5" w14:textId="77777777" w:rsidR="001C4799" w:rsidRPr="00D27D64" w:rsidRDefault="001C4799" w:rsidP="00EB2777">
            <w:pPr>
              <w:rPr>
                <w:rFonts w:ascii="Times New Roman" w:hAnsi="Times New Roman" w:cs="Times New Roman"/>
              </w:rPr>
            </w:pPr>
          </w:p>
        </w:tc>
        <w:tc>
          <w:tcPr>
            <w:tcW w:w="6521" w:type="dxa"/>
          </w:tcPr>
          <w:p w14:paraId="305F96B6" w14:textId="77777777" w:rsidR="001C4799" w:rsidRPr="00D27D64" w:rsidRDefault="001C4799" w:rsidP="00EB2777">
            <w:pPr>
              <w:autoSpaceDE w:val="0"/>
              <w:autoSpaceDN w:val="0"/>
              <w:adjustRightInd w:val="0"/>
              <w:jc w:val="both"/>
              <w:rPr>
                <w:rFonts w:ascii="Times New Roman" w:hAnsi="Times New Roman" w:cs="Times New Roman"/>
                <w:spacing w:val="-2"/>
              </w:rPr>
            </w:pPr>
            <w:r w:rsidRPr="00D27D64">
              <w:rPr>
                <w:rFonts w:ascii="Times New Roman" w:hAnsi="Times New Roman" w:cs="Times New Roman"/>
                <w:spacing w:val="-2"/>
              </w:rPr>
              <w:t xml:space="preserve">4. Vertinimo tvarkos aprašo 28 ir 30 punktai galimai pažeidžia Valstybės tarnybos įstatymo 37 straipsnio 5 dalies nuostatą, kad valstybės tarnautojo tarnybinę veiklą vertina jo tiesioginis vadovas. Į pareigas priimantis asmuo neturėtų iš anksto, prieš pradedant neeilinį vertinimą, vertindamas tiesioginio vadovo motyvuotame siūlyme apibūdintą valstybės tarnautojo kvalifikaciją ir gebėjimus atlikti pareigybės aprašyme nustatytas funkcijas, spręsti dėl valstybės tarnautojo tinkamumo atlikti ar neatlikti tarnybinės veiklos neeilinį vertinimą. </w:t>
            </w:r>
          </w:p>
          <w:p w14:paraId="305F96B7" w14:textId="77777777" w:rsidR="001C4799" w:rsidRPr="00D27D64" w:rsidRDefault="001C4799" w:rsidP="00EB2777">
            <w:pPr>
              <w:autoSpaceDE w:val="0"/>
              <w:autoSpaceDN w:val="0"/>
              <w:adjustRightInd w:val="0"/>
              <w:jc w:val="both"/>
              <w:rPr>
                <w:rFonts w:ascii="Times New Roman" w:hAnsi="Times New Roman" w:cs="Times New Roman"/>
                <w:spacing w:val="-2"/>
              </w:rPr>
            </w:pPr>
            <w:r w:rsidRPr="00D27D64">
              <w:rPr>
                <w:rFonts w:ascii="Times New Roman" w:hAnsi="Times New Roman" w:cs="Times New Roman"/>
                <w:spacing w:val="-2"/>
              </w:rPr>
              <w:t>Be kita ko, minėtame apraše sąvoka „motyvuotas siūlymas“ vartojama apibūdinti du skirtingus dokumentus (28 ir 34 punktai), todėl yra klaidinanti.</w:t>
            </w:r>
          </w:p>
        </w:tc>
        <w:tc>
          <w:tcPr>
            <w:tcW w:w="6633" w:type="dxa"/>
          </w:tcPr>
          <w:p w14:paraId="305F96B8" w14:textId="77777777" w:rsidR="001B2C8E" w:rsidRPr="00D27D64" w:rsidRDefault="001B2C8E" w:rsidP="00EB2777">
            <w:pPr>
              <w:rPr>
                <w:rFonts w:ascii="Times New Roman" w:hAnsi="Times New Roman" w:cs="Times New Roman"/>
                <w:b/>
              </w:rPr>
            </w:pPr>
            <w:r w:rsidRPr="00D27D64">
              <w:rPr>
                <w:rFonts w:ascii="Times New Roman" w:hAnsi="Times New Roman" w:cs="Times New Roman"/>
                <w:b/>
              </w:rPr>
              <w:t>Neatsižvelgta.</w:t>
            </w:r>
          </w:p>
          <w:p w14:paraId="305F96B9" w14:textId="77777777" w:rsidR="001C4799" w:rsidRPr="00D27D64" w:rsidRDefault="001B2C8E" w:rsidP="00EB2777">
            <w:pPr>
              <w:jc w:val="both"/>
              <w:rPr>
                <w:rFonts w:ascii="Times New Roman" w:hAnsi="Times New Roman" w:cs="Times New Roman"/>
              </w:rPr>
            </w:pPr>
            <w:r w:rsidRPr="00D27D64">
              <w:rPr>
                <w:rFonts w:ascii="Times New Roman" w:hAnsi="Times New Roman" w:cs="Times New Roman"/>
              </w:rPr>
              <w:t xml:space="preserve">Į pareigas priimantis asmuo turi spręsti ne dėl </w:t>
            </w:r>
            <w:r w:rsidRPr="00D27D64">
              <w:rPr>
                <w:rFonts w:ascii="Times New Roman" w:hAnsi="Times New Roman" w:cs="Times New Roman"/>
                <w:spacing w:val="-2"/>
              </w:rPr>
              <w:t xml:space="preserve">valstybės tarnautojo kvalifikacijos ir gebėjimų atlikti pareigybės aprašyme nustatytas funkcijas, o dėl </w:t>
            </w:r>
            <w:r w:rsidRPr="00D27D64">
              <w:rPr>
                <w:rFonts w:ascii="Times New Roman" w:hAnsi="Times New Roman" w:cs="Times New Roman"/>
              </w:rPr>
              <w:t>valstybės tarnautojo tarnybinės veiklos neeilinio vertinimo atlikimo arba neatlikimo. Va</w:t>
            </w:r>
            <w:r w:rsidR="00AD2A43" w:rsidRPr="00D27D64">
              <w:rPr>
                <w:rFonts w:ascii="Times New Roman" w:hAnsi="Times New Roman" w:cs="Times New Roman"/>
              </w:rPr>
              <w:t>l</w:t>
            </w:r>
            <w:r w:rsidRPr="00D27D64">
              <w:rPr>
                <w:rFonts w:ascii="Times New Roman" w:hAnsi="Times New Roman" w:cs="Times New Roman"/>
              </w:rPr>
              <w:t xml:space="preserve">stybės tarnautojo </w:t>
            </w:r>
            <w:r w:rsidRPr="00D27D64">
              <w:rPr>
                <w:rFonts w:ascii="Times New Roman" w:hAnsi="Times New Roman" w:cs="Times New Roman"/>
                <w:spacing w:val="-2"/>
              </w:rPr>
              <w:t>kvalifikacijos ir gebėjim</w:t>
            </w:r>
            <w:r w:rsidR="00AD2A43" w:rsidRPr="00D27D64">
              <w:rPr>
                <w:rFonts w:ascii="Times New Roman" w:hAnsi="Times New Roman" w:cs="Times New Roman"/>
                <w:spacing w:val="-2"/>
              </w:rPr>
              <w:t>ai</w:t>
            </w:r>
            <w:r w:rsidRPr="00D27D64">
              <w:rPr>
                <w:rFonts w:ascii="Times New Roman" w:hAnsi="Times New Roman" w:cs="Times New Roman"/>
                <w:spacing w:val="-2"/>
              </w:rPr>
              <w:t xml:space="preserve"> atlikti pareigybės aprašyme nustatytas funkcijas išsamiai vertinami tik priėmus sprendimą atlikti </w:t>
            </w:r>
            <w:r w:rsidRPr="00D27D64">
              <w:rPr>
                <w:rFonts w:ascii="Times New Roman" w:hAnsi="Times New Roman" w:cs="Times New Roman"/>
              </w:rPr>
              <w:t>tarnybinės veiklos neeilinį vertinimą.</w:t>
            </w:r>
          </w:p>
          <w:p w14:paraId="305F96BA" w14:textId="77777777" w:rsidR="001B2C8E" w:rsidRPr="00D27D64" w:rsidRDefault="001B2C8E" w:rsidP="00EB2777">
            <w:pPr>
              <w:jc w:val="both"/>
              <w:rPr>
                <w:rFonts w:ascii="Times New Roman" w:hAnsi="Times New Roman" w:cs="Times New Roman"/>
                <w:spacing w:val="-2"/>
              </w:rPr>
            </w:pPr>
            <w:r w:rsidRPr="00D27D64">
              <w:rPr>
                <w:rFonts w:ascii="Times New Roman" w:hAnsi="Times New Roman" w:cs="Times New Roman"/>
              </w:rPr>
              <w:t>Be to, sąvokos „</w:t>
            </w:r>
            <w:r w:rsidRPr="00D27D64">
              <w:rPr>
                <w:rFonts w:ascii="Times New Roman" w:hAnsi="Times New Roman" w:cs="Times New Roman"/>
                <w:spacing w:val="-2"/>
              </w:rPr>
              <w:t>motyvuotas siūlymas“ ir „rašytinis motyvuotas siūlymas“ nėra tapačios. Jomis apibūdinami du skirtingi dokumentai.</w:t>
            </w:r>
          </w:p>
        </w:tc>
      </w:tr>
    </w:tbl>
    <w:p w14:paraId="305F96BC" w14:textId="77777777" w:rsidR="00A24E4E" w:rsidRPr="00E947CE" w:rsidRDefault="00A24E4E" w:rsidP="004E6F94">
      <w:pPr>
        <w:spacing w:after="0" w:line="240" w:lineRule="auto"/>
        <w:jc w:val="center"/>
        <w:rPr>
          <w:rFonts w:ascii="Times New Roman" w:hAnsi="Times New Roman" w:cs="Times New Roman"/>
          <w:sz w:val="24"/>
          <w:szCs w:val="24"/>
        </w:rPr>
      </w:pPr>
    </w:p>
    <w:p w14:paraId="305F96BD" w14:textId="77777777" w:rsidR="00F50D78" w:rsidRPr="00E947CE" w:rsidRDefault="00B3094C" w:rsidP="00423D45">
      <w:pPr>
        <w:spacing w:after="0" w:line="240" w:lineRule="auto"/>
        <w:jc w:val="center"/>
        <w:rPr>
          <w:rFonts w:ascii="Times New Roman" w:hAnsi="Times New Roman" w:cs="Times New Roman"/>
          <w:sz w:val="24"/>
          <w:szCs w:val="24"/>
        </w:rPr>
      </w:pPr>
      <w:r w:rsidRPr="00E947CE">
        <w:rPr>
          <w:rFonts w:ascii="Times New Roman" w:hAnsi="Times New Roman" w:cs="Times New Roman"/>
          <w:sz w:val="24"/>
          <w:szCs w:val="24"/>
        </w:rPr>
        <w:t>_____________________________</w:t>
      </w:r>
    </w:p>
    <w:sectPr w:rsidR="00F50D78" w:rsidRPr="00E947CE" w:rsidSect="00423D45">
      <w:headerReference w:type="default" r:id="rId8"/>
      <w:pgSz w:w="16838" w:h="11906" w:orient="landscape"/>
      <w:pgMar w:top="851" w:right="851" w:bottom="567" w:left="85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E79776" w14:textId="77777777" w:rsidR="002A27C2" w:rsidRDefault="002A27C2" w:rsidP="00BF24D3">
      <w:pPr>
        <w:spacing w:after="0" w:line="240" w:lineRule="auto"/>
      </w:pPr>
      <w:r>
        <w:separator/>
      </w:r>
    </w:p>
  </w:endnote>
  <w:endnote w:type="continuationSeparator" w:id="0">
    <w:p w14:paraId="7FFF5116" w14:textId="77777777" w:rsidR="002A27C2" w:rsidRDefault="002A27C2" w:rsidP="00BF24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4000ACFF" w:usb2="00000001"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DE8996" w14:textId="77777777" w:rsidR="002A27C2" w:rsidRDefault="002A27C2" w:rsidP="00BF24D3">
      <w:pPr>
        <w:spacing w:after="0" w:line="240" w:lineRule="auto"/>
      </w:pPr>
      <w:r>
        <w:separator/>
      </w:r>
    </w:p>
  </w:footnote>
  <w:footnote w:type="continuationSeparator" w:id="0">
    <w:p w14:paraId="215F2B85" w14:textId="77777777" w:rsidR="002A27C2" w:rsidRDefault="002A27C2" w:rsidP="00BF24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45029003"/>
      <w:docPartObj>
        <w:docPartGallery w:val="Page Numbers (Top of Page)"/>
        <w:docPartUnique/>
      </w:docPartObj>
    </w:sdtPr>
    <w:sdtEndPr/>
    <w:sdtContent>
      <w:p w14:paraId="305F96C2" w14:textId="77777777" w:rsidR="000943EE" w:rsidRDefault="000943EE">
        <w:pPr>
          <w:pStyle w:val="Header"/>
          <w:jc w:val="center"/>
        </w:pPr>
        <w:r>
          <w:fldChar w:fldCharType="begin"/>
        </w:r>
        <w:r>
          <w:instrText>PAGE   \* MERGEFORMAT</w:instrText>
        </w:r>
        <w:r>
          <w:fldChar w:fldCharType="separate"/>
        </w:r>
        <w:r w:rsidR="00E771F2">
          <w:rPr>
            <w:noProof/>
          </w:rPr>
          <w:t>3</w:t>
        </w:r>
        <w:r>
          <w:fldChar w:fldCharType="end"/>
        </w:r>
      </w:p>
    </w:sdtContent>
  </w:sdt>
  <w:p w14:paraId="305F96C3" w14:textId="77777777" w:rsidR="000943EE" w:rsidRDefault="000943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44F4E"/>
    <w:multiLevelType w:val="hybridMultilevel"/>
    <w:tmpl w:val="FBC674B0"/>
    <w:lvl w:ilvl="0" w:tplc="0FF4546A">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 w15:restartNumberingAfterBreak="0">
    <w:nsid w:val="080F4ED9"/>
    <w:multiLevelType w:val="multilevel"/>
    <w:tmpl w:val="45B25140"/>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0B782C9D"/>
    <w:multiLevelType w:val="hybridMultilevel"/>
    <w:tmpl w:val="1D689A58"/>
    <w:lvl w:ilvl="0" w:tplc="32008CF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0BA622CB"/>
    <w:multiLevelType w:val="hybridMultilevel"/>
    <w:tmpl w:val="74404506"/>
    <w:lvl w:ilvl="0" w:tplc="C7C8C418">
      <w:start w:val="1"/>
      <w:numFmt w:val="decimal"/>
      <w:lvlText w:val="%1."/>
      <w:lvlJc w:val="left"/>
      <w:pPr>
        <w:ind w:left="1070"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0BA859ED"/>
    <w:multiLevelType w:val="hybridMultilevel"/>
    <w:tmpl w:val="31CCE3DA"/>
    <w:lvl w:ilvl="0" w:tplc="0427000F">
      <w:start w:val="1"/>
      <w:numFmt w:val="decimal"/>
      <w:lvlText w:val="%1."/>
      <w:lvlJc w:val="left"/>
      <w:pPr>
        <w:ind w:left="720" w:hanging="360"/>
      </w:pPr>
    </w:lvl>
    <w:lvl w:ilvl="1" w:tplc="D58AC5D8">
      <w:start w:val="10"/>
      <w:numFmt w:val="decimal"/>
      <w:lvlText w:val="%2"/>
      <w:lvlJc w:val="left"/>
      <w:pPr>
        <w:ind w:left="1440" w:hanging="360"/>
      </w:pPr>
      <w:rPr>
        <w:rFonts w:hint="default"/>
      </w:rPr>
    </w:lvl>
    <w:lvl w:ilvl="2" w:tplc="0427001B" w:tentative="1">
      <w:start w:val="1"/>
      <w:numFmt w:val="lowerRoman"/>
      <w:lvlText w:val="%3."/>
      <w:lvlJc w:val="right"/>
      <w:pPr>
        <w:ind w:left="2160" w:hanging="180"/>
      </w:pPr>
    </w:lvl>
    <w:lvl w:ilvl="3" w:tplc="0427000F">
      <w:start w:val="1"/>
      <w:numFmt w:val="decimal"/>
      <w:lvlText w:val="%4."/>
      <w:lvlJc w:val="left"/>
      <w:pPr>
        <w:ind w:left="1070" w:hanging="360"/>
      </w:pPr>
    </w:lvl>
    <w:lvl w:ilvl="4" w:tplc="04270019">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BD510E0"/>
    <w:multiLevelType w:val="hybridMultilevel"/>
    <w:tmpl w:val="D2E64650"/>
    <w:lvl w:ilvl="0" w:tplc="BC881D7E">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6" w15:restartNumberingAfterBreak="0">
    <w:nsid w:val="0E532FFE"/>
    <w:multiLevelType w:val="hybridMultilevel"/>
    <w:tmpl w:val="62D063AC"/>
    <w:lvl w:ilvl="0" w:tplc="67F457FE">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7" w15:restartNumberingAfterBreak="0">
    <w:nsid w:val="10787BC1"/>
    <w:multiLevelType w:val="multilevel"/>
    <w:tmpl w:val="C176653C"/>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1E060C5"/>
    <w:multiLevelType w:val="hybridMultilevel"/>
    <w:tmpl w:val="1D92EDAA"/>
    <w:lvl w:ilvl="0" w:tplc="0608AA5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1268418F"/>
    <w:multiLevelType w:val="hybridMultilevel"/>
    <w:tmpl w:val="0542384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6EE4F4D"/>
    <w:multiLevelType w:val="hybridMultilevel"/>
    <w:tmpl w:val="D5FCD2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9D36B94"/>
    <w:multiLevelType w:val="hybridMultilevel"/>
    <w:tmpl w:val="74404506"/>
    <w:lvl w:ilvl="0" w:tplc="C7C8C418">
      <w:start w:val="1"/>
      <w:numFmt w:val="decimal"/>
      <w:lvlText w:val="%1."/>
      <w:lvlJc w:val="left"/>
      <w:pPr>
        <w:ind w:left="1070"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15:restartNumberingAfterBreak="0">
    <w:nsid w:val="1B6479C0"/>
    <w:multiLevelType w:val="hybridMultilevel"/>
    <w:tmpl w:val="74404506"/>
    <w:lvl w:ilvl="0" w:tplc="C7C8C418">
      <w:start w:val="1"/>
      <w:numFmt w:val="decimal"/>
      <w:lvlText w:val="%1."/>
      <w:lvlJc w:val="left"/>
      <w:pPr>
        <w:ind w:left="1070"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15:restartNumberingAfterBreak="0">
    <w:nsid w:val="1D8A6479"/>
    <w:multiLevelType w:val="hybridMultilevel"/>
    <w:tmpl w:val="74404506"/>
    <w:lvl w:ilvl="0" w:tplc="C7C8C418">
      <w:start w:val="1"/>
      <w:numFmt w:val="decimal"/>
      <w:lvlText w:val="%1."/>
      <w:lvlJc w:val="left"/>
      <w:pPr>
        <w:ind w:left="1070"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256002A3"/>
    <w:multiLevelType w:val="multilevel"/>
    <w:tmpl w:val="16C6EC5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A5C3A90"/>
    <w:multiLevelType w:val="hybridMultilevel"/>
    <w:tmpl w:val="A990A064"/>
    <w:lvl w:ilvl="0" w:tplc="0427000F">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C67194E"/>
    <w:multiLevelType w:val="hybridMultilevel"/>
    <w:tmpl w:val="D2E64650"/>
    <w:lvl w:ilvl="0" w:tplc="BC881D7E">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7" w15:restartNumberingAfterBreak="0">
    <w:nsid w:val="3E2C515B"/>
    <w:multiLevelType w:val="hybridMultilevel"/>
    <w:tmpl w:val="046CDC7A"/>
    <w:lvl w:ilvl="0" w:tplc="C5A2583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15:restartNumberingAfterBreak="0">
    <w:nsid w:val="402E6270"/>
    <w:multiLevelType w:val="hybridMultilevel"/>
    <w:tmpl w:val="5F04A6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9A33987"/>
    <w:multiLevelType w:val="hybridMultilevel"/>
    <w:tmpl w:val="3078ED4A"/>
    <w:lvl w:ilvl="0" w:tplc="67F457FE">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20" w15:restartNumberingAfterBreak="0">
    <w:nsid w:val="4BA24B89"/>
    <w:multiLevelType w:val="hybridMultilevel"/>
    <w:tmpl w:val="D2E64650"/>
    <w:lvl w:ilvl="0" w:tplc="BC881D7E">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21" w15:restartNumberingAfterBreak="0">
    <w:nsid w:val="4D6730E0"/>
    <w:multiLevelType w:val="hybridMultilevel"/>
    <w:tmpl w:val="DC1CB7C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FD86600"/>
    <w:multiLevelType w:val="hybridMultilevel"/>
    <w:tmpl w:val="D2E64650"/>
    <w:lvl w:ilvl="0" w:tplc="BC881D7E">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23" w15:restartNumberingAfterBreak="0">
    <w:nsid w:val="509F2225"/>
    <w:multiLevelType w:val="hybridMultilevel"/>
    <w:tmpl w:val="1DC2EE54"/>
    <w:lvl w:ilvl="0" w:tplc="56CAE192">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24" w15:restartNumberingAfterBreak="0">
    <w:nsid w:val="53B51F23"/>
    <w:multiLevelType w:val="hybridMultilevel"/>
    <w:tmpl w:val="077A50C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43657BB"/>
    <w:multiLevelType w:val="multilevel"/>
    <w:tmpl w:val="DBF83EE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D4D12A4"/>
    <w:multiLevelType w:val="multilevel"/>
    <w:tmpl w:val="45B25140"/>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15:restartNumberingAfterBreak="0">
    <w:nsid w:val="61526108"/>
    <w:multiLevelType w:val="hybridMultilevel"/>
    <w:tmpl w:val="74404506"/>
    <w:lvl w:ilvl="0" w:tplc="C7C8C418">
      <w:start w:val="1"/>
      <w:numFmt w:val="decimal"/>
      <w:lvlText w:val="%1."/>
      <w:lvlJc w:val="left"/>
      <w:pPr>
        <w:ind w:left="1070"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8" w15:restartNumberingAfterBreak="0">
    <w:nsid w:val="639C1184"/>
    <w:multiLevelType w:val="hybridMultilevel"/>
    <w:tmpl w:val="8CE83C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6051BC7"/>
    <w:multiLevelType w:val="hybridMultilevel"/>
    <w:tmpl w:val="DADA6650"/>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1DE1620"/>
    <w:multiLevelType w:val="multilevel"/>
    <w:tmpl w:val="45B25140"/>
    <w:lvl w:ilvl="0">
      <w:start w:val="1"/>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1" w15:restartNumberingAfterBreak="0">
    <w:nsid w:val="74757BBC"/>
    <w:multiLevelType w:val="hybridMultilevel"/>
    <w:tmpl w:val="D2E64650"/>
    <w:lvl w:ilvl="0" w:tplc="BC881D7E">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32" w15:restartNumberingAfterBreak="0">
    <w:nsid w:val="76892BDB"/>
    <w:multiLevelType w:val="hybridMultilevel"/>
    <w:tmpl w:val="80EA0EC6"/>
    <w:lvl w:ilvl="0" w:tplc="7102E464">
      <w:start w:val="1"/>
      <w:numFmt w:val="decimal"/>
      <w:lvlText w:val="%1."/>
      <w:lvlJc w:val="left"/>
      <w:pPr>
        <w:ind w:left="1607" w:hanging="360"/>
      </w:pPr>
    </w:lvl>
    <w:lvl w:ilvl="1" w:tplc="04270019">
      <w:start w:val="1"/>
      <w:numFmt w:val="lowerLetter"/>
      <w:lvlText w:val="%2."/>
      <w:lvlJc w:val="left"/>
      <w:pPr>
        <w:ind w:left="2327" w:hanging="360"/>
      </w:pPr>
    </w:lvl>
    <w:lvl w:ilvl="2" w:tplc="0427001B">
      <w:start w:val="1"/>
      <w:numFmt w:val="lowerRoman"/>
      <w:lvlText w:val="%3."/>
      <w:lvlJc w:val="right"/>
      <w:pPr>
        <w:ind w:left="3047" w:hanging="180"/>
      </w:pPr>
    </w:lvl>
    <w:lvl w:ilvl="3" w:tplc="0427000F">
      <w:start w:val="1"/>
      <w:numFmt w:val="decimal"/>
      <w:lvlText w:val="%4."/>
      <w:lvlJc w:val="left"/>
      <w:pPr>
        <w:ind w:left="3767" w:hanging="360"/>
      </w:pPr>
    </w:lvl>
    <w:lvl w:ilvl="4" w:tplc="04270019">
      <w:start w:val="1"/>
      <w:numFmt w:val="lowerLetter"/>
      <w:lvlText w:val="%5."/>
      <w:lvlJc w:val="left"/>
      <w:pPr>
        <w:ind w:left="4487" w:hanging="360"/>
      </w:pPr>
    </w:lvl>
    <w:lvl w:ilvl="5" w:tplc="0427001B">
      <w:start w:val="1"/>
      <w:numFmt w:val="lowerRoman"/>
      <w:lvlText w:val="%6."/>
      <w:lvlJc w:val="right"/>
      <w:pPr>
        <w:ind w:left="5207" w:hanging="180"/>
      </w:pPr>
    </w:lvl>
    <w:lvl w:ilvl="6" w:tplc="0427000F">
      <w:start w:val="1"/>
      <w:numFmt w:val="decimal"/>
      <w:lvlText w:val="%7."/>
      <w:lvlJc w:val="left"/>
      <w:pPr>
        <w:ind w:left="5927" w:hanging="360"/>
      </w:pPr>
    </w:lvl>
    <w:lvl w:ilvl="7" w:tplc="04270019">
      <w:start w:val="1"/>
      <w:numFmt w:val="lowerLetter"/>
      <w:lvlText w:val="%8."/>
      <w:lvlJc w:val="left"/>
      <w:pPr>
        <w:ind w:left="6647" w:hanging="360"/>
      </w:pPr>
    </w:lvl>
    <w:lvl w:ilvl="8" w:tplc="0427001B">
      <w:start w:val="1"/>
      <w:numFmt w:val="lowerRoman"/>
      <w:lvlText w:val="%9."/>
      <w:lvlJc w:val="right"/>
      <w:pPr>
        <w:ind w:left="7367" w:hanging="180"/>
      </w:pPr>
    </w:lvl>
  </w:abstractNum>
  <w:abstractNum w:abstractNumId="33" w15:restartNumberingAfterBreak="0">
    <w:nsid w:val="7AC64365"/>
    <w:multiLevelType w:val="hybridMultilevel"/>
    <w:tmpl w:val="D2E64650"/>
    <w:lvl w:ilvl="0" w:tplc="BC881D7E">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34" w15:restartNumberingAfterBreak="0">
    <w:nsid w:val="7AEC72B6"/>
    <w:multiLevelType w:val="hybridMultilevel"/>
    <w:tmpl w:val="BDDE5F40"/>
    <w:lvl w:ilvl="0" w:tplc="0427000F">
      <w:start w:val="4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BED152B"/>
    <w:multiLevelType w:val="hybridMultilevel"/>
    <w:tmpl w:val="95902D2E"/>
    <w:lvl w:ilvl="0" w:tplc="0427000F">
      <w:start w:val="1"/>
      <w:numFmt w:val="decimal"/>
      <w:lvlText w:val="%1."/>
      <w:lvlJc w:val="left"/>
      <w:pPr>
        <w:ind w:left="927"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5"/>
  </w:num>
  <w:num w:numId="2">
    <w:abstractNumId w:val="33"/>
  </w:num>
  <w:num w:numId="3">
    <w:abstractNumId w:val="16"/>
  </w:num>
  <w:num w:numId="4">
    <w:abstractNumId w:val="20"/>
  </w:num>
  <w:num w:numId="5">
    <w:abstractNumId w:val="31"/>
  </w:num>
  <w:num w:numId="6">
    <w:abstractNumId w:val="5"/>
  </w:num>
  <w:num w:numId="7">
    <w:abstractNumId w:val="22"/>
  </w:num>
  <w:num w:numId="8">
    <w:abstractNumId w:val="3"/>
  </w:num>
  <w:num w:numId="9">
    <w:abstractNumId w:val="13"/>
  </w:num>
  <w:num w:numId="10">
    <w:abstractNumId w:val="12"/>
  </w:num>
  <w:num w:numId="11">
    <w:abstractNumId w:val="9"/>
  </w:num>
  <w:num w:numId="12">
    <w:abstractNumId w:val="34"/>
  </w:num>
  <w:num w:numId="13">
    <w:abstractNumId w:val="24"/>
  </w:num>
  <w:num w:numId="14">
    <w:abstractNumId w:val="29"/>
  </w:num>
  <w:num w:numId="15">
    <w:abstractNumId w:val="11"/>
  </w:num>
  <w:num w:numId="16">
    <w:abstractNumId w:val="28"/>
  </w:num>
  <w:num w:numId="17">
    <w:abstractNumId w:val="10"/>
  </w:num>
  <w:num w:numId="18">
    <w:abstractNumId w:val="27"/>
  </w:num>
  <w:num w:numId="19">
    <w:abstractNumId w:val="15"/>
  </w:num>
  <w:num w:numId="20">
    <w:abstractNumId w:val="2"/>
  </w:num>
  <w:num w:numId="21">
    <w:abstractNumId w:val="18"/>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0"/>
  </w:num>
  <w:num w:numId="25">
    <w:abstractNumId w:val="1"/>
  </w:num>
  <w:num w:numId="26">
    <w:abstractNumId w:val="26"/>
  </w:num>
  <w:num w:numId="27">
    <w:abstractNumId w:val="30"/>
  </w:num>
  <w:num w:numId="28">
    <w:abstractNumId w:val="7"/>
  </w:num>
  <w:num w:numId="29">
    <w:abstractNumId w:val="25"/>
  </w:num>
  <w:num w:numId="3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num>
  <w:num w:numId="32">
    <w:abstractNumId w:val="14"/>
  </w:num>
  <w:num w:numId="33">
    <w:abstractNumId w:val="19"/>
  </w:num>
  <w:num w:numId="34">
    <w:abstractNumId w:val="6"/>
  </w:num>
  <w:num w:numId="35">
    <w:abstractNumId w:val="23"/>
  </w:num>
  <w:num w:numId="36">
    <w:abstractNumId w:val="21"/>
  </w:num>
  <w:num w:numId="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7E45"/>
    <w:rsid w:val="0000180A"/>
    <w:rsid w:val="00005DAC"/>
    <w:rsid w:val="00006685"/>
    <w:rsid w:val="00015762"/>
    <w:rsid w:val="00015B2A"/>
    <w:rsid w:val="000249DF"/>
    <w:rsid w:val="00027EDA"/>
    <w:rsid w:val="00031E62"/>
    <w:rsid w:val="00042FAA"/>
    <w:rsid w:val="00047D3A"/>
    <w:rsid w:val="000608A1"/>
    <w:rsid w:val="000639C2"/>
    <w:rsid w:val="00071A72"/>
    <w:rsid w:val="000779C9"/>
    <w:rsid w:val="00081F23"/>
    <w:rsid w:val="000943EE"/>
    <w:rsid w:val="000964D7"/>
    <w:rsid w:val="0009769D"/>
    <w:rsid w:val="000A7748"/>
    <w:rsid w:val="000B2974"/>
    <w:rsid w:val="000B2CEB"/>
    <w:rsid w:val="000B2CF5"/>
    <w:rsid w:val="000C1CEC"/>
    <w:rsid w:val="000C2037"/>
    <w:rsid w:val="000D2431"/>
    <w:rsid w:val="000D6B5D"/>
    <w:rsid w:val="000E4B89"/>
    <w:rsid w:val="000F003F"/>
    <w:rsid w:val="000F1618"/>
    <w:rsid w:val="001151AB"/>
    <w:rsid w:val="00116492"/>
    <w:rsid w:val="00120624"/>
    <w:rsid w:val="0012579E"/>
    <w:rsid w:val="0013685C"/>
    <w:rsid w:val="00140BB7"/>
    <w:rsid w:val="00144CCB"/>
    <w:rsid w:val="00160382"/>
    <w:rsid w:val="00166B5B"/>
    <w:rsid w:val="00166DC5"/>
    <w:rsid w:val="00173A2B"/>
    <w:rsid w:val="00176A18"/>
    <w:rsid w:val="001A2B2D"/>
    <w:rsid w:val="001A3AC1"/>
    <w:rsid w:val="001B2C8E"/>
    <w:rsid w:val="001C3599"/>
    <w:rsid w:val="001C4799"/>
    <w:rsid w:val="001C55FE"/>
    <w:rsid w:val="001C7876"/>
    <w:rsid w:val="001D1EAB"/>
    <w:rsid w:val="001D27C5"/>
    <w:rsid w:val="001D7512"/>
    <w:rsid w:val="001E0CDC"/>
    <w:rsid w:val="001E307B"/>
    <w:rsid w:val="001F26CA"/>
    <w:rsid w:val="001F4A86"/>
    <w:rsid w:val="001F525F"/>
    <w:rsid w:val="00202A6E"/>
    <w:rsid w:val="002074A3"/>
    <w:rsid w:val="00220288"/>
    <w:rsid w:val="00222270"/>
    <w:rsid w:val="00226F12"/>
    <w:rsid w:val="00236ED1"/>
    <w:rsid w:val="00237A5A"/>
    <w:rsid w:val="00245119"/>
    <w:rsid w:val="002457C3"/>
    <w:rsid w:val="00263A55"/>
    <w:rsid w:val="002662CC"/>
    <w:rsid w:val="002921C0"/>
    <w:rsid w:val="002924BF"/>
    <w:rsid w:val="00293C38"/>
    <w:rsid w:val="00293E34"/>
    <w:rsid w:val="002A27C2"/>
    <w:rsid w:val="002B5BE4"/>
    <w:rsid w:val="002C5A38"/>
    <w:rsid w:val="002C5AF3"/>
    <w:rsid w:val="002D3284"/>
    <w:rsid w:val="002D6EC1"/>
    <w:rsid w:val="002E75DE"/>
    <w:rsid w:val="002F5679"/>
    <w:rsid w:val="002F58D2"/>
    <w:rsid w:val="0030091E"/>
    <w:rsid w:val="003266D5"/>
    <w:rsid w:val="003436DA"/>
    <w:rsid w:val="0034433E"/>
    <w:rsid w:val="00350E61"/>
    <w:rsid w:val="003A14BF"/>
    <w:rsid w:val="003B241E"/>
    <w:rsid w:val="003B75A1"/>
    <w:rsid w:val="003C36F6"/>
    <w:rsid w:val="003C4EEC"/>
    <w:rsid w:val="003D4764"/>
    <w:rsid w:val="003F6A9A"/>
    <w:rsid w:val="003F7D6C"/>
    <w:rsid w:val="004028C2"/>
    <w:rsid w:val="004049BF"/>
    <w:rsid w:val="00404D3C"/>
    <w:rsid w:val="00422EE1"/>
    <w:rsid w:val="00423D45"/>
    <w:rsid w:val="00444CD2"/>
    <w:rsid w:val="00455E9B"/>
    <w:rsid w:val="00456C4E"/>
    <w:rsid w:val="00463311"/>
    <w:rsid w:val="00497236"/>
    <w:rsid w:val="004A08A1"/>
    <w:rsid w:val="004A62E1"/>
    <w:rsid w:val="004A6B95"/>
    <w:rsid w:val="004C3B15"/>
    <w:rsid w:val="004C58F3"/>
    <w:rsid w:val="004D385D"/>
    <w:rsid w:val="004E0E53"/>
    <w:rsid w:val="004E6F94"/>
    <w:rsid w:val="004E79EB"/>
    <w:rsid w:val="004F704B"/>
    <w:rsid w:val="00502D16"/>
    <w:rsid w:val="005044EB"/>
    <w:rsid w:val="005048F4"/>
    <w:rsid w:val="00506FCA"/>
    <w:rsid w:val="00536234"/>
    <w:rsid w:val="00545BFF"/>
    <w:rsid w:val="00552549"/>
    <w:rsid w:val="00573648"/>
    <w:rsid w:val="005856E9"/>
    <w:rsid w:val="0059569C"/>
    <w:rsid w:val="00595D54"/>
    <w:rsid w:val="005B371D"/>
    <w:rsid w:val="005C13DB"/>
    <w:rsid w:val="005C4F59"/>
    <w:rsid w:val="005C6E6A"/>
    <w:rsid w:val="005D3911"/>
    <w:rsid w:val="005D61C6"/>
    <w:rsid w:val="005E201B"/>
    <w:rsid w:val="005E5D40"/>
    <w:rsid w:val="005E7EA9"/>
    <w:rsid w:val="005F58A7"/>
    <w:rsid w:val="005F65D5"/>
    <w:rsid w:val="006141F8"/>
    <w:rsid w:val="00616C15"/>
    <w:rsid w:val="00617E67"/>
    <w:rsid w:val="00620357"/>
    <w:rsid w:val="00623B3F"/>
    <w:rsid w:val="00641889"/>
    <w:rsid w:val="00667E45"/>
    <w:rsid w:val="00680B5C"/>
    <w:rsid w:val="00680CE4"/>
    <w:rsid w:val="00680E4B"/>
    <w:rsid w:val="00692B64"/>
    <w:rsid w:val="006A2F32"/>
    <w:rsid w:val="006C3B53"/>
    <w:rsid w:val="006E0168"/>
    <w:rsid w:val="006E41C5"/>
    <w:rsid w:val="006E60B4"/>
    <w:rsid w:val="0070021F"/>
    <w:rsid w:val="007078CA"/>
    <w:rsid w:val="00707D39"/>
    <w:rsid w:val="00724F35"/>
    <w:rsid w:val="00725189"/>
    <w:rsid w:val="007268E6"/>
    <w:rsid w:val="00726921"/>
    <w:rsid w:val="00731F3E"/>
    <w:rsid w:val="007363CB"/>
    <w:rsid w:val="0073724F"/>
    <w:rsid w:val="00751971"/>
    <w:rsid w:val="00757440"/>
    <w:rsid w:val="0076349F"/>
    <w:rsid w:val="007642AC"/>
    <w:rsid w:val="00770E9A"/>
    <w:rsid w:val="00782882"/>
    <w:rsid w:val="007856D9"/>
    <w:rsid w:val="007957DE"/>
    <w:rsid w:val="007B0281"/>
    <w:rsid w:val="007B2FB5"/>
    <w:rsid w:val="007B5F16"/>
    <w:rsid w:val="007C4625"/>
    <w:rsid w:val="007D42F4"/>
    <w:rsid w:val="007D439A"/>
    <w:rsid w:val="007E6734"/>
    <w:rsid w:val="007F49D2"/>
    <w:rsid w:val="007F520A"/>
    <w:rsid w:val="0080267B"/>
    <w:rsid w:val="00805DC9"/>
    <w:rsid w:val="00810744"/>
    <w:rsid w:val="00810765"/>
    <w:rsid w:val="0081425B"/>
    <w:rsid w:val="008171C4"/>
    <w:rsid w:val="00820385"/>
    <w:rsid w:val="008334D8"/>
    <w:rsid w:val="00834310"/>
    <w:rsid w:val="0083509A"/>
    <w:rsid w:val="00844A07"/>
    <w:rsid w:val="008451A2"/>
    <w:rsid w:val="008568EE"/>
    <w:rsid w:val="00857A9A"/>
    <w:rsid w:val="00867D63"/>
    <w:rsid w:val="00880131"/>
    <w:rsid w:val="0088533A"/>
    <w:rsid w:val="0089457D"/>
    <w:rsid w:val="008976BB"/>
    <w:rsid w:val="008A5B6F"/>
    <w:rsid w:val="008B1403"/>
    <w:rsid w:val="008C13BB"/>
    <w:rsid w:val="008C17AC"/>
    <w:rsid w:val="008C368E"/>
    <w:rsid w:val="008D2ED9"/>
    <w:rsid w:val="008E0011"/>
    <w:rsid w:val="008E1B3F"/>
    <w:rsid w:val="008F55D1"/>
    <w:rsid w:val="008F703F"/>
    <w:rsid w:val="00907363"/>
    <w:rsid w:val="00910FFB"/>
    <w:rsid w:val="0091397D"/>
    <w:rsid w:val="00913F5E"/>
    <w:rsid w:val="009216E3"/>
    <w:rsid w:val="0092242F"/>
    <w:rsid w:val="00922609"/>
    <w:rsid w:val="00922A87"/>
    <w:rsid w:val="00927114"/>
    <w:rsid w:val="00932258"/>
    <w:rsid w:val="00936E44"/>
    <w:rsid w:val="00943787"/>
    <w:rsid w:val="00947224"/>
    <w:rsid w:val="00947919"/>
    <w:rsid w:val="00950F4D"/>
    <w:rsid w:val="00965843"/>
    <w:rsid w:val="00971B0F"/>
    <w:rsid w:val="009766E4"/>
    <w:rsid w:val="00977132"/>
    <w:rsid w:val="00980B8D"/>
    <w:rsid w:val="00980C98"/>
    <w:rsid w:val="009A347F"/>
    <w:rsid w:val="009A5DB3"/>
    <w:rsid w:val="009B49CC"/>
    <w:rsid w:val="009C283A"/>
    <w:rsid w:val="009D6CBF"/>
    <w:rsid w:val="009E601E"/>
    <w:rsid w:val="00A00671"/>
    <w:rsid w:val="00A0359F"/>
    <w:rsid w:val="00A12DF4"/>
    <w:rsid w:val="00A1547A"/>
    <w:rsid w:val="00A24E4E"/>
    <w:rsid w:val="00A25CFE"/>
    <w:rsid w:val="00A35CDD"/>
    <w:rsid w:val="00A402E0"/>
    <w:rsid w:val="00A4410D"/>
    <w:rsid w:val="00A46249"/>
    <w:rsid w:val="00A54A48"/>
    <w:rsid w:val="00A81D73"/>
    <w:rsid w:val="00A825A6"/>
    <w:rsid w:val="00A967DE"/>
    <w:rsid w:val="00A9773B"/>
    <w:rsid w:val="00AA0E8A"/>
    <w:rsid w:val="00AA63BB"/>
    <w:rsid w:val="00AB05BF"/>
    <w:rsid w:val="00AB1370"/>
    <w:rsid w:val="00AB414E"/>
    <w:rsid w:val="00AD024D"/>
    <w:rsid w:val="00AD1247"/>
    <w:rsid w:val="00AD2A43"/>
    <w:rsid w:val="00AE3D62"/>
    <w:rsid w:val="00AE4752"/>
    <w:rsid w:val="00AF0131"/>
    <w:rsid w:val="00AF0F6A"/>
    <w:rsid w:val="00AF646D"/>
    <w:rsid w:val="00AF706D"/>
    <w:rsid w:val="00B0055B"/>
    <w:rsid w:val="00B01054"/>
    <w:rsid w:val="00B103E7"/>
    <w:rsid w:val="00B107D6"/>
    <w:rsid w:val="00B3094C"/>
    <w:rsid w:val="00B32D3D"/>
    <w:rsid w:val="00B34044"/>
    <w:rsid w:val="00B36981"/>
    <w:rsid w:val="00B42E43"/>
    <w:rsid w:val="00B611BF"/>
    <w:rsid w:val="00B73394"/>
    <w:rsid w:val="00B734FA"/>
    <w:rsid w:val="00B75B32"/>
    <w:rsid w:val="00B76157"/>
    <w:rsid w:val="00B829AD"/>
    <w:rsid w:val="00B83A20"/>
    <w:rsid w:val="00B84EBC"/>
    <w:rsid w:val="00B85497"/>
    <w:rsid w:val="00B87366"/>
    <w:rsid w:val="00B921BA"/>
    <w:rsid w:val="00BA39D1"/>
    <w:rsid w:val="00BA46C8"/>
    <w:rsid w:val="00BF0135"/>
    <w:rsid w:val="00BF24D3"/>
    <w:rsid w:val="00BF61FC"/>
    <w:rsid w:val="00BF65F9"/>
    <w:rsid w:val="00BF6E56"/>
    <w:rsid w:val="00C0511D"/>
    <w:rsid w:val="00C1586D"/>
    <w:rsid w:val="00C16C2E"/>
    <w:rsid w:val="00C27896"/>
    <w:rsid w:val="00C378F7"/>
    <w:rsid w:val="00C46B07"/>
    <w:rsid w:val="00C569D8"/>
    <w:rsid w:val="00C674D6"/>
    <w:rsid w:val="00C67C0A"/>
    <w:rsid w:val="00C757C6"/>
    <w:rsid w:val="00C75A7A"/>
    <w:rsid w:val="00C87D13"/>
    <w:rsid w:val="00CA0FA2"/>
    <w:rsid w:val="00CA1B68"/>
    <w:rsid w:val="00CC1FBA"/>
    <w:rsid w:val="00CC2275"/>
    <w:rsid w:val="00CE68A2"/>
    <w:rsid w:val="00D06181"/>
    <w:rsid w:val="00D16A02"/>
    <w:rsid w:val="00D200A0"/>
    <w:rsid w:val="00D275FB"/>
    <w:rsid w:val="00D27D64"/>
    <w:rsid w:val="00D374FB"/>
    <w:rsid w:val="00D4279B"/>
    <w:rsid w:val="00D46EA1"/>
    <w:rsid w:val="00D6283F"/>
    <w:rsid w:val="00D65139"/>
    <w:rsid w:val="00D738CC"/>
    <w:rsid w:val="00D75EA0"/>
    <w:rsid w:val="00D81C60"/>
    <w:rsid w:val="00DA0125"/>
    <w:rsid w:val="00DA2EDC"/>
    <w:rsid w:val="00DA36A8"/>
    <w:rsid w:val="00DA6E29"/>
    <w:rsid w:val="00DB003E"/>
    <w:rsid w:val="00DC1DF0"/>
    <w:rsid w:val="00DC64A9"/>
    <w:rsid w:val="00DD1187"/>
    <w:rsid w:val="00DD43BB"/>
    <w:rsid w:val="00DD6210"/>
    <w:rsid w:val="00DF40DD"/>
    <w:rsid w:val="00E004E3"/>
    <w:rsid w:val="00E016A0"/>
    <w:rsid w:val="00E202B4"/>
    <w:rsid w:val="00E26262"/>
    <w:rsid w:val="00E2734D"/>
    <w:rsid w:val="00E40A8B"/>
    <w:rsid w:val="00E556F6"/>
    <w:rsid w:val="00E57631"/>
    <w:rsid w:val="00E647FE"/>
    <w:rsid w:val="00E771F2"/>
    <w:rsid w:val="00E84BA7"/>
    <w:rsid w:val="00E91032"/>
    <w:rsid w:val="00E947CE"/>
    <w:rsid w:val="00E979CA"/>
    <w:rsid w:val="00EA1531"/>
    <w:rsid w:val="00EA768B"/>
    <w:rsid w:val="00EB2777"/>
    <w:rsid w:val="00EB3FD0"/>
    <w:rsid w:val="00EC14E9"/>
    <w:rsid w:val="00EC2E5C"/>
    <w:rsid w:val="00ED1D55"/>
    <w:rsid w:val="00ED3FDF"/>
    <w:rsid w:val="00ED5C69"/>
    <w:rsid w:val="00EE20B8"/>
    <w:rsid w:val="00EF59CC"/>
    <w:rsid w:val="00EF795B"/>
    <w:rsid w:val="00F02A51"/>
    <w:rsid w:val="00F05323"/>
    <w:rsid w:val="00F15FAA"/>
    <w:rsid w:val="00F25B12"/>
    <w:rsid w:val="00F34F2B"/>
    <w:rsid w:val="00F37094"/>
    <w:rsid w:val="00F4062B"/>
    <w:rsid w:val="00F4215A"/>
    <w:rsid w:val="00F50B91"/>
    <w:rsid w:val="00F50D78"/>
    <w:rsid w:val="00F574D4"/>
    <w:rsid w:val="00F61D08"/>
    <w:rsid w:val="00F646C0"/>
    <w:rsid w:val="00F648FD"/>
    <w:rsid w:val="00F66C0A"/>
    <w:rsid w:val="00F76D71"/>
    <w:rsid w:val="00F854E0"/>
    <w:rsid w:val="00F87A88"/>
    <w:rsid w:val="00F87E14"/>
    <w:rsid w:val="00F917EF"/>
    <w:rsid w:val="00F93B61"/>
    <w:rsid w:val="00FA2407"/>
    <w:rsid w:val="00FA3F47"/>
    <w:rsid w:val="00FA4064"/>
    <w:rsid w:val="00FE13C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F966D"/>
  <w15:docId w15:val="{943B7F44-93EC-49D5-8A62-B94C78F3C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CA1B68"/>
    <w:pPr>
      <w:keepNext/>
      <w:spacing w:after="0" w:line="240" w:lineRule="auto"/>
      <w:jc w:val="both"/>
      <w:outlineLvl w:val="0"/>
    </w:pPr>
    <w:rPr>
      <w:rFonts w:ascii="Times New Roman" w:eastAsia="Times New Roman" w:hAnsi="Times New Roman" w:cs="Times New Roman"/>
      <w:sz w:val="24"/>
      <w:szCs w:val="20"/>
    </w:rPr>
  </w:style>
  <w:style w:type="paragraph" w:styleId="Heading2">
    <w:name w:val="heading 2"/>
    <w:basedOn w:val="Normal"/>
    <w:next w:val="Normal"/>
    <w:link w:val="Heading2Char"/>
    <w:uiPriority w:val="99"/>
    <w:qFormat/>
    <w:rsid w:val="00CA1B68"/>
    <w:pPr>
      <w:keepNext/>
      <w:spacing w:after="0" w:line="240" w:lineRule="auto"/>
      <w:ind w:firstLine="720"/>
      <w:jc w:val="both"/>
      <w:outlineLvl w:val="1"/>
    </w:pPr>
    <w:rPr>
      <w:rFonts w:ascii="Times New Roman" w:eastAsia="Times New Roman" w:hAnsi="Times New Roman"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006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00671"/>
    <w:pPr>
      <w:ind w:left="720"/>
      <w:contextualSpacing/>
    </w:pPr>
  </w:style>
  <w:style w:type="character" w:customStyle="1" w:styleId="Heading2Char">
    <w:name w:val="Heading 2 Char"/>
    <w:basedOn w:val="DefaultParagraphFont"/>
    <w:link w:val="Heading2"/>
    <w:uiPriority w:val="99"/>
    <w:rsid w:val="00CA1B68"/>
    <w:rPr>
      <w:rFonts w:ascii="Times New Roman" w:eastAsia="Times New Roman" w:hAnsi="Times New Roman" w:cs="Times New Roman"/>
      <w:b/>
      <w:sz w:val="20"/>
      <w:szCs w:val="20"/>
    </w:rPr>
  </w:style>
  <w:style w:type="character" w:customStyle="1" w:styleId="Heading1Char">
    <w:name w:val="Heading 1 Char"/>
    <w:basedOn w:val="DefaultParagraphFont"/>
    <w:link w:val="Heading1"/>
    <w:uiPriority w:val="99"/>
    <w:rsid w:val="00CA1B68"/>
    <w:rPr>
      <w:rFonts w:ascii="Times New Roman" w:eastAsia="Times New Roman" w:hAnsi="Times New Roman" w:cs="Times New Roman"/>
      <w:sz w:val="24"/>
      <w:szCs w:val="20"/>
    </w:rPr>
  </w:style>
  <w:style w:type="paragraph" w:styleId="BodyText">
    <w:name w:val="Body Text"/>
    <w:basedOn w:val="Normal"/>
    <w:link w:val="BodyTextChar"/>
    <w:rsid w:val="00617E67"/>
    <w:pPr>
      <w:spacing w:after="120" w:line="240" w:lineRule="auto"/>
    </w:pPr>
    <w:rPr>
      <w:rFonts w:ascii="Times New Roman" w:eastAsia="Times New Roman" w:hAnsi="Times New Roman" w:cs="Times New Roman"/>
      <w:sz w:val="24"/>
      <w:szCs w:val="24"/>
      <w:lang w:eastAsia="lt-LT"/>
    </w:rPr>
  </w:style>
  <w:style w:type="character" w:customStyle="1" w:styleId="BodyTextChar">
    <w:name w:val="Body Text Char"/>
    <w:basedOn w:val="DefaultParagraphFont"/>
    <w:link w:val="BodyText"/>
    <w:rsid w:val="00617E67"/>
    <w:rPr>
      <w:rFonts w:ascii="Times New Roman" w:eastAsia="Times New Roman" w:hAnsi="Times New Roman" w:cs="Times New Roman"/>
      <w:sz w:val="24"/>
      <w:szCs w:val="24"/>
      <w:lang w:eastAsia="lt-LT"/>
    </w:rPr>
  </w:style>
  <w:style w:type="character" w:styleId="CommentReference">
    <w:name w:val="annotation reference"/>
    <w:basedOn w:val="DefaultParagraphFont"/>
    <w:semiHidden/>
    <w:unhideWhenUsed/>
    <w:rsid w:val="00617E67"/>
    <w:rPr>
      <w:sz w:val="16"/>
      <w:szCs w:val="16"/>
    </w:rPr>
  </w:style>
  <w:style w:type="paragraph" w:styleId="CommentText">
    <w:name w:val="annotation text"/>
    <w:basedOn w:val="Normal"/>
    <w:link w:val="CommentTextChar"/>
    <w:semiHidden/>
    <w:unhideWhenUsed/>
    <w:rsid w:val="00617E67"/>
    <w:pPr>
      <w:spacing w:line="240" w:lineRule="auto"/>
    </w:pPr>
    <w:rPr>
      <w:sz w:val="20"/>
      <w:szCs w:val="20"/>
    </w:rPr>
  </w:style>
  <w:style w:type="character" w:customStyle="1" w:styleId="CommentTextChar">
    <w:name w:val="Comment Text Char"/>
    <w:basedOn w:val="DefaultParagraphFont"/>
    <w:link w:val="CommentText"/>
    <w:semiHidden/>
    <w:rsid w:val="00617E67"/>
    <w:rPr>
      <w:sz w:val="20"/>
      <w:szCs w:val="20"/>
    </w:rPr>
  </w:style>
  <w:style w:type="paragraph" w:styleId="CommentSubject">
    <w:name w:val="annotation subject"/>
    <w:basedOn w:val="CommentText"/>
    <w:next w:val="CommentText"/>
    <w:link w:val="CommentSubjectChar"/>
    <w:uiPriority w:val="99"/>
    <w:semiHidden/>
    <w:unhideWhenUsed/>
    <w:rsid w:val="00617E67"/>
    <w:rPr>
      <w:b/>
      <w:bCs/>
    </w:rPr>
  </w:style>
  <w:style w:type="character" w:customStyle="1" w:styleId="CommentSubjectChar">
    <w:name w:val="Comment Subject Char"/>
    <w:basedOn w:val="CommentTextChar"/>
    <w:link w:val="CommentSubject"/>
    <w:uiPriority w:val="99"/>
    <w:semiHidden/>
    <w:rsid w:val="00617E67"/>
    <w:rPr>
      <w:b/>
      <w:bCs/>
      <w:sz w:val="20"/>
      <w:szCs w:val="20"/>
    </w:rPr>
  </w:style>
  <w:style w:type="paragraph" w:styleId="BalloonText">
    <w:name w:val="Balloon Text"/>
    <w:basedOn w:val="Normal"/>
    <w:link w:val="BalloonTextChar"/>
    <w:uiPriority w:val="99"/>
    <w:semiHidden/>
    <w:unhideWhenUsed/>
    <w:rsid w:val="00617E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7E67"/>
    <w:rPr>
      <w:rFonts w:ascii="Segoe UI" w:hAnsi="Segoe UI" w:cs="Segoe UI"/>
      <w:sz w:val="18"/>
      <w:szCs w:val="18"/>
    </w:rPr>
  </w:style>
  <w:style w:type="paragraph" w:styleId="Header">
    <w:name w:val="header"/>
    <w:basedOn w:val="Normal"/>
    <w:link w:val="HeaderChar"/>
    <w:unhideWhenUsed/>
    <w:rsid w:val="00BF24D3"/>
    <w:pPr>
      <w:tabs>
        <w:tab w:val="center" w:pos="4819"/>
        <w:tab w:val="right" w:pos="9638"/>
      </w:tabs>
      <w:spacing w:after="0" w:line="240" w:lineRule="auto"/>
    </w:pPr>
  </w:style>
  <w:style w:type="character" w:customStyle="1" w:styleId="HeaderChar">
    <w:name w:val="Header Char"/>
    <w:basedOn w:val="DefaultParagraphFont"/>
    <w:link w:val="Header"/>
    <w:uiPriority w:val="99"/>
    <w:rsid w:val="00BF24D3"/>
  </w:style>
  <w:style w:type="paragraph" w:styleId="Footer">
    <w:name w:val="footer"/>
    <w:basedOn w:val="Normal"/>
    <w:link w:val="FooterChar"/>
    <w:uiPriority w:val="99"/>
    <w:unhideWhenUsed/>
    <w:rsid w:val="00BF24D3"/>
    <w:pPr>
      <w:tabs>
        <w:tab w:val="center" w:pos="4819"/>
        <w:tab w:val="right" w:pos="9638"/>
      </w:tabs>
      <w:spacing w:after="0" w:line="240" w:lineRule="auto"/>
    </w:pPr>
  </w:style>
  <w:style w:type="character" w:customStyle="1" w:styleId="FooterChar">
    <w:name w:val="Footer Char"/>
    <w:basedOn w:val="DefaultParagraphFont"/>
    <w:link w:val="Footer"/>
    <w:uiPriority w:val="99"/>
    <w:rsid w:val="00BF24D3"/>
  </w:style>
  <w:style w:type="paragraph" w:customStyle="1" w:styleId="Tekstas">
    <w:name w:val="Tekstas"/>
    <w:basedOn w:val="Normal"/>
    <w:rsid w:val="00D4279B"/>
    <w:pPr>
      <w:spacing w:before="40" w:after="40" w:line="240" w:lineRule="auto"/>
      <w:ind w:right="40" w:firstLine="1247"/>
      <w:jc w:val="both"/>
    </w:pPr>
    <w:rPr>
      <w:rFonts w:ascii="Times New Roman" w:eastAsia="Times New Roman" w:hAnsi="Times New Roman" w:cs="Times New Roman"/>
      <w:sz w:val="24"/>
      <w:szCs w:val="24"/>
    </w:rPr>
  </w:style>
  <w:style w:type="paragraph" w:styleId="NoSpacing">
    <w:name w:val="No Spacing"/>
    <w:uiPriority w:val="1"/>
    <w:qFormat/>
    <w:rsid w:val="000779C9"/>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292878">
      <w:bodyDiv w:val="1"/>
      <w:marLeft w:val="0"/>
      <w:marRight w:val="0"/>
      <w:marTop w:val="0"/>
      <w:marBottom w:val="0"/>
      <w:divBdr>
        <w:top w:val="none" w:sz="0" w:space="0" w:color="auto"/>
        <w:left w:val="none" w:sz="0" w:space="0" w:color="auto"/>
        <w:bottom w:val="none" w:sz="0" w:space="0" w:color="auto"/>
        <w:right w:val="none" w:sz="0" w:space="0" w:color="auto"/>
      </w:divBdr>
    </w:div>
    <w:div w:id="1321495265">
      <w:bodyDiv w:val="1"/>
      <w:marLeft w:val="0"/>
      <w:marRight w:val="0"/>
      <w:marTop w:val="0"/>
      <w:marBottom w:val="0"/>
      <w:divBdr>
        <w:top w:val="none" w:sz="0" w:space="0" w:color="auto"/>
        <w:left w:val="none" w:sz="0" w:space="0" w:color="auto"/>
        <w:bottom w:val="none" w:sz="0" w:space="0" w:color="auto"/>
        <w:right w:val="none" w:sz="0" w:space="0" w:color="auto"/>
      </w:divBdr>
    </w:div>
    <w:div w:id="1925534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C2569A-B16F-421A-BEB5-2475132D37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6631</Words>
  <Characters>3780</Characters>
  <Application>Microsoft Office Word</Application>
  <DocSecurity>0</DocSecurity>
  <Lines>31</Lines>
  <Paragraphs>20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Janina Guščiūtė</dc:creator>
  <cp:lastModifiedBy>Aušra Balčiūnaitytė</cp:lastModifiedBy>
  <cp:revision>2</cp:revision>
  <cp:lastPrinted>2019-07-31T06:35:00Z</cp:lastPrinted>
  <dcterms:created xsi:type="dcterms:W3CDTF">2020-03-02T09:18:00Z</dcterms:created>
  <dcterms:modified xsi:type="dcterms:W3CDTF">2020-03-02T09:18:00Z</dcterms:modified>
</cp:coreProperties>
</file>