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6AB" w:rsidRDefault="007956AB" w:rsidP="009A6AB2">
      <w:pPr>
        <w:jc w:val="center"/>
        <w:rPr>
          <w:b/>
          <w:bCs/>
          <w:caps/>
        </w:rPr>
      </w:pPr>
      <w:r>
        <w:rPr>
          <w:b/>
          <w:bCs/>
          <w:caps/>
        </w:rPr>
        <w:t xml:space="preserve">LIETUVOS RESPUBLIKOS </w:t>
      </w:r>
      <w:r w:rsidR="009A6AB2" w:rsidRPr="00571665">
        <w:rPr>
          <w:b/>
          <w:bCs/>
          <w:caps/>
        </w:rPr>
        <w:t xml:space="preserve">SEIMO NUTARIMO </w:t>
      </w:r>
    </w:p>
    <w:p w:rsidR="000526C7" w:rsidRPr="00571665" w:rsidRDefault="009A6AB2" w:rsidP="009A6AB2">
      <w:pPr>
        <w:jc w:val="center"/>
        <w:rPr>
          <w:b/>
        </w:rPr>
      </w:pPr>
      <w:r w:rsidRPr="00571665">
        <w:rPr>
          <w:b/>
          <w:bCs/>
          <w:caps/>
        </w:rPr>
        <w:t>,,</w:t>
      </w:r>
      <w:r w:rsidRPr="00571665">
        <w:rPr>
          <w:b/>
        </w:rPr>
        <w:t xml:space="preserve">DĖL ILGALAIKIO TVARAUS VIEŠOJO SEKTORIAUS DARBUOTOJŲ DARBO UŽMOKESČIO FINANSAVIMO IKI 2025 METŲ STRATEGIJOS PATVIRTINIMO“ </w:t>
      </w:r>
      <w:r w:rsidR="00C17E8E" w:rsidRPr="00571665">
        <w:rPr>
          <w:b/>
        </w:rPr>
        <w:t>PROJEKTO</w:t>
      </w:r>
    </w:p>
    <w:p w:rsidR="00AD1ED1" w:rsidRPr="00571665" w:rsidRDefault="00AD1ED1" w:rsidP="004F066D">
      <w:pPr>
        <w:pStyle w:val="HTMLiankstoformatuotas"/>
        <w:spacing w:line="276" w:lineRule="auto"/>
        <w:contextualSpacing/>
        <w:jc w:val="center"/>
        <w:rPr>
          <w:rFonts w:ascii="Times New Roman" w:hAnsi="Times New Roman"/>
          <w:b/>
          <w:bCs/>
          <w:caps/>
          <w:sz w:val="24"/>
          <w:szCs w:val="24"/>
        </w:rPr>
      </w:pPr>
      <w:r w:rsidRPr="00571665">
        <w:rPr>
          <w:rFonts w:ascii="Times New Roman" w:hAnsi="Times New Roman"/>
          <w:b/>
          <w:bCs/>
          <w:caps/>
          <w:sz w:val="24"/>
          <w:szCs w:val="24"/>
        </w:rPr>
        <w:t>aiškinamasis raštas</w:t>
      </w:r>
    </w:p>
    <w:p w:rsidR="000526C7" w:rsidRPr="00571665" w:rsidRDefault="000526C7" w:rsidP="004F066D">
      <w:pPr>
        <w:pStyle w:val="HTMLiankstoformatuotas"/>
        <w:tabs>
          <w:tab w:val="clear" w:pos="916"/>
          <w:tab w:val="left" w:pos="540"/>
        </w:tabs>
        <w:spacing w:line="276" w:lineRule="auto"/>
        <w:contextualSpacing/>
        <w:jc w:val="both"/>
        <w:rPr>
          <w:rFonts w:ascii="Times New Roman" w:hAnsi="Times New Roman"/>
          <w:b/>
          <w:bCs/>
          <w:sz w:val="24"/>
          <w:szCs w:val="24"/>
        </w:rPr>
      </w:pPr>
    </w:p>
    <w:p w:rsidR="006F327C" w:rsidRPr="00571665" w:rsidRDefault="008F6178" w:rsidP="00484A43">
      <w:pPr>
        <w:pStyle w:val="Pagrindinistekstas"/>
        <w:ind w:right="-7" w:firstLine="720"/>
        <w:contextualSpacing/>
        <w:rPr>
          <w:b/>
          <w:bCs/>
        </w:rPr>
      </w:pPr>
      <w:r w:rsidRPr="00571665">
        <w:rPr>
          <w:b/>
          <w:bCs/>
        </w:rPr>
        <w:t>1. </w:t>
      </w:r>
      <w:r w:rsidR="00C632AB" w:rsidRPr="00571665">
        <w:rPr>
          <w:b/>
          <w:bCs/>
        </w:rPr>
        <w:t xml:space="preserve"> P</w:t>
      </w:r>
      <w:r w:rsidR="009B7270" w:rsidRPr="00571665">
        <w:rPr>
          <w:b/>
          <w:bCs/>
        </w:rPr>
        <w:t>rojekt</w:t>
      </w:r>
      <w:r w:rsidR="004F066D" w:rsidRPr="00571665">
        <w:rPr>
          <w:b/>
          <w:bCs/>
        </w:rPr>
        <w:t>o</w:t>
      </w:r>
      <w:r w:rsidR="000526C7" w:rsidRPr="00571665">
        <w:rPr>
          <w:b/>
          <w:bCs/>
        </w:rPr>
        <w:t xml:space="preserve"> </w:t>
      </w:r>
      <w:r w:rsidR="000656A7" w:rsidRPr="00571665">
        <w:rPr>
          <w:b/>
          <w:bCs/>
        </w:rPr>
        <w:t>rengimą paskatinusios priežastys</w:t>
      </w:r>
      <w:r w:rsidR="0057017E" w:rsidRPr="00571665">
        <w:rPr>
          <w:b/>
          <w:bCs/>
        </w:rPr>
        <w:t>,</w:t>
      </w:r>
      <w:r w:rsidR="0057017E" w:rsidRPr="00571665">
        <w:t xml:space="preserve"> </w:t>
      </w:r>
      <w:r w:rsidR="009B7270" w:rsidRPr="00571665">
        <w:rPr>
          <w:b/>
          <w:bCs/>
        </w:rPr>
        <w:t>parengto projekto</w:t>
      </w:r>
      <w:r w:rsidR="0057017E" w:rsidRPr="00571665">
        <w:rPr>
          <w:b/>
          <w:bCs/>
        </w:rPr>
        <w:t xml:space="preserve"> tikslai ir uždaviniai</w:t>
      </w:r>
    </w:p>
    <w:p w:rsidR="009C01B8" w:rsidRPr="00571665" w:rsidRDefault="009C01B8" w:rsidP="009C01B8">
      <w:pPr>
        <w:pStyle w:val="Betarp"/>
        <w:ind w:firstLine="720"/>
        <w:jc w:val="both"/>
      </w:pPr>
      <w:r w:rsidRPr="00571665">
        <w:t>Lietuvos Respublikos Seimo nutarimo „Dėl</w:t>
      </w:r>
      <w:r w:rsidRPr="00571665">
        <w:rPr>
          <w:b/>
        </w:rPr>
        <w:t xml:space="preserve"> </w:t>
      </w:r>
      <w:r w:rsidRPr="00571665">
        <w:t xml:space="preserve">Ilgalaikio tvaraus viešojo sektoriaus darbuotojų darbo užmokesčio finansavimo iki 2025 metų strategijos patvirtinimo“ projektas </w:t>
      </w:r>
      <w:r w:rsidRPr="00C7253A">
        <w:t>(toliau – Nutarimo projektas)</w:t>
      </w:r>
      <w:r w:rsidRPr="00571665">
        <w:t xml:space="preserve"> ir juo tvirtinama Ilgalaikio tvaraus viešojo sektoriaus darbuotojų darbo užmokesčio finansavimo iki 2025 metų strategija </w:t>
      </w:r>
      <w:r w:rsidRPr="00C7253A">
        <w:t>(toliau – Strategija</w:t>
      </w:r>
      <w:r w:rsidRPr="00571665">
        <w:t>) paren</w:t>
      </w:r>
      <w:r w:rsidR="007956AB">
        <w:t xml:space="preserve">gta </w:t>
      </w:r>
      <w:r w:rsidR="007956AB" w:rsidRPr="00571665">
        <w:t xml:space="preserve">siekiant </w:t>
      </w:r>
      <w:r w:rsidR="007956AB" w:rsidRPr="00571665">
        <w:rPr>
          <w:bCs/>
        </w:rPr>
        <w:t xml:space="preserve">spręsti viešojo sektoriaus darbuotojų darbo apmokėjimo problemas, </w:t>
      </w:r>
      <w:r w:rsidR="007956AB" w:rsidRPr="00571665">
        <w:t xml:space="preserve">nustatyti konkrečius  įsipareigojimus dėl viešojo sektoriaus darbuotojų darbo užmokesčio didinimo 2020 metais bei numatyti viešojo sektoriaus darbuotojų darbo užmokesčio augimo kryptis ilgesnei perspektyvai (iki 2025 metų). </w:t>
      </w:r>
      <w:r w:rsidR="007956AB">
        <w:t>Strategiją parengė Lietuvos Respublikos</w:t>
      </w:r>
      <w:r w:rsidRPr="00571665">
        <w:t xml:space="preserve"> </w:t>
      </w:r>
      <w:r w:rsidR="00347DE1" w:rsidRPr="00571665">
        <w:t>Vyriausybės 2018 m. gruodžio 5 d. nutarim</w:t>
      </w:r>
      <w:r w:rsidR="007956AB">
        <w:t>u</w:t>
      </w:r>
      <w:r w:rsidR="00347DE1" w:rsidRPr="00571665">
        <w:t xml:space="preserve"> Nr. 1195 ,,Dėl </w:t>
      </w:r>
      <w:r w:rsidR="007956AB">
        <w:t>K</w:t>
      </w:r>
      <w:r w:rsidR="00347DE1" w:rsidRPr="00571665">
        <w:t>omisijos Ilgalaikio tvaraus viešojo sektoriaus darbuotojų darbo užmokesčio finansavimo iki 2025 metų strategijos projektui parengti sudarymo“</w:t>
      </w:r>
      <w:r w:rsidR="007956AB">
        <w:t xml:space="preserve"> sudaryta Vyriausybės komisija. </w:t>
      </w:r>
      <w:r w:rsidR="00347DE1" w:rsidRPr="00571665">
        <w:t xml:space="preserve"> </w:t>
      </w:r>
      <w:bookmarkStart w:id="0" w:name="part_211d927cf3224a3db10dd0c9218f494e"/>
      <w:bookmarkEnd w:id="0"/>
    </w:p>
    <w:p w:rsidR="00BE4401" w:rsidRPr="00571665" w:rsidRDefault="00BE4401" w:rsidP="00BE4401">
      <w:pPr>
        <w:pStyle w:val="Pagrindinistekstas"/>
        <w:ind w:right="-7" w:firstLine="720"/>
        <w:contextualSpacing/>
        <w:rPr>
          <w:bCs/>
        </w:rPr>
      </w:pPr>
      <w:r w:rsidRPr="00571665">
        <w:rPr>
          <w:bCs/>
        </w:rPr>
        <w:t xml:space="preserve">Vienas iš svarbiausių komponentų, lemiančių teikiamų paslaugų kokybę ir vykdomų </w:t>
      </w:r>
      <w:r w:rsidR="00FD7389" w:rsidRPr="00571665">
        <w:rPr>
          <w:bCs/>
        </w:rPr>
        <w:t>reformų</w:t>
      </w:r>
      <w:r w:rsidRPr="00571665">
        <w:rPr>
          <w:bCs/>
        </w:rPr>
        <w:t xml:space="preserve"> sėkmę – tai žmogiškasis veiksnys. Pirmiausia </w:t>
      </w:r>
      <w:bookmarkStart w:id="1" w:name="_Hlk2880754"/>
      <w:r w:rsidRPr="00571665">
        <w:rPr>
          <w:bCs/>
        </w:rPr>
        <w:t>–</w:t>
      </w:r>
      <w:bookmarkEnd w:id="1"/>
      <w:r w:rsidRPr="00571665">
        <w:rPr>
          <w:bCs/>
        </w:rPr>
        <w:t xml:space="preserve"> tai viešojo sektoriaus darbuotojai, nuo kurių ir priklauso viešųjų paslaugų teikimas</w:t>
      </w:r>
      <w:r w:rsidR="007956AB">
        <w:rPr>
          <w:bCs/>
        </w:rPr>
        <w:t xml:space="preserve"> </w:t>
      </w:r>
      <w:r w:rsidRPr="00571665">
        <w:rPr>
          <w:bCs/>
        </w:rPr>
        <w:t xml:space="preserve"> gyventojams. </w:t>
      </w:r>
    </w:p>
    <w:p w:rsidR="00AC7472" w:rsidRPr="00571665" w:rsidRDefault="00184B35" w:rsidP="00CC6FCE">
      <w:pPr>
        <w:pStyle w:val="Pagrindinistekstas"/>
        <w:ind w:right="-7" w:firstLine="720"/>
        <w:contextualSpacing/>
      </w:pPr>
      <w:r w:rsidRPr="00571665">
        <w:rPr>
          <w:bCs/>
        </w:rPr>
        <w:t>Viešasis sektorius yra didžiausias darbdavys</w:t>
      </w:r>
      <w:r w:rsidR="005F7A50" w:rsidRPr="005F7A50">
        <w:rPr>
          <w:bCs/>
        </w:rPr>
        <w:t xml:space="preserve"> </w:t>
      </w:r>
      <w:r w:rsidR="005F7A50" w:rsidRPr="00571665">
        <w:rPr>
          <w:bCs/>
        </w:rPr>
        <w:t>Lietuvos</w:t>
      </w:r>
      <w:r w:rsidR="005F7A50">
        <w:rPr>
          <w:bCs/>
        </w:rPr>
        <w:t xml:space="preserve"> Respublikoje.</w:t>
      </w:r>
      <w:r w:rsidRPr="00571665">
        <w:rPr>
          <w:bCs/>
        </w:rPr>
        <w:t xml:space="preserve"> </w:t>
      </w:r>
      <w:r w:rsidR="00BE4401" w:rsidRPr="00571665">
        <w:rPr>
          <w:bCs/>
        </w:rPr>
        <w:t xml:space="preserve">2017 m. viešajame sektoriuje dirbo 286 tūkst. darbuotojų, iš kurių 114 tūkst. darbuotojų – valstybės viešajame sektoriuje, 172 tūkst. – savivaldybių viešajame sektoriuje. </w:t>
      </w:r>
      <w:r w:rsidR="00CC6FCE" w:rsidRPr="00571665">
        <w:rPr>
          <w:bCs/>
        </w:rPr>
        <w:t xml:space="preserve">Nors viešojo sektoriaus darbuotojų </w:t>
      </w:r>
      <w:r w:rsidR="005F7A50">
        <w:rPr>
          <w:bCs/>
        </w:rPr>
        <w:t>darbo užmokestis</w:t>
      </w:r>
      <w:r w:rsidR="00CC6FCE" w:rsidRPr="00571665">
        <w:rPr>
          <w:bCs/>
        </w:rPr>
        <w:t xml:space="preserve"> pastaruoju metu augo, </w:t>
      </w:r>
      <w:r w:rsidR="005F7A50">
        <w:rPr>
          <w:bCs/>
        </w:rPr>
        <w:t>darbo užmokesčio</w:t>
      </w:r>
      <w:r w:rsidR="00CC6FCE" w:rsidRPr="00571665">
        <w:rPr>
          <w:bCs/>
        </w:rPr>
        <w:t xml:space="preserve"> dydžiai piniginėmis išraiškomis vis dar išlieka pastebimai mažesni nei kitų panaš</w:t>
      </w:r>
      <w:r w:rsidR="00EC4213" w:rsidRPr="00571665">
        <w:rPr>
          <w:bCs/>
        </w:rPr>
        <w:t xml:space="preserve">ių </w:t>
      </w:r>
      <w:r w:rsidR="00CC6FCE" w:rsidRPr="00571665">
        <w:rPr>
          <w:bCs/>
        </w:rPr>
        <w:t>šalių</w:t>
      </w:r>
      <w:r w:rsidR="00EC4213" w:rsidRPr="00571665">
        <w:rPr>
          <w:bCs/>
        </w:rPr>
        <w:t xml:space="preserve"> (pvz.</w:t>
      </w:r>
      <w:r w:rsidR="005F7A50">
        <w:rPr>
          <w:bCs/>
        </w:rPr>
        <w:t>,</w:t>
      </w:r>
      <w:r w:rsidR="00EC4213" w:rsidRPr="00571665">
        <w:rPr>
          <w:bCs/>
        </w:rPr>
        <w:t xml:space="preserve"> </w:t>
      </w:r>
      <w:r w:rsidR="00CC6FCE" w:rsidRPr="00571665">
        <w:rPr>
          <w:bCs/>
        </w:rPr>
        <w:t>tokių kaip Estija, Lenkija, Slovakija</w:t>
      </w:r>
      <w:r w:rsidR="00EC4213" w:rsidRPr="00571665">
        <w:rPr>
          <w:bCs/>
        </w:rPr>
        <w:t>)</w:t>
      </w:r>
      <w:r w:rsidR="00CC6FCE" w:rsidRPr="00571665">
        <w:rPr>
          <w:bCs/>
        </w:rPr>
        <w:t xml:space="preserve">. </w:t>
      </w:r>
      <w:r w:rsidR="00152872" w:rsidRPr="00571665">
        <w:rPr>
          <w:bCs/>
        </w:rPr>
        <w:t>Be to, v</w:t>
      </w:r>
      <w:r w:rsidR="00EC4213" w:rsidRPr="00571665">
        <w:rPr>
          <w:bCs/>
        </w:rPr>
        <w:t>iešojo sektoriaus darbuotojų darbo užmokes</w:t>
      </w:r>
      <w:r w:rsidR="00152872" w:rsidRPr="00571665">
        <w:rPr>
          <w:bCs/>
        </w:rPr>
        <w:t>tis</w:t>
      </w:r>
      <w:r w:rsidR="00EC4213" w:rsidRPr="00571665">
        <w:rPr>
          <w:bCs/>
        </w:rPr>
        <w:t xml:space="preserve"> pastaruosius penkerius metus </w:t>
      </w:r>
      <w:r w:rsidR="00152872" w:rsidRPr="00571665">
        <w:rPr>
          <w:bCs/>
        </w:rPr>
        <w:t>auga</w:t>
      </w:r>
      <w:r w:rsidR="00EC4213" w:rsidRPr="00571665">
        <w:rPr>
          <w:bCs/>
        </w:rPr>
        <w:t xml:space="preserve"> lė</w:t>
      </w:r>
      <w:r w:rsidR="00152872" w:rsidRPr="00571665">
        <w:rPr>
          <w:bCs/>
        </w:rPr>
        <w:t>čiau</w:t>
      </w:r>
      <w:r w:rsidR="00EC4213" w:rsidRPr="00571665">
        <w:rPr>
          <w:bCs/>
        </w:rPr>
        <w:t xml:space="preserve"> nei privataus sektoriaus darbuotojų</w:t>
      </w:r>
      <w:r w:rsidR="00152872" w:rsidRPr="00571665">
        <w:rPr>
          <w:bCs/>
        </w:rPr>
        <w:t xml:space="preserve">. Esama </w:t>
      </w:r>
      <w:r w:rsidR="00F75BED" w:rsidRPr="00571665">
        <w:rPr>
          <w:bCs/>
        </w:rPr>
        <w:t>viešojo sektoriaus darbo apmokėjimo sistema</w:t>
      </w:r>
      <w:r w:rsidR="00EC4213" w:rsidRPr="00571665">
        <w:rPr>
          <w:bCs/>
        </w:rPr>
        <w:t xml:space="preserve"> yra</w:t>
      </w:r>
      <w:r w:rsidR="00F75BED" w:rsidRPr="00571665">
        <w:rPr>
          <w:bCs/>
        </w:rPr>
        <w:t xml:space="preserve"> </w:t>
      </w:r>
      <w:r w:rsidR="00152872" w:rsidRPr="00571665">
        <w:rPr>
          <w:bCs/>
        </w:rPr>
        <w:t xml:space="preserve">labai </w:t>
      </w:r>
      <w:r w:rsidR="00673898" w:rsidRPr="00571665">
        <w:rPr>
          <w:bCs/>
        </w:rPr>
        <w:t xml:space="preserve">išbalansuota </w:t>
      </w:r>
      <w:r w:rsidR="00E511CB" w:rsidRPr="00E511CB">
        <w:rPr>
          <w:bCs/>
        </w:rPr>
        <w:t>–</w:t>
      </w:r>
      <w:r w:rsidR="00F75BED" w:rsidRPr="00571665">
        <w:rPr>
          <w:bCs/>
        </w:rPr>
        <w:t xml:space="preserve"> </w:t>
      </w:r>
      <w:r w:rsidR="00EC4213" w:rsidRPr="00571665">
        <w:rPr>
          <w:bCs/>
        </w:rPr>
        <w:t xml:space="preserve">dideli netolygumai </w:t>
      </w:r>
      <w:r w:rsidR="00F75BED" w:rsidRPr="00571665">
        <w:rPr>
          <w:bCs/>
        </w:rPr>
        <w:t>tiek tarp atskirų sektorių, tiek kiekvieno sektoriaus viduje.</w:t>
      </w:r>
      <w:r w:rsidR="0024051C" w:rsidRPr="00571665">
        <w:rPr>
          <w:bCs/>
        </w:rPr>
        <w:t xml:space="preserve"> Ryškūs skirtumai tarp tos pačios kvalifikacijos darbuotojų valstybės ir savivaldybių įstaigose</w:t>
      </w:r>
      <w:r w:rsidR="005F7A50">
        <w:rPr>
          <w:bCs/>
        </w:rPr>
        <w:t xml:space="preserve"> </w:t>
      </w:r>
      <w:r w:rsidR="00E511CB" w:rsidRPr="00571665">
        <w:rPr>
          <w:bCs/>
        </w:rPr>
        <w:t>–</w:t>
      </w:r>
      <w:r w:rsidR="0024051C" w:rsidRPr="00571665">
        <w:rPr>
          <w:bCs/>
        </w:rPr>
        <w:t xml:space="preserve"> savivaldybių įstaigose yra kur kas daugiau darbuotojų, gaunančių </w:t>
      </w:r>
      <w:r w:rsidR="005F7A50">
        <w:rPr>
          <w:bCs/>
        </w:rPr>
        <w:t>darbo užmokestį,</w:t>
      </w:r>
      <w:r w:rsidR="0024051C" w:rsidRPr="00571665">
        <w:rPr>
          <w:bCs/>
        </w:rPr>
        <w:t xml:space="preserve"> mažesnį už šalies vidutinį darbo užmokestį.</w:t>
      </w:r>
      <w:r w:rsidR="00AC7472" w:rsidRPr="00571665">
        <w:t xml:space="preserve"> </w:t>
      </w:r>
    </w:p>
    <w:p w:rsidR="00AC7472" w:rsidRDefault="00AC7472" w:rsidP="00100624">
      <w:pPr>
        <w:pStyle w:val="Pagrindinistekstas"/>
        <w:ind w:right="-7" w:firstLine="720"/>
        <w:contextualSpacing/>
        <w:rPr>
          <w:bCs/>
        </w:rPr>
      </w:pPr>
      <w:r w:rsidRPr="00571665">
        <w:rPr>
          <w:bCs/>
        </w:rPr>
        <w:t>E</w:t>
      </w:r>
      <w:r w:rsidR="00D15354" w:rsidRPr="00571665">
        <w:rPr>
          <w:bCs/>
        </w:rPr>
        <w:t xml:space="preserve">uropos </w:t>
      </w:r>
      <w:r w:rsidRPr="00571665">
        <w:rPr>
          <w:bCs/>
        </w:rPr>
        <w:t>S</w:t>
      </w:r>
      <w:r w:rsidR="00D15354" w:rsidRPr="00571665">
        <w:rPr>
          <w:bCs/>
        </w:rPr>
        <w:t>ąjungos</w:t>
      </w:r>
      <w:r w:rsidRPr="00571665">
        <w:rPr>
          <w:bCs/>
        </w:rPr>
        <w:t>, T</w:t>
      </w:r>
      <w:r w:rsidR="00D15354" w:rsidRPr="00571665">
        <w:rPr>
          <w:bCs/>
        </w:rPr>
        <w:t>arptautinio valiutos fondo</w:t>
      </w:r>
      <w:r w:rsidRPr="00571665">
        <w:rPr>
          <w:bCs/>
        </w:rPr>
        <w:t xml:space="preserve">, Valstybės kontrolės, Ūkio ministerijos, vietinių konsultantų atliktuose viešojo sektoriaus vertinimuose metai iš metų buvo konstatuojama, kad viešajame sektoriuje reikalingos struktūrinės reformos siekiant didesnio efektyvumo, geresnės viešųjų paslaugų kokybės, efektyvesnio valstybės turto valdymo, tuo pačiu ieškant vidinių </w:t>
      </w:r>
      <w:r w:rsidR="00013A34">
        <w:rPr>
          <w:bCs/>
        </w:rPr>
        <w:t>darbo užmokesčio</w:t>
      </w:r>
      <w:r w:rsidRPr="00571665">
        <w:rPr>
          <w:bCs/>
        </w:rPr>
        <w:t xml:space="preserve"> didinimo rezervų, ypač švietimo, sveikatos apsaugos, kultūros srityse.   </w:t>
      </w:r>
    </w:p>
    <w:p w:rsidR="008B2989" w:rsidRPr="00571665" w:rsidRDefault="008B2989" w:rsidP="00100624">
      <w:pPr>
        <w:pStyle w:val="Pagrindinistekstas"/>
        <w:ind w:right="-7" w:firstLine="720"/>
        <w:contextualSpacing/>
        <w:rPr>
          <w:bCs/>
        </w:rPr>
      </w:pPr>
      <w:r>
        <w:rPr>
          <w:bCs/>
        </w:rPr>
        <w:t xml:space="preserve">Rengiant </w:t>
      </w:r>
      <w:r w:rsidRPr="008B2989">
        <w:rPr>
          <w:bCs/>
        </w:rPr>
        <w:t>Seimo nutarimo projekt</w:t>
      </w:r>
      <w:r>
        <w:rPr>
          <w:bCs/>
        </w:rPr>
        <w:t>ą atsižvelgta į</w:t>
      </w:r>
      <w:r w:rsidRPr="008B2989">
        <w:rPr>
          <w:bCs/>
        </w:rPr>
        <w:t xml:space="preserve"> Septynioliktosios Lietuvos Respublikos Vyriausybės programos, kuriai pritarta Lietuvos Respublikos Seimo 2016 m. gruodžio 13 d. nutarimu Nr. XIII-82, siekius padidinti viešojo sektoriaus darbuotojų atlyginimus iki konkurencingo dydžio, siekiant pritraukti jaunus, išsilavinusius ir motyvuotus specialistus (195.10 p.), padidinti visų grandžių medicinos darbuotojų darbo užmokestį, skatinti juos už gerus sveikatos rodiklius (43.4 p.), įdiegti mokytojų etatinio apmokėjimo tvarką, darbo užmokestį diferencijuoti atsižvelgiant į darbuotojų atitiktį kvalifikaciniams reikalavimams ir skirtingas darbo sąlygas (128.5</w:t>
      </w:r>
      <w:r w:rsidR="008E650F">
        <w:rPr>
          <w:bCs/>
        </w:rPr>
        <w:t xml:space="preserve"> p.</w:t>
      </w:r>
      <w:r w:rsidRPr="008B2989">
        <w:rPr>
          <w:bCs/>
        </w:rPr>
        <w:t>), siekti, kad aukštųjų mokyklų dėstytojai gautų adekvatų darbo užmokestį (128.6</w:t>
      </w:r>
      <w:r w:rsidR="008E650F">
        <w:rPr>
          <w:bCs/>
        </w:rPr>
        <w:t xml:space="preserve"> p.</w:t>
      </w:r>
      <w:r w:rsidRPr="008B2989">
        <w:rPr>
          <w:bCs/>
        </w:rPr>
        <w:t>); sparčiai kelti viešojo sektoriaus darbuotojų atlyginimus iki regiono mastu konkurencingo lygmens (291.10 p.), aktyviai skatinti socialinį dialogą ir pradėti nuo viešojo sektoriaus, skatinti kolektyvinių sutarčių pasirašymą, numatyti kasmetinį algų viešajame sektoriuje indeksavimą (numatant išlygas, kad bus stabilus ekonomikos augimas ir tvarūs valstybės finansai), aiškų kasmečių derybų dėl atlyginimų mechanizmą (117.5.3 p.) ir kt.</w:t>
      </w:r>
    </w:p>
    <w:p w:rsidR="00CB7B18" w:rsidRPr="00571665" w:rsidRDefault="0024051C" w:rsidP="00100624">
      <w:pPr>
        <w:pStyle w:val="Pagrindinistekstas"/>
        <w:ind w:right="-7" w:firstLine="720"/>
        <w:contextualSpacing/>
      </w:pPr>
      <w:r w:rsidRPr="00571665">
        <w:t xml:space="preserve">Pagrindiniai </w:t>
      </w:r>
      <w:r w:rsidR="001D750F" w:rsidRPr="00571665">
        <w:t>Strategijos tikslai:</w:t>
      </w:r>
    </w:p>
    <w:p w:rsidR="001D750F" w:rsidRPr="00571665" w:rsidRDefault="001D750F" w:rsidP="001D750F">
      <w:pPr>
        <w:pStyle w:val="Sraopastraipa"/>
        <w:numPr>
          <w:ilvl w:val="0"/>
          <w:numId w:val="28"/>
        </w:numPr>
        <w:jc w:val="both"/>
      </w:pPr>
      <w:r w:rsidRPr="00571665">
        <w:lastRenderedPageBreak/>
        <w:t>mažinti disproporcijas tarp atskirose viešojo sektoriaus srityse dirbančių darbuotojų darbo apmokėjimo;</w:t>
      </w:r>
    </w:p>
    <w:p w:rsidR="001D750F" w:rsidRPr="00571665" w:rsidRDefault="001D750F" w:rsidP="001D750F">
      <w:pPr>
        <w:pStyle w:val="Sraopastraipa"/>
        <w:numPr>
          <w:ilvl w:val="0"/>
          <w:numId w:val="28"/>
        </w:numPr>
        <w:jc w:val="both"/>
      </w:pPr>
      <w:r w:rsidRPr="00571665">
        <w:t xml:space="preserve">užtikrinti socialiai teisingesnį darbo apmokėjimą siekiant, kad darbo užmokesčio dydis priklausytų nuo darbo pobūdžio, darbo funkcijų sudėtingumo, </w:t>
      </w:r>
      <w:r w:rsidR="00CA16AB">
        <w:t xml:space="preserve">atsakomybės lygio, </w:t>
      </w:r>
      <w:r w:rsidRPr="00571665">
        <w:t xml:space="preserve">asmens profesinio lygio bei kvalifikacijos; </w:t>
      </w:r>
    </w:p>
    <w:p w:rsidR="001D750F" w:rsidRPr="00571665" w:rsidRDefault="001D750F" w:rsidP="001D750F">
      <w:pPr>
        <w:pStyle w:val="Sraopastraipa"/>
        <w:numPr>
          <w:ilvl w:val="0"/>
          <w:numId w:val="28"/>
        </w:numPr>
        <w:jc w:val="both"/>
      </w:pPr>
      <w:r w:rsidRPr="00571665">
        <w:t>užtikrinti tvarų ir ilgalaikį viešajame sektoriuje dirbančių darbuotojų darbo apmokėjimo augimą atsižvelgiant į Lietuvos ekonominio vystymosi tendencijas, ypatingai į infliacijos ir ekonominio produktyvumo pokyčius, taip pat siejant darbo užmokesčio didinimą su sektorių efektyvumo didėjimu bei paslaugų gyventojams kokybės augimu.</w:t>
      </w:r>
    </w:p>
    <w:p w:rsidR="001D750F" w:rsidRPr="00571665" w:rsidRDefault="001D750F" w:rsidP="00100624">
      <w:pPr>
        <w:pStyle w:val="Pagrindinistekstas"/>
        <w:ind w:right="-7" w:firstLine="720"/>
        <w:contextualSpacing/>
      </w:pPr>
    </w:p>
    <w:p w:rsidR="00B65061" w:rsidRPr="00571665" w:rsidRDefault="008410AC" w:rsidP="00100624">
      <w:pPr>
        <w:pStyle w:val="Pagrindinistekstas"/>
        <w:ind w:right="-7" w:firstLine="720"/>
        <w:contextualSpacing/>
        <w:rPr>
          <w:b/>
        </w:rPr>
      </w:pPr>
      <w:r w:rsidRPr="00571665">
        <w:rPr>
          <w:b/>
        </w:rPr>
        <w:t xml:space="preserve">2. </w:t>
      </w:r>
      <w:r w:rsidR="00C632AB" w:rsidRPr="00571665">
        <w:rPr>
          <w:b/>
        </w:rPr>
        <w:t>P</w:t>
      </w:r>
      <w:r w:rsidR="00CB1503" w:rsidRPr="00571665">
        <w:rPr>
          <w:b/>
        </w:rPr>
        <w:t>rojekt</w:t>
      </w:r>
      <w:r w:rsidR="004F066D" w:rsidRPr="00571665">
        <w:rPr>
          <w:b/>
        </w:rPr>
        <w:t>o</w:t>
      </w:r>
      <w:r w:rsidRPr="00571665">
        <w:rPr>
          <w:b/>
        </w:rPr>
        <w:t xml:space="preserve"> iniciatoriai (institucija, asmenys ar piliečių įgalioti atstovai) ir rengėjai</w:t>
      </w:r>
    </w:p>
    <w:p w:rsidR="00484A43" w:rsidRPr="00571665" w:rsidRDefault="00CC3DBB" w:rsidP="00F917A4">
      <w:pPr>
        <w:ind w:firstLine="720"/>
        <w:contextualSpacing/>
        <w:jc w:val="both"/>
        <w:rPr>
          <w:lang w:eastAsia="en-US"/>
        </w:rPr>
      </w:pPr>
      <w:r w:rsidRPr="00571665">
        <w:rPr>
          <w:lang w:eastAsia="en-US"/>
        </w:rPr>
        <w:t xml:space="preserve">Strategiją parengė </w:t>
      </w:r>
      <w:r w:rsidR="0027293D">
        <w:rPr>
          <w:lang w:eastAsia="en-US"/>
        </w:rPr>
        <w:t xml:space="preserve">Vyriausybės </w:t>
      </w:r>
      <w:r w:rsidR="00C339D9" w:rsidRPr="00571665">
        <w:rPr>
          <w:lang w:eastAsia="en-US"/>
        </w:rPr>
        <w:t>komisija Ilgalaikio tvaraus viešojo sektoriaus darbuotojų darbo užmokesčio finansavimo iki 2025 metų strategijos projektui parengti (</w:t>
      </w:r>
      <w:r w:rsidR="005D3BDB" w:rsidRPr="00571665">
        <w:rPr>
          <w:lang w:eastAsia="en-US"/>
        </w:rPr>
        <w:t xml:space="preserve">Komisijos </w:t>
      </w:r>
      <w:r w:rsidR="00C339D9" w:rsidRPr="00571665">
        <w:rPr>
          <w:lang w:eastAsia="en-US"/>
        </w:rPr>
        <w:t xml:space="preserve">pirmininkas – Vyriausybės kanclerio pirmasis pavaduotojas Deividas Matulionis), sudaryta </w:t>
      </w:r>
      <w:bookmarkStart w:id="2" w:name="_Hlk2539047"/>
      <w:r w:rsidR="00484A43" w:rsidRPr="00571665">
        <w:rPr>
          <w:lang w:eastAsia="en-US"/>
        </w:rPr>
        <w:t>Vyriausybės 2018 m. gruodžio 5 d. nutarimu Nr. 1195</w:t>
      </w:r>
      <w:r w:rsidR="007956AB">
        <w:t xml:space="preserve"> ,,Dėl Komisijos Ilgalaikio tvaraus viešojo sektoriaus darbuotojų darbo užmokesčio finansavimo iki 2025 metų strategijos projektui parengti sudarymo”</w:t>
      </w:r>
      <w:r w:rsidR="00510DBC" w:rsidRPr="00571665">
        <w:rPr>
          <w:lang w:eastAsia="en-US"/>
        </w:rPr>
        <w:t xml:space="preserve">, kurioje dalyvavo </w:t>
      </w:r>
      <w:bookmarkEnd w:id="2"/>
      <w:r w:rsidR="005B575E" w:rsidRPr="00571665">
        <w:rPr>
          <w:lang w:eastAsia="en-US"/>
        </w:rPr>
        <w:t xml:space="preserve">7 </w:t>
      </w:r>
      <w:r w:rsidR="00484A43" w:rsidRPr="00571665">
        <w:rPr>
          <w:lang w:eastAsia="en-US"/>
        </w:rPr>
        <w:t>ministrai</w:t>
      </w:r>
      <w:r w:rsidR="00C339D9" w:rsidRPr="00571665">
        <w:rPr>
          <w:lang w:eastAsia="en-US"/>
        </w:rPr>
        <w:t xml:space="preserve"> (finansų, teisingumo, vidaus reikalų, švietimo, mokslo ir sporto, sveikatos apsaugos, socialinės apsaugos</w:t>
      </w:r>
      <w:r w:rsidR="00484A43" w:rsidRPr="00571665">
        <w:rPr>
          <w:lang w:eastAsia="en-US"/>
        </w:rPr>
        <w:t>,</w:t>
      </w:r>
      <w:r w:rsidR="005B575E" w:rsidRPr="00571665">
        <w:rPr>
          <w:lang w:eastAsia="en-US"/>
        </w:rPr>
        <w:t xml:space="preserve"> kultūros), </w:t>
      </w:r>
      <w:r w:rsidR="00F917A4" w:rsidRPr="00571665">
        <w:rPr>
          <w:lang w:eastAsia="en-US"/>
        </w:rPr>
        <w:t xml:space="preserve">6 </w:t>
      </w:r>
      <w:r w:rsidR="005B575E" w:rsidRPr="00571665">
        <w:rPr>
          <w:lang w:eastAsia="en-US"/>
        </w:rPr>
        <w:t>Seimo frakcijų</w:t>
      </w:r>
      <w:r w:rsidR="00DE0C35" w:rsidRPr="00571665">
        <w:rPr>
          <w:lang w:eastAsia="en-US"/>
        </w:rPr>
        <w:t xml:space="preserve"> (</w:t>
      </w:r>
      <w:r w:rsidR="00F917A4" w:rsidRPr="00571665">
        <w:rPr>
          <w:lang w:eastAsia="en-US"/>
        </w:rPr>
        <w:t>Lietuvos valstiečių ir žaliųjų sąjungos, Lietuvos socialdemokratų darbo partijos, Lietuvos socialdemokratų partijos, Liberalų sąjūdžio, Lietuvos lenkų rinkimų akcijos – Krikščionių šeimų sąjungos, „Tvarkos ir teisingumo“)</w:t>
      </w:r>
      <w:r w:rsidR="005B575E" w:rsidRPr="00571665">
        <w:rPr>
          <w:lang w:eastAsia="en-US"/>
        </w:rPr>
        <w:t xml:space="preserve"> atstovai, </w:t>
      </w:r>
      <w:r w:rsidR="00F917A4" w:rsidRPr="00571665">
        <w:rPr>
          <w:lang w:eastAsia="en-US"/>
        </w:rPr>
        <w:t>Trišalėje taryboje dalyvaujančių profesinių sąjungų</w:t>
      </w:r>
      <w:r w:rsidR="005B575E" w:rsidRPr="00571665">
        <w:rPr>
          <w:lang w:eastAsia="en-US"/>
        </w:rPr>
        <w:t xml:space="preserve"> (Lietuvos profesinių sąjungų konfederacijos, Lietuvos profesinės sąjungos ,,Solidarumas“, Lietuvos profesinės sąjungos ,,Sandrauga“) </w:t>
      </w:r>
      <w:r w:rsidR="00C80157" w:rsidRPr="00C7253A">
        <w:rPr>
          <w:lang w:eastAsia="en-US"/>
        </w:rPr>
        <w:t xml:space="preserve">7 </w:t>
      </w:r>
      <w:r w:rsidR="005B575E" w:rsidRPr="00C7253A">
        <w:rPr>
          <w:lang w:eastAsia="en-US"/>
        </w:rPr>
        <w:t>atstovai</w:t>
      </w:r>
      <w:r w:rsidR="00510DBC" w:rsidRPr="00571665">
        <w:rPr>
          <w:lang w:eastAsia="en-US"/>
        </w:rPr>
        <w:t>,</w:t>
      </w:r>
      <w:r w:rsidR="00510DBC" w:rsidRPr="00571665">
        <w:rPr>
          <w:bCs/>
        </w:rPr>
        <w:t xml:space="preserve"> atstovaujantys švietimo ir mokslo, kultūros ir meno, sveikatos apsaugos, socialinių paslaugų sričių darbuotojų, valstybės tarnautojų, statutinių valstybės tarnautojų profesinėms sąjungoms</w:t>
      </w:r>
      <w:r w:rsidR="0025281F">
        <w:rPr>
          <w:bCs/>
        </w:rPr>
        <w:t>,</w:t>
      </w:r>
      <w:r w:rsidR="005B575E" w:rsidRPr="00571665">
        <w:rPr>
          <w:lang w:eastAsia="en-US"/>
        </w:rPr>
        <w:t xml:space="preserve"> bei L</w:t>
      </w:r>
      <w:r w:rsidR="00484A43" w:rsidRPr="00571665">
        <w:rPr>
          <w:lang w:eastAsia="en-US"/>
        </w:rPr>
        <w:t xml:space="preserve">ietuvos savivaldybių asociacijos </w:t>
      </w:r>
      <w:r w:rsidR="00484A43" w:rsidRPr="00F038BA">
        <w:rPr>
          <w:lang w:eastAsia="en-US"/>
        </w:rPr>
        <w:t>direktor</w:t>
      </w:r>
      <w:r w:rsidR="00CC538C" w:rsidRPr="00F038BA">
        <w:rPr>
          <w:lang w:eastAsia="en-US"/>
        </w:rPr>
        <w:t>ė</w:t>
      </w:r>
      <w:r w:rsidR="005B575E" w:rsidRPr="00571665">
        <w:rPr>
          <w:lang w:eastAsia="en-US"/>
        </w:rPr>
        <w:t>.</w:t>
      </w:r>
      <w:r w:rsidR="00484A43" w:rsidRPr="00571665">
        <w:rPr>
          <w:lang w:eastAsia="en-US"/>
        </w:rPr>
        <w:t xml:space="preserve"> </w:t>
      </w:r>
    </w:p>
    <w:p w:rsidR="00B233D1" w:rsidRPr="00571665" w:rsidRDefault="00B233D1" w:rsidP="00484A43">
      <w:pPr>
        <w:ind w:firstLine="720"/>
        <w:contextualSpacing/>
        <w:jc w:val="both"/>
        <w:rPr>
          <w:lang w:eastAsia="en-US"/>
        </w:rPr>
      </w:pPr>
    </w:p>
    <w:p w:rsidR="00D20294" w:rsidRPr="00571665" w:rsidRDefault="00377C2B" w:rsidP="00100624">
      <w:pPr>
        <w:tabs>
          <w:tab w:val="left" w:pos="709"/>
          <w:tab w:val="left" w:pos="2592"/>
          <w:tab w:val="left" w:pos="3888"/>
          <w:tab w:val="left" w:pos="5185"/>
          <w:tab w:val="left" w:pos="6481"/>
          <w:tab w:val="left" w:pos="7777"/>
          <w:tab w:val="left" w:pos="9072"/>
          <w:tab w:val="left" w:pos="10335"/>
        </w:tabs>
        <w:suppressAutoHyphens/>
        <w:ind w:firstLine="720"/>
        <w:contextualSpacing/>
        <w:jc w:val="both"/>
        <w:rPr>
          <w:b/>
          <w:bCs/>
        </w:rPr>
      </w:pPr>
      <w:r w:rsidRPr="00571665">
        <w:rPr>
          <w:b/>
          <w:bCs/>
        </w:rPr>
        <w:t>3. Kaip šiuo metu yra reg</w:t>
      </w:r>
      <w:r w:rsidR="002B0F44" w:rsidRPr="00571665">
        <w:rPr>
          <w:b/>
          <w:bCs/>
        </w:rPr>
        <w:t>uliuojami</w:t>
      </w:r>
      <w:r w:rsidRPr="00571665">
        <w:rPr>
          <w:b/>
          <w:bCs/>
        </w:rPr>
        <w:t xml:space="preserve"> </w:t>
      </w:r>
      <w:r w:rsidR="00EA37CE" w:rsidRPr="00571665">
        <w:rPr>
          <w:b/>
          <w:bCs/>
        </w:rPr>
        <w:t>projekt</w:t>
      </w:r>
      <w:r w:rsidR="003F59EF" w:rsidRPr="00571665">
        <w:rPr>
          <w:b/>
          <w:bCs/>
        </w:rPr>
        <w:t>e</w:t>
      </w:r>
      <w:r w:rsidRPr="00571665">
        <w:rPr>
          <w:b/>
          <w:bCs/>
        </w:rPr>
        <w:t xml:space="preserve"> aptarti </w:t>
      </w:r>
      <w:r w:rsidR="00504764" w:rsidRPr="00571665">
        <w:rPr>
          <w:b/>
          <w:bCs/>
        </w:rPr>
        <w:t>teisiniai santykiai</w:t>
      </w:r>
    </w:p>
    <w:p w:rsidR="00D8111E" w:rsidRPr="00571665" w:rsidRDefault="00D20294" w:rsidP="000661A9">
      <w:pPr>
        <w:tabs>
          <w:tab w:val="left" w:pos="709"/>
        </w:tabs>
        <w:ind w:firstLine="720"/>
        <w:jc w:val="both"/>
        <w:rPr>
          <w:color w:val="000000"/>
        </w:rPr>
      </w:pPr>
      <w:r w:rsidRPr="00571665">
        <w:rPr>
          <w:color w:val="000000"/>
        </w:rPr>
        <w:t xml:space="preserve">Šiuo metu </w:t>
      </w:r>
      <w:r w:rsidR="00D8111E" w:rsidRPr="00571665">
        <w:rPr>
          <w:color w:val="000000"/>
        </w:rPr>
        <w:t>nė</w:t>
      </w:r>
      <w:r w:rsidR="00724D9E">
        <w:rPr>
          <w:color w:val="000000"/>
        </w:rPr>
        <w:t>r</w:t>
      </w:r>
      <w:r w:rsidR="00D8111E" w:rsidRPr="00571665">
        <w:rPr>
          <w:color w:val="000000"/>
        </w:rPr>
        <w:t xml:space="preserve">a priimto vieno dokumento, kuriame būtų apibrėžta ilgalaikė </w:t>
      </w:r>
      <w:r w:rsidR="00697632" w:rsidRPr="00571665">
        <w:rPr>
          <w:color w:val="000000"/>
        </w:rPr>
        <w:t xml:space="preserve">viso </w:t>
      </w:r>
      <w:r w:rsidR="00D8111E" w:rsidRPr="00571665">
        <w:rPr>
          <w:color w:val="000000"/>
        </w:rPr>
        <w:t xml:space="preserve">viešojo sektoriaus darbuotojų darbo užmokesčio finansavimo </w:t>
      </w:r>
      <w:r w:rsidR="00697632" w:rsidRPr="00571665">
        <w:rPr>
          <w:color w:val="000000"/>
        </w:rPr>
        <w:t>politika</w:t>
      </w:r>
      <w:r w:rsidR="00D8111E" w:rsidRPr="00571665">
        <w:rPr>
          <w:color w:val="000000"/>
        </w:rPr>
        <w:t xml:space="preserve"> valstybės mastu.</w:t>
      </w:r>
    </w:p>
    <w:p w:rsidR="00E511CB" w:rsidRPr="00E511CB" w:rsidRDefault="00E511CB" w:rsidP="00E511CB">
      <w:pPr>
        <w:tabs>
          <w:tab w:val="left" w:pos="709"/>
        </w:tabs>
        <w:ind w:firstLine="720"/>
        <w:jc w:val="both"/>
        <w:rPr>
          <w:color w:val="000000"/>
        </w:rPr>
      </w:pPr>
      <w:r w:rsidRPr="00E511CB">
        <w:rPr>
          <w:color w:val="000000"/>
        </w:rPr>
        <w:t xml:space="preserve">Viešojo sektoriaus darbuotojų darbo apmokėjimą Lietuvoje reglamentuoja įvairūs teisės aktai, kuriuose numatytos skirtingos darbo apmokėjimo sąlygos. </w:t>
      </w:r>
    </w:p>
    <w:p w:rsidR="00E511CB" w:rsidRPr="00E511CB" w:rsidRDefault="00E511CB" w:rsidP="00E511CB">
      <w:pPr>
        <w:tabs>
          <w:tab w:val="left" w:pos="709"/>
        </w:tabs>
        <w:ind w:firstLine="720"/>
        <w:jc w:val="both"/>
        <w:rPr>
          <w:color w:val="000000"/>
        </w:rPr>
      </w:pPr>
      <w:r w:rsidRPr="00E511CB">
        <w:rPr>
          <w:color w:val="000000"/>
        </w:rPr>
        <w:t xml:space="preserve">Valstybės ir savivaldybių biudžetinių įstaigų darbuotojų, valstybės politikų ir valstybės pareigūnų, valstybės tarnautojų, vidaus tarnybos sistemos pareigūnų, teisėjų, prokurorų, Specialiųjų tyrimų tarnybos pareigūnų, diplomatų, mokslo darbuotojų ir kitų darbuotojų darbo apmokėjimas reglamentuotas atskiruose įstatymuose. Nors 31 proc. (90 tūkst.) viešojo sektoriaus darbuotojų dirba viešosiose įstaigose, kurių dalininkės yra valstybė arba savivaldybės, šių įstaigų darbuotojų, išskyrus vadovus, darbo apmokėjimo, be Lietuvos Respublikos darbo kodekso nuostatų, jokie specialieji įstatymai ar Vyriausybės nutarimai nereglamentuoja. Toks išbalansuotas darbo apmokėjimo reglamentavimas sudaro prielaidas darbo užmokesčio disproporcijoms. Pastebima tendencija atskirų viešojo sektoriaus sričių darbuotojų darbo apmokėjimą reglamentuoti atskirais įstatymais ir darbo užmokestį sieti ne su bendru viso viešojo sektoriaus pareiginės algos baziniu dydžiu, o su kitais dydžiais, pvz., su šalies vidutiniu darbo užmokesčiu ar atitinkamo sektoriaus vidutiniu darbo užmokesčiu. </w:t>
      </w:r>
    </w:p>
    <w:p w:rsidR="00E511CB" w:rsidRPr="00E511CB" w:rsidRDefault="00E511CB" w:rsidP="00E511CB">
      <w:pPr>
        <w:tabs>
          <w:tab w:val="left" w:pos="709"/>
        </w:tabs>
        <w:ind w:firstLine="720"/>
        <w:jc w:val="both"/>
        <w:rPr>
          <w:color w:val="000000"/>
        </w:rPr>
      </w:pPr>
      <w:r w:rsidRPr="00E511CB">
        <w:rPr>
          <w:color w:val="000000"/>
        </w:rPr>
        <w:t xml:space="preserve">Viešojo sektoriaus darbuotojų darbo apmokėjimo reglamentavimas fragmentiškas, trūksta sisteminio požiūrio, darbuotojams (tiek vadovams, tiek einantiesiems žemesnes pareigas) nustatytas gana didelis pareiginės algos koeficientų intervalas (vadinamosios „žirklės“). Viešojo sektoriaus darbuotojų darbo užmokesčio skirtumai dažnai nepagrįsti ir neparodo konkrečių pareigybių darbo sudėtingumo bei atsakomybės lygio, darbo užmokestis už tokio pat sudėtingumo ir tokios pat kvalifikacijos darbą – gerokai netolygus. </w:t>
      </w:r>
    </w:p>
    <w:p w:rsidR="00E511CB" w:rsidRDefault="00E511CB" w:rsidP="00E511CB">
      <w:pPr>
        <w:tabs>
          <w:tab w:val="left" w:pos="709"/>
        </w:tabs>
        <w:ind w:firstLine="720"/>
        <w:jc w:val="both"/>
        <w:rPr>
          <w:color w:val="000000"/>
        </w:rPr>
      </w:pPr>
      <w:r w:rsidRPr="00E511CB">
        <w:rPr>
          <w:color w:val="000000"/>
        </w:rPr>
        <w:t xml:space="preserve">Smarkiai – net 5,6 karto (2018 m. HAY Group duomenys) Lietuvoje skiriasi vadovaujančių ir žemesnes pareigas einančių darbuotojų darbo užmokestis. Vakarų Europoje šis </w:t>
      </w:r>
      <w:r w:rsidRPr="00E511CB">
        <w:rPr>
          <w:color w:val="000000"/>
        </w:rPr>
        <w:lastRenderedPageBreak/>
        <w:t xml:space="preserve">skirtumas – 3 kartai, Skandinavijoje – 2,5 karto. Be to, 2017 m. spalio duomenis, Lietuvoje mažesnį nei vidutinį darbo užmokestį gauna apie 64 proc. dirbusiųjų visą laiką. Tai kelia įtampą tarp skirtingų pajamų darbuotojų grupių, mažina jų motyvaciją, didina socialinę atskirtį. </w:t>
      </w:r>
    </w:p>
    <w:p w:rsidR="00261EA1" w:rsidRDefault="00E511CB" w:rsidP="009A6AB2">
      <w:pPr>
        <w:tabs>
          <w:tab w:val="left" w:pos="709"/>
        </w:tabs>
        <w:ind w:firstLine="720"/>
        <w:jc w:val="both"/>
        <w:rPr>
          <w:color w:val="000000"/>
        </w:rPr>
      </w:pPr>
      <w:r w:rsidRPr="00E511CB">
        <w:rPr>
          <w:color w:val="000000"/>
        </w:rPr>
        <w:t xml:space="preserve">Viso viešojo sektoriaus, su nedidelėmis išimtimis, darbuotojų darbo užmokestis yra skaičiuojamas pareiginės algos koeficientus dauginant iš pareiginės algos bazinio dydžio (toliau – bazinis dydis), kuris iki ekonominės krizės 2008 m. buvo 142 eurai (2019 m. konsolidavus mokesčius  turėtų būti 183 eurai). Bazinis dydis 2009 m. buvo sumažintas ir iki šios dienos nėra visiškai atkurtas. Nuo 2019 m. sausio 1 d. galioja 134,2 euro bazinis dydis (konsolidavus mokesčius – 173 eurai). </w:t>
      </w:r>
    </w:p>
    <w:p w:rsidR="00A200CB" w:rsidRPr="00571665" w:rsidRDefault="00A200CB" w:rsidP="009A6AB2">
      <w:pPr>
        <w:tabs>
          <w:tab w:val="left" w:pos="709"/>
        </w:tabs>
        <w:ind w:firstLine="720"/>
        <w:jc w:val="both"/>
        <w:rPr>
          <w:color w:val="000000"/>
        </w:rPr>
      </w:pPr>
    </w:p>
    <w:p w:rsidR="00FA0429" w:rsidRPr="00571665" w:rsidRDefault="000526C7" w:rsidP="00100624">
      <w:pPr>
        <w:tabs>
          <w:tab w:val="left" w:pos="709"/>
          <w:tab w:val="left" w:pos="2592"/>
          <w:tab w:val="left" w:pos="3888"/>
          <w:tab w:val="left" w:pos="5185"/>
          <w:tab w:val="left" w:pos="6481"/>
          <w:tab w:val="left" w:pos="7777"/>
          <w:tab w:val="left" w:pos="9072"/>
          <w:tab w:val="left" w:pos="10335"/>
        </w:tabs>
        <w:suppressAutoHyphens/>
        <w:ind w:firstLine="720"/>
        <w:contextualSpacing/>
        <w:jc w:val="both"/>
        <w:rPr>
          <w:b/>
          <w:bCs/>
        </w:rPr>
      </w:pPr>
      <w:r w:rsidRPr="00571665">
        <w:rPr>
          <w:b/>
          <w:bCs/>
        </w:rPr>
        <w:t xml:space="preserve">4. </w:t>
      </w:r>
      <w:r w:rsidR="007A550C" w:rsidRPr="00571665">
        <w:rPr>
          <w:b/>
          <w:bCs/>
        </w:rPr>
        <w:t>Kokios s</w:t>
      </w:r>
      <w:r w:rsidR="00504764" w:rsidRPr="00571665">
        <w:rPr>
          <w:b/>
          <w:bCs/>
        </w:rPr>
        <w:t xml:space="preserve">iūlomos </w:t>
      </w:r>
      <w:r w:rsidRPr="00571665">
        <w:rPr>
          <w:b/>
          <w:bCs/>
        </w:rPr>
        <w:t xml:space="preserve">naujos teisinio </w:t>
      </w:r>
      <w:r w:rsidR="002B0F44" w:rsidRPr="00571665">
        <w:rPr>
          <w:b/>
          <w:bCs/>
        </w:rPr>
        <w:t>reguliavimo</w:t>
      </w:r>
      <w:r w:rsidRPr="00571665">
        <w:rPr>
          <w:b/>
          <w:bCs/>
        </w:rPr>
        <w:t xml:space="preserve"> nuostatos</w:t>
      </w:r>
      <w:r w:rsidR="00AD59E9" w:rsidRPr="00571665">
        <w:rPr>
          <w:b/>
          <w:bCs/>
        </w:rPr>
        <w:t xml:space="preserve"> ir </w:t>
      </w:r>
      <w:r w:rsidR="00AD59E9" w:rsidRPr="00846827">
        <w:rPr>
          <w:b/>
          <w:bCs/>
        </w:rPr>
        <w:t>kokių teigiamų rezultatų laukiama</w:t>
      </w:r>
    </w:p>
    <w:p w:rsidR="002F43BA" w:rsidRPr="00571665" w:rsidRDefault="009671D7" w:rsidP="00A91639">
      <w:pPr>
        <w:tabs>
          <w:tab w:val="left" w:pos="709"/>
          <w:tab w:val="left" w:pos="2592"/>
          <w:tab w:val="left" w:pos="3888"/>
          <w:tab w:val="left" w:pos="5185"/>
          <w:tab w:val="left" w:pos="6481"/>
          <w:tab w:val="left" w:pos="7777"/>
          <w:tab w:val="left" w:pos="9072"/>
          <w:tab w:val="left" w:pos="10335"/>
        </w:tabs>
        <w:suppressAutoHyphens/>
        <w:contextualSpacing/>
        <w:jc w:val="both"/>
        <w:rPr>
          <w:bCs/>
        </w:rPr>
      </w:pPr>
      <w:r w:rsidRPr="00571665">
        <w:rPr>
          <w:bCs/>
        </w:rPr>
        <w:tab/>
      </w:r>
      <w:r w:rsidR="0068589C" w:rsidRPr="00571665">
        <w:t>Nutarimo projektu siūlomo</w:t>
      </w:r>
      <w:r w:rsidR="00A95725" w:rsidRPr="00571665">
        <w:t>s</w:t>
      </w:r>
      <w:r w:rsidR="0068589C" w:rsidRPr="00571665">
        <w:t xml:space="preserve"> patvirtinti Strategijo</w:t>
      </w:r>
      <w:r w:rsidR="00A95725" w:rsidRPr="00571665">
        <w:t xml:space="preserve">s II skyriuje pateikiama </w:t>
      </w:r>
      <w:r w:rsidR="0068589C" w:rsidRPr="00571665">
        <w:t xml:space="preserve">esamos situacijos </w:t>
      </w:r>
      <w:r w:rsidR="00A95725" w:rsidRPr="00571665">
        <w:t xml:space="preserve">apžvalga (viešojo sektoriaus darbo apmokėjimo reglamentavimas, </w:t>
      </w:r>
      <w:r w:rsidR="001430D6" w:rsidRPr="00571665">
        <w:t>analizė, darbo užmokesčio palyginimas tarptautiniame kontekste)</w:t>
      </w:r>
      <w:r w:rsidR="0068589C" w:rsidRPr="00571665">
        <w:t xml:space="preserve"> bei </w:t>
      </w:r>
      <w:r w:rsidR="001430D6" w:rsidRPr="00571665">
        <w:t xml:space="preserve">Strategijos III skyriuje </w:t>
      </w:r>
      <w:r w:rsidR="0068589C" w:rsidRPr="00571665">
        <w:t>įvard</w:t>
      </w:r>
      <w:r w:rsidR="001430D6" w:rsidRPr="00571665">
        <w:t xml:space="preserve">ijamos </w:t>
      </w:r>
      <w:r w:rsidR="0068589C" w:rsidRPr="00571665">
        <w:t xml:space="preserve">pagrindinės </w:t>
      </w:r>
      <w:r w:rsidR="002F43BA" w:rsidRPr="00571665">
        <w:t xml:space="preserve">atskirų sektorių </w:t>
      </w:r>
      <w:r w:rsidR="001430D6" w:rsidRPr="00571665">
        <w:rPr>
          <w:color w:val="000000"/>
        </w:rPr>
        <w:t>–</w:t>
      </w:r>
      <w:r w:rsidR="002F43BA" w:rsidRPr="00571665">
        <w:t xml:space="preserve"> viešojo valdymo, švietimo, sveikatos apsaugos, kultūros, socialinės apsaugos </w:t>
      </w:r>
      <w:r w:rsidR="001430D6" w:rsidRPr="00571665">
        <w:t>–efektyvumo ir finansavimo problemos.</w:t>
      </w:r>
    </w:p>
    <w:p w:rsidR="00A91639" w:rsidRPr="00571665" w:rsidRDefault="002F43BA" w:rsidP="00D94CFD">
      <w:pPr>
        <w:tabs>
          <w:tab w:val="left" w:pos="709"/>
          <w:tab w:val="left" w:pos="2592"/>
          <w:tab w:val="left" w:pos="3888"/>
          <w:tab w:val="left" w:pos="5185"/>
          <w:tab w:val="left" w:pos="6481"/>
          <w:tab w:val="left" w:pos="7777"/>
          <w:tab w:val="left" w:pos="9072"/>
          <w:tab w:val="left" w:pos="10335"/>
        </w:tabs>
        <w:suppressAutoHyphens/>
        <w:spacing w:after="120"/>
        <w:jc w:val="both"/>
        <w:rPr>
          <w:bCs/>
        </w:rPr>
      </w:pPr>
      <w:r w:rsidRPr="00571665">
        <w:rPr>
          <w:bCs/>
        </w:rPr>
        <w:tab/>
      </w:r>
      <w:r w:rsidR="009671D7" w:rsidRPr="00571665">
        <w:rPr>
          <w:bCs/>
        </w:rPr>
        <w:t>Strategijo</w:t>
      </w:r>
      <w:r w:rsidR="0060193C" w:rsidRPr="00571665">
        <w:rPr>
          <w:bCs/>
        </w:rPr>
        <w:t xml:space="preserve">s V skyriuje </w:t>
      </w:r>
      <w:r w:rsidR="00E2166B">
        <w:rPr>
          <w:bCs/>
        </w:rPr>
        <w:t xml:space="preserve">pateikiami </w:t>
      </w:r>
      <w:r w:rsidR="00E2166B" w:rsidRPr="00E2166B">
        <w:rPr>
          <w:bCs/>
        </w:rPr>
        <w:t>pasiūlymai dėl viešojo sektoriaus darbuotojų darbo apmokėjimo gerinimo 2020 m. ir laikotarpiu iki 2025 m. – bazinio dydžio didinimo, mažiausių pareiginių algų didinimo, atskirų sektorių darbuotojų darbo užmokesčio didinimo, bendrų priemonių, skirtų viso viešojo sektoriaus ir atskirų jo sričių darbuotojų darbo užmokesčiui didinti, taip pat kiti darbo apmokėjimo gerinimo pasiūlymai, siejant juos su sektorių veiklos rodikliais ir vykdomomis struktūrinėmis reformomis.</w:t>
      </w:r>
    </w:p>
    <w:p w:rsidR="009671D7" w:rsidRPr="00571665" w:rsidRDefault="00A91639" w:rsidP="00A91639">
      <w:pPr>
        <w:tabs>
          <w:tab w:val="left" w:pos="709"/>
          <w:tab w:val="left" w:pos="2592"/>
          <w:tab w:val="left" w:pos="3888"/>
          <w:tab w:val="left" w:pos="5185"/>
          <w:tab w:val="left" w:pos="6481"/>
          <w:tab w:val="left" w:pos="7777"/>
          <w:tab w:val="left" w:pos="9072"/>
          <w:tab w:val="left" w:pos="10335"/>
        </w:tabs>
        <w:suppressAutoHyphens/>
        <w:contextualSpacing/>
        <w:jc w:val="both"/>
      </w:pPr>
      <w:r w:rsidRPr="00571665">
        <w:tab/>
        <w:t>Siūloma:</w:t>
      </w:r>
      <w:r w:rsidRPr="00571665">
        <w:tab/>
      </w:r>
    </w:p>
    <w:p w:rsidR="009671D7" w:rsidRPr="00571665" w:rsidRDefault="009671D7" w:rsidP="009671D7">
      <w:pPr>
        <w:pStyle w:val="Sraopastraipa"/>
        <w:numPr>
          <w:ilvl w:val="0"/>
          <w:numId w:val="12"/>
        </w:numPr>
        <w:ind w:left="284" w:hanging="284"/>
        <w:jc w:val="both"/>
      </w:pPr>
      <w:r w:rsidRPr="00571665">
        <w:rPr>
          <w:b/>
        </w:rPr>
        <w:t xml:space="preserve">Padidinti mažiausias biudžetinių įstaigų darbuotojų algas užtikrinant, kad: </w:t>
      </w:r>
    </w:p>
    <w:p w:rsidR="009671D7" w:rsidRPr="00571665" w:rsidRDefault="009671D7" w:rsidP="009671D7">
      <w:pPr>
        <w:pStyle w:val="Sraopastraipa"/>
        <w:numPr>
          <w:ilvl w:val="1"/>
          <w:numId w:val="13"/>
        </w:numPr>
        <w:ind w:left="426" w:hanging="284"/>
        <w:jc w:val="both"/>
      </w:pPr>
      <w:r w:rsidRPr="00571665">
        <w:t>už aukštesnės kvalifikacijos darbą būtų mokamas didesnis darbo užmokestis;</w:t>
      </w:r>
    </w:p>
    <w:p w:rsidR="009671D7" w:rsidRPr="00571665" w:rsidRDefault="009671D7" w:rsidP="009671D7">
      <w:pPr>
        <w:pStyle w:val="Sraopastraipa"/>
        <w:numPr>
          <w:ilvl w:val="1"/>
          <w:numId w:val="13"/>
        </w:numPr>
        <w:ind w:left="426" w:hanging="284"/>
        <w:jc w:val="both"/>
      </w:pPr>
      <w:r w:rsidRPr="00571665">
        <w:t>mažėtų disproporcijos tarp skirtingų lygių (A, B, C), skirtingų grupių pareigybių pareiginės algos koeficientų;</w:t>
      </w:r>
    </w:p>
    <w:p w:rsidR="009671D7" w:rsidRPr="00571665" w:rsidRDefault="009671D7" w:rsidP="009671D7">
      <w:pPr>
        <w:pStyle w:val="Sraopastraipa"/>
        <w:numPr>
          <w:ilvl w:val="1"/>
          <w:numId w:val="13"/>
        </w:numPr>
        <w:ind w:left="426" w:hanging="284"/>
        <w:jc w:val="both"/>
      </w:pPr>
      <w:r w:rsidRPr="00571665">
        <w:t>mažėtų darbo užmokesčio atotrūkis tarp vadovaujančių ir žemesnes pareigas einančių darbuotojų;</w:t>
      </w:r>
    </w:p>
    <w:p w:rsidR="009671D7" w:rsidRPr="00571665" w:rsidRDefault="009671D7" w:rsidP="009671D7">
      <w:pPr>
        <w:pStyle w:val="Sraopastraipa"/>
        <w:numPr>
          <w:ilvl w:val="1"/>
          <w:numId w:val="13"/>
        </w:numPr>
        <w:spacing w:after="120"/>
        <w:ind w:left="426" w:hanging="284"/>
        <w:jc w:val="both"/>
        <w:rPr>
          <w:b/>
        </w:rPr>
      </w:pPr>
      <w:r w:rsidRPr="00571665">
        <w:t>atitiktume Europos socialinės chartijos nuostatas dėl minimalaus darbo užmokesčio:</w:t>
      </w:r>
    </w:p>
    <w:p w:rsidR="009671D7" w:rsidRPr="00571665" w:rsidRDefault="009671D7" w:rsidP="00A200CB">
      <w:pPr>
        <w:ind w:left="142"/>
        <w:jc w:val="both"/>
      </w:pPr>
      <w:r w:rsidRPr="00571665">
        <w:t>ir</w:t>
      </w:r>
      <w:r w:rsidRPr="00571665">
        <w:rPr>
          <w:b/>
        </w:rPr>
        <w:t xml:space="preserve"> mažiausia kvalifikuoto darbuotojo pareiginė alga (jos pastovioji dalis)</w:t>
      </w:r>
      <w:r w:rsidR="00A200CB">
        <w:rPr>
          <w:b/>
        </w:rPr>
        <w:t xml:space="preserve"> </w:t>
      </w:r>
      <w:r w:rsidRPr="00571665">
        <w:rPr>
          <w:b/>
        </w:rPr>
        <w:t>2020 m. sudarytų ne mažiau kaip 50 proc. einamųjų metų šalies VDU</w:t>
      </w:r>
      <w:r w:rsidRPr="00571665">
        <w:t xml:space="preserve"> ir padidėtų pareiginės algos koeficientų skirtumai tarp skirtingų lygių, grupių pareigybių</w:t>
      </w:r>
      <w:r w:rsidR="00A200CB">
        <w:t xml:space="preserve">, o </w:t>
      </w:r>
      <w:r w:rsidRPr="00A200CB">
        <w:t>2025 m. – ne mažiau kaip 60 proc. einamųjų metų šalies VDU</w:t>
      </w:r>
      <w:r w:rsidRPr="00571665">
        <w:t xml:space="preserve"> ir proporcingai padidėtų skirtingų lygių, grupių darbuotojų pareigybių minimalūs koeficientai bei tam tikru procentu (10-15 proc.) padidėtų ir maksimalūs skirtingų lygių, grupių darbuotojų pareigybių koeficientai.</w:t>
      </w:r>
    </w:p>
    <w:p w:rsidR="009671D7" w:rsidRPr="00571665" w:rsidRDefault="009671D7" w:rsidP="009671D7">
      <w:pPr>
        <w:spacing w:after="120"/>
        <w:ind w:firstLine="284"/>
        <w:jc w:val="both"/>
      </w:pPr>
      <w:r w:rsidRPr="00571665">
        <w:t>Konkretūs pasiūlymai dėl koeficientų nustatymo galėtų būti numatomi nacionalinėje kolektyvinėje sutartyje, vėliau sutartus dydžius įtvirtinant įstatymuose.</w:t>
      </w:r>
    </w:p>
    <w:p w:rsidR="009671D7" w:rsidRPr="00571665" w:rsidRDefault="009671D7" w:rsidP="009671D7">
      <w:pPr>
        <w:jc w:val="both"/>
        <w:rPr>
          <w:b/>
        </w:rPr>
      </w:pPr>
      <w:r w:rsidRPr="00571665">
        <w:rPr>
          <w:b/>
        </w:rPr>
        <w:t>2. Numatyti atskirų sektorių darbuotojų darbo užmokesčio didinimą:</w:t>
      </w:r>
    </w:p>
    <w:p w:rsidR="009671D7" w:rsidRPr="004256C6" w:rsidRDefault="009671D7" w:rsidP="009671D7">
      <w:pPr>
        <w:pStyle w:val="Sraopastraipa"/>
        <w:numPr>
          <w:ilvl w:val="0"/>
          <w:numId w:val="15"/>
        </w:numPr>
        <w:spacing w:after="120"/>
        <w:ind w:left="284" w:hanging="284"/>
        <w:jc w:val="both"/>
      </w:pPr>
      <w:r w:rsidRPr="004256C6">
        <w:t xml:space="preserve">nuo 2020 m. rugsėjo 1 d. ir nuo 2021 m. rugsėjo 1 d. </w:t>
      </w:r>
      <w:r w:rsidRPr="004256C6">
        <w:rPr>
          <w:u w:val="single"/>
        </w:rPr>
        <w:t>mokytojų</w:t>
      </w:r>
      <w:r w:rsidRPr="004256C6">
        <w:t xml:space="preserve"> (bendrojo ugdymo, neformaliojo švietimo, profesinio mokymo) pareiginės algos pastoviosios dalies koeficientus padidinti po 10 proc. ir siekti, kad 2025 m. mokytojų VDU sudarytų 130 proc. šalies VDU; </w:t>
      </w:r>
    </w:p>
    <w:p w:rsidR="009671D7" w:rsidRPr="004256C6" w:rsidRDefault="009671D7" w:rsidP="009671D7">
      <w:pPr>
        <w:pStyle w:val="Sraopastraipa"/>
        <w:numPr>
          <w:ilvl w:val="0"/>
          <w:numId w:val="15"/>
        </w:numPr>
        <w:spacing w:after="120"/>
        <w:ind w:left="284" w:hanging="284"/>
        <w:jc w:val="both"/>
      </w:pPr>
      <w:r w:rsidRPr="004256C6">
        <w:t xml:space="preserve">sparčiau didinti </w:t>
      </w:r>
      <w:r w:rsidRPr="004256C6">
        <w:rPr>
          <w:u w:val="single"/>
        </w:rPr>
        <w:t>ikimokyklinio ir priešmokyklinio ugdymo mokytojų</w:t>
      </w:r>
      <w:r w:rsidRPr="004256C6">
        <w:t xml:space="preserve"> darbo užmokestį, siekiant kad išnyktų atotrūkis nuo bendrojo ugdymo mokytojų darbo užmokesčio. </w:t>
      </w:r>
      <w:r w:rsidR="008B7BCA" w:rsidRPr="004256C6">
        <w:t>N</w:t>
      </w:r>
      <w:r w:rsidRPr="004256C6">
        <w:t xml:space="preserve">uo 2020 m. sausio 1 d. </w:t>
      </w:r>
      <w:r w:rsidR="008B7BCA" w:rsidRPr="004256C6">
        <w:t xml:space="preserve">siūloma </w:t>
      </w:r>
      <w:r w:rsidRPr="004256C6">
        <w:t>padidinti 15 proc., o nuo 2021 m. sausio 1 d. – 13 proc.;</w:t>
      </w:r>
    </w:p>
    <w:p w:rsidR="0089307D" w:rsidRPr="004256C6" w:rsidRDefault="009671D7" w:rsidP="009671D7">
      <w:pPr>
        <w:pStyle w:val="Sraopastraipa"/>
        <w:numPr>
          <w:ilvl w:val="0"/>
          <w:numId w:val="15"/>
        </w:numPr>
        <w:spacing w:after="120"/>
        <w:ind w:left="284" w:hanging="284"/>
        <w:jc w:val="both"/>
      </w:pPr>
      <w:r w:rsidRPr="004256C6">
        <w:t xml:space="preserve">nuosekliai didinti </w:t>
      </w:r>
      <w:r w:rsidRPr="004256C6">
        <w:rPr>
          <w:u w:val="single"/>
        </w:rPr>
        <w:t>švietimo pagalbos specialistų</w:t>
      </w:r>
      <w:r w:rsidRPr="004256C6">
        <w:t xml:space="preserve"> (įskaitant mokyklų bibliotekininkus), mokyklų vadovų ir kitų pedagoginių darbuotojų darbo užmokestį</w:t>
      </w:r>
      <w:r w:rsidR="008B7BCA" w:rsidRPr="004256C6">
        <w:t>;</w:t>
      </w:r>
      <w:r w:rsidRPr="004256C6">
        <w:t xml:space="preserve"> </w:t>
      </w:r>
    </w:p>
    <w:p w:rsidR="009671D7" w:rsidRPr="004256C6" w:rsidRDefault="004256C6" w:rsidP="009671D7">
      <w:pPr>
        <w:pStyle w:val="Sraopastraipa"/>
        <w:numPr>
          <w:ilvl w:val="0"/>
          <w:numId w:val="15"/>
        </w:numPr>
        <w:spacing w:after="120"/>
        <w:ind w:left="284" w:hanging="284"/>
        <w:jc w:val="both"/>
      </w:pPr>
      <w:r w:rsidRPr="004256C6">
        <w:lastRenderedPageBreak/>
        <w:t xml:space="preserve">sudaryti sąlygas nuosekliai didinti </w:t>
      </w:r>
      <w:r w:rsidRPr="004256C6">
        <w:rPr>
          <w:u w:val="single"/>
        </w:rPr>
        <w:t>dėstytojų, mokslo darbuotojų ir kitų tyrėjų</w:t>
      </w:r>
      <w:r w:rsidRPr="004256C6">
        <w:t xml:space="preserve"> darbo užmokestį, nuo 2020 m. kasmet didinant etatinį (bazinį) darbo užmokestį ne mažiau kaip 10 proc., ir siekti, kad 2025 m. šių darbuotojų VDU sudarytų 150 proc. šalies VDU</w:t>
      </w:r>
      <w:r w:rsidR="009671D7" w:rsidRPr="004256C6">
        <w:t xml:space="preserve">; </w:t>
      </w:r>
    </w:p>
    <w:p w:rsidR="008B7BCA" w:rsidRPr="004256C6" w:rsidRDefault="0089307D" w:rsidP="00B6741B">
      <w:pPr>
        <w:pStyle w:val="Sraopastraipa"/>
        <w:numPr>
          <w:ilvl w:val="0"/>
          <w:numId w:val="15"/>
        </w:numPr>
        <w:spacing w:after="120"/>
        <w:ind w:left="284" w:hanging="284"/>
        <w:jc w:val="both"/>
        <w:textAlignment w:val="baseline"/>
      </w:pPr>
      <w:r w:rsidRPr="004256C6">
        <w:t xml:space="preserve">2020 m. įgyvendinti sveikatos sistemos šakos kolektyvinės sutarties nuostatas – siekti, kad </w:t>
      </w:r>
      <w:r w:rsidRPr="004256C6">
        <w:rPr>
          <w:u w:val="single"/>
        </w:rPr>
        <w:t>gydytojų</w:t>
      </w:r>
      <w:r w:rsidRPr="004256C6">
        <w:t xml:space="preserve"> VDU (bruto) 2020 m. antrojo pusmečio pradžioje būtų ne mažesnis kaip 3 250 eurų, </w:t>
      </w:r>
      <w:r w:rsidRPr="004256C6">
        <w:rPr>
          <w:u w:val="single"/>
        </w:rPr>
        <w:t>slaugytojų</w:t>
      </w:r>
      <w:r w:rsidRPr="004256C6">
        <w:t xml:space="preserve"> – ne mažesnis kaip 1 625 eurai. Ateityje išlaikyti tvarią gydytojų ir slaugytojų darbo užmokesčio didinimo proporciją – užtikrinti, kad iki 2025 m. gydytojų darbo užmokestis bus lygus 3 VDU, o slaugytojų – 1,5 VDU (skaičiuojant einamųjų metų VDU)</w:t>
      </w:r>
      <w:r w:rsidR="004256C6" w:rsidRPr="004256C6">
        <w:t>;</w:t>
      </w:r>
      <w:r w:rsidRPr="004256C6">
        <w:t xml:space="preserve"> </w:t>
      </w:r>
    </w:p>
    <w:p w:rsidR="008B7BCA" w:rsidRPr="004256C6" w:rsidRDefault="008B7BCA" w:rsidP="00B6741B">
      <w:pPr>
        <w:pStyle w:val="Sraopastraipa"/>
        <w:numPr>
          <w:ilvl w:val="0"/>
          <w:numId w:val="15"/>
        </w:numPr>
        <w:spacing w:after="120"/>
        <w:ind w:left="284" w:hanging="284"/>
        <w:jc w:val="both"/>
        <w:textAlignment w:val="baseline"/>
      </w:pPr>
      <w:r w:rsidRPr="004256C6">
        <w:t xml:space="preserve">sudaryti sąlygas nuosekliai didinti </w:t>
      </w:r>
      <w:r w:rsidRPr="004256C6">
        <w:rPr>
          <w:u w:val="single"/>
        </w:rPr>
        <w:t>kitų asmens sveikatos ir visuomenės sveikatos priežiūros specialistų, teismo psichiatrų ekspertų ir teismo medicinos ekspertų</w:t>
      </w:r>
      <w:r w:rsidRPr="004256C6">
        <w:t xml:space="preserve"> darbo užmokestį.</w:t>
      </w:r>
    </w:p>
    <w:p w:rsidR="003B1EC0" w:rsidRPr="004256C6" w:rsidRDefault="009671D7" w:rsidP="00B6741B">
      <w:pPr>
        <w:pStyle w:val="Sraopastraipa"/>
        <w:numPr>
          <w:ilvl w:val="0"/>
          <w:numId w:val="15"/>
        </w:numPr>
        <w:spacing w:after="120"/>
        <w:ind w:left="284" w:hanging="284"/>
        <w:jc w:val="both"/>
        <w:textAlignment w:val="baseline"/>
      </w:pPr>
      <w:r w:rsidRPr="004256C6">
        <w:t xml:space="preserve">2020 m. </w:t>
      </w:r>
      <w:r w:rsidR="002A46B5" w:rsidRPr="004256C6">
        <w:t xml:space="preserve">ne mažiau kaip </w:t>
      </w:r>
      <w:r w:rsidRPr="004256C6">
        <w:t xml:space="preserve">15 proc. padidinti </w:t>
      </w:r>
      <w:r w:rsidRPr="004256C6">
        <w:rPr>
          <w:u w:val="single"/>
        </w:rPr>
        <w:t>kultūros ir meno darbuotojų</w:t>
      </w:r>
      <w:r w:rsidRPr="004256C6">
        <w:t xml:space="preserve"> darbo užmokestį, o po to kasmet didinti po 5-7 proc. ir siekti, kad iki 2025 m. kultūros ir meno darbuotojų </w:t>
      </w:r>
      <w:r w:rsidR="002A46B5" w:rsidRPr="004256C6">
        <w:t xml:space="preserve">vidutinis </w:t>
      </w:r>
      <w:r w:rsidRPr="004256C6">
        <w:t xml:space="preserve">darbo užmokestis  </w:t>
      </w:r>
      <w:r w:rsidR="008B7BCA" w:rsidRPr="004256C6">
        <w:t>priartėtų</w:t>
      </w:r>
      <w:r w:rsidR="00E32E4D" w:rsidRPr="004256C6">
        <w:t xml:space="preserve"> nei </w:t>
      </w:r>
      <w:r w:rsidRPr="004256C6">
        <w:t>einamųjų metų VDU;</w:t>
      </w:r>
    </w:p>
    <w:p w:rsidR="003B1EC0" w:rsidRPr="004256C6" w:rsidRDefault="00C87B84" w:rsidP="00B6741B">
      <w:pPr>
        <w:pStyle w:val="Sraopastraipa"/>
        <w:numPr>
          <w:ilvl w:val="0"/>
          <w:numId w:val="15"/>
        </w:numPr>
        <w:spacing w:after="120"/>
        <w:ind w:left="284" w:hanging="284"/>
        <w:jc w:val="both"/>
        <w:textAlignment w:val="baseline"/>
      </w:pPr>
      <w:r w:rsidRPr="004256C6">
        <w:t xml:space="preserve">2020 m. 15 proc. padidinti </w:t>
      </w:r>
      <w:r w:rsidRPr="004256C6">
        <w:rPr>
          <w:u w:val="single"/>
        </w:rPr>
        <w:t>socialinių darbuotojų</w:t>
      </w:r>
      <w:r w:rsidRPr="004256C6">
        <w:t xml:space="preserve"> darbo užmokestį ir 12 proc. padidinti </w:t>
      </w:r>
      <w:r w:rsidRPr="004256C6">
        <w:rPr>
          <w:u w:val="single"/>
        </w:rPr>
        <w:t>individualios priežiūros personalo</w:t>
      </w:r>
      <w:r w:rsidRPr="004256C6">
        <w:t xml:space="preserve"> darbo užmokestį, po to kasmet jį didinti atitinkamai po 15 ir 10 proc. ir siekti, kad socialinių paslaugų srities darbuotojų vidutinis darbo užmokestis iki 2025 m. priartėtų prie šalies VDU, taip pat spartesniu tempu didėtų socialinių darbuotojų darbo užmokestis ir iki 2025 m. pasiektų 120 proc. VDU.</w:t>
      </w:r>
      <w:r w:rsidR="003B1EC0" w:rsidRPr="004256C6">
        <w:rPr>
          <w:color w:val="000000"/>
        </w:rPr>
        <w:t>  </w:t>
      </w:r>
      <w:r w:rsidR="003B1EC0" w:rsidRPr="004256C6">
        <w:t> </w:t>
      </w:r>
    </w:p>
    <w:p w:rsidR="009671D7" w:rsidRPr="004256C6" w:rsidRDefault="00C87B84" w:rsidP="009671D7">
      <w:pPr>
        <w:pStyle w:val="Sraopastraipa"/>
        <w:numPr>
          <w:ilvl w:val="0"/>
          <w:numId w:val="15"/>
        </w:numPr>
        <w:spacing w:after="120"/>
        <w:ind w:left="284" w:hanging="284"/>
        <w:jc w:val="both"/>
      </w:pPr>
      <w:r w:rsidRPr="004256C6">
        <w:t xml:space="preserve">2020 m. apie 12 proc. padidinti </w:t>
      </w:r>
      <w:r w:rsidRPr="004256C6">
        <w:rPr>
          <w:u w:val="single"/>
        </w:rPr>
        <w:t>vidaus tarnybos sistemos statutinių valstybės tarnautojų</w:t>
      </w:r>
      <w:r w:rsidRPr="004256C6">
        <w:t xml:space="preserve"> žemiausių 13–15 pareigybių grupių minimalius pareiginės algos koeficientus, o iki 2025 m. padidinti minimalius pareiginės algos koeficientus 6–15 pareigybių grupių darbuotojams</w:t>
      </w:r>
      <w:r w:rsidR="009671D7" w:rsidRPr="004256C6">
        <w:t>;</w:t>
      </w:r>
    </w:p>
    <w:p w:rsidR="009671D7" w:rsidRPr="004256C6" w:rsidRDefault="009671D7" w:rsidP="009671D7">
      <w:pPr>
        <w:pStyle w:val="Sraopastraipa"/>
        <w:numPr>
          <w:ilvl w:val="0"/>
          <w:numId w:val="15"/>
        </w:numPr>
        <w:spacing w:after="120"/>
        <w:ind w:left="284" w:hanging="284"/>
        <w:jc w:val="both"/>
      </w:pPr>
      <w:r w:rsidRPr="004256C6">
        <w:t xml:space="preserve">sistemiškai peržiūrėti valstybės politikų, valstybės pareigūnų bei teisėjų darbo apmokėjimo nuostatas siekiant išlaikyti </w:t>
      </w:r>
      <w:r w:rsidR="009A2DC8" w:rsidRPr="004256C6">
        <w:t xml:space="preserve">jų </w:t>
      </w:r>
      <w:r w:rsidRPr="004256C6">
        <w:t>proporcingumą su kitų viešojo sektoriaus darbo užmokestį reglamentuojančių įstatymų nuostatomis, įvertinant ir atitinkamų pareigybių hierarchiją, darbo sudėtingumą bei atsakomybės lygį</w:t>
      </w:r>
      <w:r w:rsidR="00C87B84" w:rsidRPr="004256C6">
        <w:t xml:space="preserve">; </w:t>
      </w:r>
    </w:p>
    <w:p w:rsidR="00227212" w:rsidRPr="004256C6" w:rsidRDefault="00C87B84" w:rsidP="00D40613">
      <w:pPr>
        <w:pStyle w:val="Sraopastraipa"/>
        <w:numPr>
          <w:ilvl w:val="0"/>
          <w:numId w:val="15"/>
        </w:numPr>
        <w:spacing w:after="120"/>
        <w:ind w:left="284" w:hanging="284"/>
        <w:jc w:val="both"/>
      </w:pPr>
      <w:r w:rsidRPr="004256C6">
        <w:t>užtikrinti subalansuotą darbo užmokesčio santykį tarp atitinkamų grandžių teismų ir prokuratūrų (Lietuvos Aukščiausiojo Teismo – Generalinės prokuratūros, apygardos teismo – apygardos prokuratūros, apylinkės teismo – apylinkės prokuratūros) teisėjų ir prokurorų darbo užmokesčio  – skirtumai turėtų būti ne didesni nei iki 7 proc.</w:t>
      </w:r>
      <w:r w:rsidR="00E769AF" w:rsidRPr="004256C6">
        <w:t>;</w:t>
      </w:r>
      <w:r w:rsidR="009671D7" w:rsidRPr="004256C6">
        <w:t xml:space="preserve"> </w:t>
      </w:r>
    </w:p>
    <w:p w:rsidR="00227212" w:rsidRPr="004256C6" w:rsidRDefault="00227212" w:rsidP="00D40613">
      <w:pPr>
        <w:pStyle w:val="Sraopastraipa"/>
        <w:numPr>
          <w:ilvl w:val="0"/>
          <w:numId w:val="15"/>
        </w:numPr>
        <w:spacing w:after="120"/>
        <w:ind w:left="284" w:hanging="284"/>
        <w:jc w:val="both"/>
      </w:pPr>
      <w:r w:rsidRPr="004256C6">
        <w:t xml:space="preserve">atsižvelgiant </w:t>
      </w:r>
      <w:r w:rsidR="00C87B84" w:rsidRPr="004256C6">
        <w:t>į rinkos priežiūros institucijų (Konkurencijos tarybos, Viešųjų pirkimų tarnybos, Ryšių reguliavimo tarnybos) sprendžiamų klausimų svarbą, sudėtingumą ir poveikį šalies ekonomikai ir konkurencingumui ir siekiant išlaikyti aukštos kompetencijos specialistus, atitinkamai didinti šių institucijų vadovų ir valstybės tarnautojų darbo užmokestį, kad jis atitiktų einamas pareigas ir tenkančią atsakomybę</w:t>
      </w:r>
      <w:r w:rsidR="004256C6">
        <w:t>.</w:t>
      </w:r>
      <w:r w:rsidR="00C87B84" w:rsidRPr="004256C6">
        <w:t xml:space="preserve"> </w:t>
      </w:r>
    </w:p>
    <w:p w:rsidR="00227212" w:rsidRDefault="009671D7" w:rsidP="009671D7">
      <w:pPr>
        <w:spacing w:after="120"/>
        <w:jc w:val="both"/>
      </w:pPr>
      <w:r w:rsidRPr="00571665">
        <w:rPr>
          <w:b/>
        </w:rPr>
        <w:t>3.</w:t>
      </w:r>
      <w:r w:rsidRPr="00571665">
        <w:t xml:space="preserve"> </w:t>
      </w:r>
      <w:r w:rsidR="00227212">
        <w:t>N</w:t>
      </w:r>
      <w:r w:rsidR="00227212" w:rsidRPr="00227212">
        <w:t xml:space="preserve">ustatyti, kad </w:t>
      </w:r>
      <w:r w:rsidR="00227212" w:rsidRPr="004256C6">
        <w:rPr>
          <w:b/>
        </w:rPr>
        <w:t>didžiausias leistinas skirtumas</w:t>
      </w:r>
      <w:r w:rsidR="00227212" w:rsidRPr="00227212">
        <w:t xml:space="preserve"> tarp viešojo sektoriaus įstaigos vadovo ir toje įstaigoje dirbančių darbuotojų darbo užmokesčio vidurkio </w:t>
      </w:r>
      <w:r w:rsidR="00227212" w:rsidRPr="004256C6">
        <w:rPr>
          <w:b/>
        </w:rPr>
        <w:t>neturėtų</w:t>
      </w:r>
      <w:r w:rsidR="009A2DC8" w:rsidRPr="004256C6">
        <w:rPr>
          <w:b/>
        </w:rPr>
        <w:t xml:space="preserve"> 2021 m.</w:t>
      </w:r>
      <w:r w:rsidR="00227212" w:rsidRPr="004256C6">
        <w:rPr>
          <w:b/>
        </w:rPr>
        <w:t xml:space="preserve"> viršyti 5 kartų</w:t>
      </w:r>
      <w:r w:rsidR="00227212" w:rsidRPr="003B1EC0">
        <w:t>, o iki 2025 m. darbo užmokesčio skirtumas neturėtų viršyti 4 kartų.</w:t>
      </w:r>
      <w:r w:rsidR="00227212" w:rsidRPr="00227212">
        <w:t xml:space="preserve"> </w:t>
      </w:r>
    </w:p>
    <w:p w:rsidR="009671D7" w:rsidRPr="00571665" w:rsidRDefault="009671D7" w:rsidP="009671D7">
      <w:pPr>
        <w:spacing w:after="120"/>
        <w:jc w:val="both"/>
        <w:rPr>
          <w:b/>
        </w:rPr>
      </w:pPr>
      <w:r w:rsidRPr="00571665">
        <w:rPr>
          <w:b/>
        </w:rPr>
        <w:t>4.</w:t>
      </w:r>
      <w:r w:rsidRPr="00571665">
        <w:t xml:space="preserve"> </w:t>
      </w:r>
      <w:bookmarkStart w:id="3" w:name="_Hlk2091793"/>
      <w:r w:rsidRPr="00571665">
        <w:t xml:space="preserve">Atsižvelgiant į tai, kad šalia pastoviosios pareiginės algos dalies darbuotojams gali būti mokama kintamoji dalis, kuri turi būti išimtinai skatinamoji ir skiriama už pasiektus darbo rezultatus, tikslinga </w:t>
      </w:r>
      <w:r w:rsidRPr="00571665">
        <w:rPr>
          <w:b/>
        </w:rPr>
        <w:t xml:space="preserve">pareiginės algos kintamąją dalį </w:t>
      </w:r>
      <w:r w:rsidR="00501730" w:rsidRPr="00501730">
        <w:rPr>
          <w:b/>
        </w:rPr>
        <w:t xml:space="preserve">iki 2021 m. </w:t>
      </w:r>
      <w:r w:rsidRPr="00571665">
        <w:rPr>
          <w:b/>
        </w:rPr>
        <w:t>sumažinti nuo 50 proc. iki 30 proc.</w:t>
      </w:r>
      <w:r w:rsidRPr="00571665">
        <w:t xml:space="preserve"> (atitinkamai padidinant pareiginės algos koeficientų viršutines ribas) bei užtikrinant, kad šios nuostatos įsigaliojimo metu nei vienam darbuotojui, kuriam buvo nustatyta pareiginės algos kintamoji dalis, nesumažėtų</w:t>
      </w:r>
      <w:r w:rsidR="00501730">
        <w:t xml:space="preserve"> tais metais</w:t>
      </w:r>
      <w:r w:rsidRPr="00571665">
        <w:t xml:space="preserve"> jo gaunamas darbo užmokestis.</w:t>
      </w:r>
    </w:p>
    <w:bookmarkEnd w:id="3"/>
    <w:p w:rsidR="009671D7" w:rsidRPr="00571665" w:rsidRDefault="009671D7" w:rsidP="009671D7">
      <w:pPr>
        <w:spacing w:line="256" w:lineRule="auto"/>
        <w:jc w:val="both"/>
        <w:rPr>
          <w:b/>
        </w:rPr>
      </w:pPr>
      <w:r w:rsidRPr="00571665">
        <w:rPr>
          <w:b/>
        </w:rPr>
        <w:t xml:space="preserve">5. Pareiginės algos bazinį dydį išlaikyti </w:t>
      </w:r>
      <w:r w:rsidRPr="00571665">
        <w:t xml:space="preserve">viešojo sektoriaus darbuotojų darbo užmokesčio </w:t>
      </w:r>
      <w:r w:rsidR="00501730">
        <w:rPr>
          <w:b/>
        </w:rPr>
        <w:t>pagrindu</w:t>
      </w:r>
      <w:r w:rsidRPr="00571665">
        <w:rPr>
          <w:b/>
        </w:rPr>
        <w:t xml:space="preserve"> </w:t>
      </w:r>
      <w:r w:rsidRPr="00571665">
        <w:t xml:space="preserve">ir </w:t>
      </w:r>
      <w:r w:rsidRPr="00571665">
        <w:rPr>
          <w:b/>
        </w:rPr>
        <w:t>numatyti jo at</w:t>
      </w:r>
      <w:r w:rsidR="00501730">
        <w:rPr>
          <w:b/>
        </w:rPr>
        <w:t xml:space="preserve">kūrimo </w:t>
      </w:r>
      <w:r w:rsidRPr="00571665">
        <w:rPr>
          <w:b/>
        </w:rPr>
        <w:t xml:space="preserve">ir </w:t>
      </w:r>
      <w:r w:rsidR="00501730">
        <w:rPr>
          <w:b/>
        </w:rPr>
        <w:t>didinimo</w:t>
      </w:r>
      <w:r w:rsidRPr="00571665">
        <w:rPr>
          <w:b/>
        </w:rPr>
        <w:t xml:space="preserve"> mechanizmą:</w:t>
      </w:r>
    </w:p>
    <w:p w:rsidR="009671D7" w:rsidRPr="00571665" w:rsidRDefault="004A62B1" w:rsidP="009671D7">
      <w:pPr>
        <w:pStyle w:val="Sraopastraipa"/>
        <w:numPr>
          <w:ilvl w:val="0"/>
          <w:numId w:val="16"/>
        </w:numPr>
        <w:tabs>
          <w:tab w:val="left" w:pos="9590"/>
        </w:tabs>
        <w:ind w:left="426" w:right="-23" w:hanging="284"/>
        <w:jc w:val="both"/>
      </w:pPr>
      <w:r w:rsidRPr="004A62B1">
        <w:rPr>
          <w:b/>
        </w:rPr>
        <w:t xml:space="preserve">per 2 metus (2020–2021 m.) atkurti iki ekonominės krizės buvusį bazinį dydį </w:t>
      </w:r>
      <w:r>
        <w:t>(183 eurai), konkretų dydį kasmet stengtis suderėti nacionalinėje kolektyvinėje sutartyje</w:t>
      </w:r>
      <w:r w:rsidR="009671D7" w:rsidRPr="00571665">
        <w:t>;</w:t>
      </w:r>
    </w:p>
    <w:p w:rsidR="007047FE" w:rsidRDefault="004A62B1" w:rsidP="007519C4">
      <w:pPr>
        <w:pStyle w:val="Sraopastraipa"/>
        <w:numPr>
          <w:ilvl w:val="0"/>
          <w:numId w:val="16"/>
        </w:numPr>
        <w:tabs>
          <w:tab w:val="left" w:pos="567"/>
          <w:tab w:val="left" w:pos="9590"/>
        </w:tabs>
        <w:spacing w:after="120"/>
        <w:ind w:left="426" w:right="-23" w:hanging="284"/>
        <w:jc w:val="both"/>
      </w:pPr>
      <w:r w:rsidRPr="007047FE">
        <w:rPr>
          <w:b/>
        </w:rPr>
        <w:t xml:space="preserve">atkurtą iki ekonominės krizės buvusį bazinį dydį </w:t>
      </w:r>
      <w:r w:rsidRPr="007047FE">
        <w:rPr>
          <w:b/>
          <w:lang w:eastAsia="ru-RU"/>
        </w:rPr>
        <w:t xml:space="preserve">kasmet didinti </w:t>
      </w:r>
      <w:bookmarkStart w:id="4" w:name="_Hlk1819448"/>
      <w:r w:rsidRPr="007047FE">
        <w:rPr>
          <w:b/>
          <w:lang w:eastAsia="ru-RU"/>
        </w:rPr>
        <w:t xml:space="preserve">2 </w:t>
      </w:r>
      <w:bookmarkEnd w:id="4"/>
      <w:r w:rsidRPr="007047FE">
        <w:rPr>
          <w:b/>
          <w:lang w:eastAsia="ru-RU"/>
        </w:rPr>
        <w:t>proc.</w:t>
      </w:r>
      <w:r w:rsidRPr="008B1718">
        <w:rPr>
          <w:lang w:eastAsia="ru-RU"/>
        </w:rPr>
        <w:t xml:space="preserve"> (ne</w:t>
      </w:r>
      <w:r>
        <w:rPr>
          <w:lang w:eastAsia="ru-RU"/>
        </w:rPr>
        <w:t>svarbu, kokia</w:t>
      </w:r>
      <w:r w:rsidRPr="008B1718">
        <w:rPr>
          <w:lang w:eastAsia="ru-RU"/>
        </w:rPr>
        <w:t xml:space="preserve"> infliacij</w:t>
      </w:r>
      <w:r>
        <w:rPr>
          <w:lang w:eastAsia="ru-RU"/>
        </w:rPr>
        <w:t>a</w:t>
      </w:r>
      <w:r w:rsidRPr="008B1718">
        <w:rPr>
          <w:lang w:eastAsia="ru-RU"/>
        </w:rPr>
        <w:t xml:space="preserve">), </w:t>
      </w:r>
      <w:r w:rsidRPr="007047FE">
        <w:rPr>
          <w:b/>
          <w:lang w:eastAsia="ru-RU"/>
        </w:rPr>
        <w:t>paliekant teisę</w:t>
      </w:r>
      <w:r w:rsidRPr="008B1718">
        <w:rPr>
          <w:lang w:eastAsia="ru-RU"/>
        </w:rPr>
        <w:t xml:space="preserve"> </w:t>
      </w:r>
      <w:r w:rsidR="009671D7" w:rsidRPr="007047FE">
        <w:rPr>
          <w:b/>
        </w:rPr>
        <w:t xml:space="preserve">nacionalinėje kolektyvinėje sutartyje išsiderėti didesnį bazinio </w:t>
      </w:r>
      <w:r w:rsidR="009671D7" w:rsidRPr="007047FE">
        <w:rPr>
          <w:b/>
        </w:rPr>
        <w:lastRenderedPageBreak/>
        <w:t>dydžio augimą,</w:t>
      </w:r>
      <w:r w:rsidR="009671D7" w:rsidRPr="00571665">
        <w:t xml:space="preserve"> </w:t>
      </w:r>
      <w:r w:rsidR="007047FE" w:rsidRPr="007047FE">
        <w:t>tačiau bendra šio dydžio suma negalėtų būti didesnė nei praėjusių 2 metų ir prognozuojamas einamųjų metų šalies VDU augimo vidurkis, įvertinus praėjusių 2 metų ir prognozuojamą einamųjų metų šalies ūkio produktyvumo augimo vidurkį. Indeksavimo schema nebūtų taikoma ekonominės recesijos sąlygomis. Bazinis dydis galėtų būti mažinamas tik išimtiniu atveju, kai iš esmės pablogėja valstybės ekonominė ir finansinė būklė</w:t>
      </w:r>
      <w:r w:rsidR="009A2DC8">
        <w:t>.</w:t>
      </w:r>
    </w:p>
    <w:p w:rsidR="007047FE" w:rsidRDefault="009671D7" w:rsidP="007047FE">
      <w:pPr>
        <w:tabs>
          <w:tab w:val="left" w:pos="567"/>
          <w:tab w:val="left" w:pos="9590"/>
        </w:tabs>
        <w:spacing w:after="120"/>
        <w:ind w:left="142" w:right="-23"/>
        <w:jc w:val="both"/>
      </w:pPr>
      <w:r w:rsidRPr="007047FE">
        <w:rPr>
          <w:b/>
        </w:rPr>
        <w:t>6.</w:t>
      </w:r>
      <w:r w:rsidRPr="00571665">
        <w:t xml:space="preserve"> </w:t>
      </w:r>
      <w:r w:rsidR="009A2DC8">
        <w:t>Į</w:t>
      </w:r>
      <w:r w:rsidR="007047FE" w:rsidRPr="007047FE">
        <w:t xml:space="preserve">statymų lygmeniu </w:t>
      </w:r>
      <w:r w:rsidR="007047FE" w:rsidRPr="007047FE">
        <w:rPr>
          <w:b/>
        </w:rPr>
        <w:t>reglamentuoti viešųjų įstaigų</w:t>
      </w:r>
      <w:r w:rsidR="007047FE" w:rsidRPr="007047FE">
        <w:t xml:space="preserve">, kurių savininkė yra valstybė ar savivaldybė arba kai valstybė ar savivaldybė turi daugumą balsų visuotiniame dalininkų susirinkime, vadovų ir </w:t>
      </w:r>
      <w:r w:rsidR="007047FE" w:rsidRPr="007047FE">
        <w:rPr>
          <w:b/>
        </w:rPr>
        <w:t>darbuotojų darbo apmokėjimo sąlygas</w:t>
      </w:r>
      <w:r w:rsidR="007047FE" w:rsidRPr="007047FE">
        <w:t xml:space="preserve"> ir minimalius bei maksimalius darbo užmokesčio dydžius (išskyrus aukštąsias mokyklas</w:t>
      </w:r>
      <w:r w:rsidR="00613792">
        <w:t>)</w:t>
      </w:r>
      <w:r w:rsidR="007047FE" w:rsidRPr="007047FE">
        <w:t>.</w:t>
      </w:r>
    </w:p>
    <w:p w:rsidR="00613792" w:rsidRDefault="009671D7" w:rsidP="007047FE">
      <w:pPr>
        <w:tabs>
          <w:tab w:val="left" w:pos="567"/>
          <w:tab w:val="left" w:pos="9590"/>
        </w:tabs>
        <w:spacing w:after="120"/>
        <w:ind w:left="142" w:right="-23"/>
        <w:jc w:val="both"/>
        <w:rPr>
          <w:b/>
        </w:rPr>
      </w:pPr>
      <w:r w:rsidRPr="00571665">
        <w:rPr>
          <w:b/>
        </w:rPr>
        <w:t>7.</w:t>
      </w:r>
      <w:r w:rsidRPr="00571665">
        <w:t xml:space="preserve"> </w:t>
      </w:r>
      <w:r w:rsidR="00613792">
        <w:rPr>
          <w:b/>
        </w:rPr>
        <w:t>U</w:t>
      </w:r>
      <w:r w:rsidR="00613792" w:rsidRPr="00613792">
        <w:rPr>
          <w:b/>
        </w:rPr>
        <w:t>žtikrinti, kad, didinant vieno sektoriaus darbuotojų darbo užmokestį, atitinkamai būtų skiriamas finansavimas darbo užmokesčiui padidinti ir analogiškos specialybės darbuotojams, kurie dirba kitų sektorių finansuojamose įstaigose</w:t>
      </w:r>
      <w:r w:rsidR="00613792" w:rsidRPr="00613792">
        <w:t xml:space="preserve"> (pvz., sveikatos priežiūros darbuotojų, dirbančių kalėjimų įstaigose, sveikatos priežiūros įstaigose, kurių savininko teises ir pareigas įgyvendina Vidaus reikalų ministerija, ar socialinės globos įstaigose, socialinių darbuotojų, dirbančių sveikatos priežiūros įstaigose, kultūros darbuotojų, dirbančių švietimo įstaigose, ir kita).</w:t>
      </w:r>
    </w:p>
    <w:p w:rsidR="007047FE" w:rsidRPr="00613792" w:rsidRDefault="009671D7" w:rsidP="007047FE">
      <w:pPr>
        <w:tabs>
          <w:tab w:val="left" w:pos="567"/>
          <w:tab w:val="left" w:pos="9590"/>
        </w:tabs>
        <w:spacing w:after="120"/>
        <w:ind w:left="142" w:right="-23"/>
        <w:jc w:val="both"/>
      </w:pPr>
      <w:r w:rsidRPr="00571665">
        <w:rPr>
          <w:b/>
        </w:rPr>
        <w:t xml:space="preserve">8. </w:t>
      </w:r>
      <w:r w:rsidR="00613792">
        <w:rPr>
          <w:b/>
        </w:rPr>
        <w:t>Į</w:t>
      </w:r>
      <w:r w:rsidR="00613792" w:rsidRPr="00613792">
        <w:rPr>
          <w:b/>
        </w:rPr>
        <w:t xml:space="preserve">vesti papildomą skatinamąjį atlyginimų didėjimo komponentą – sektorinius (sisteminius) kokybinius rodiklius </w:t>
      </w:r>
      <w:r w:rsidR="00613792" w:rsidRPr="00613792">
        <w:t xml:space="preserve">(angl. </w:t>
      </w:r>
      <w:proofErr w:type="spellStart"/>
      <w:r w:rsidR="00613792" w:rsidRPr="00613792">
        <w:t>benchmark</w:t>
      </w:r>
      <w:proofErr w:type="spellEnd"/>
      <w:r w:rsidR="00613792" w:rsidRPr="00613792">
        <w:t>), už kurių pasiekimą būtų didinami atitinkamam sektoriui skiriami asignavimai darbo užmokesčio fondui ir taip užtikrinta galimybė sektoriaus darbuotojams mokėti papildomas skatinamąsias premijas (pavyzdžiui, vadinamąjį tryliktąjį atlyginimą). Rodikliai turėtų būti nustatomi Vyriausybės, juos aptarus su socialiniais partneriais. Sistemą pradėti taikyti nuo 2020 m. pasirinktose bandomosiose srityse, tarp jų – sveikatos apsaugos, valstybės tarnybos ir švietimo.</w:t>
      </w:r>
      <w:r w:rsidR="007047FE" w:rsidRPr="00613792">
        <w:t xml:space="preserve"> </w:t>
      </w:r>
    </w:p>
    <w:p w:rsidR="00487FCA" w:rsidRDefault="009671D7" w:rsidP="008B03A0">
      <w:pPr>
        <w:tabs>
          <w:tab w:val="left" w:pos="567"/>
          <w:tab w:val="left" w:pos="9590"/>
        </w:tabs>
        <w:spacing w:after="120"/>
        <w:ind w:left="142" w:right="-23"/>
        <w:jc w:val="both"/>
      </w:pPr>
      <w:r w:rsidRPr="00571665">
        <w:rPr>
          <w:b/>
        </w:rPr>
        <w:t xml:space="preserve">9. </w:t>
      </w:r>
      <w:r w:rsidR="00613792">
        <w:rPr>
          <w:b/>
        </w:rPr>
        <w:t>S</w:t>
      </w:r>
      <w:r w:rsidR="00613792" w:rsidRPr="00613792">
        <w:rPr>
          <w:b/>
        </w:rPr>
        <w:t>katinti socialinius partnerius sudaryti nacionalines ir šakos kolektyvines sutartis</w:t>
      </w:r>
      <w:r w:rsidR="008961E2">
        <w:rPr>
          <w:b/>
        </w:rPr>
        <w:t>.</w:t>
      </w:r>
      <w:r w:rsidR="00487FCA">
        <w:t xml:space="preserve"> </w:t>
      </w:r>
    </w:p>
    <w:p w:rsidR="009671D7" w:rsidRPr="00571665" w:rsidRDefault="009671D7" w:rsidP="008B03A0">
      <w:pPr>
        <w:tabs>
          <w:tab w:val="left" w:pos="567"/>
          <w:tab w:val="left" w:pos="9590"/>
        </w:tabs>
        <w:spacing w:after="120"/>
        <w:ind w:left="142" w:right="-23"/>
        <w:jc w:val="both"/>
      </w:pPr>
      <w:r w:rsidRPr="008B03A0">
        <w:rPr>
          <w:b/>
        </w:rPr>
        <w:t>10.</w:t>
      </w:r>
      <w:r w:rsidRPr="00571665">
        <w:t xml:space="preserve"> </w:t>
      </w:r>
      <w:r w:rsidRPr="00571665">
        <w:rPr>
          <w:b/>
        </w:rPr>
        <w:t>Numatyti atskirų sektorių efektyvumo didinimo ir kitas priemones</w:t>
      </w:r>
      <w:r w:rsidR="00844A20">
        <w:rPr>
          <w:b/>
        </w:rPr>
        <w:t xml:space="preserve">. </w:t>
      </w:r>
    </w:p>
    <w:p w:rsidR="00E80781" w:rsidRDefault="009671D7" w:rsidP="00844A20">
      <w:pPr>
        <w:tabs>
          <w:tab w:val="left" w:pos="709"/>
          <w:tab w:val="left" w:pos="2592"/>
          <w:tab w:val="left" w:pos="3888"/>
          <w:tab w:val="left" w:pos="5185"/>
          <w:tab w:val="left" w:pos="6481"/>
          <w:tab w:val="left" w:pos="7777"/>
          <w:tab w:val="left" w:pos="9072"/>
          <w:tab w:val="left" w:pos="10335"/>
        </w:tabs>
        <w:suppressAutoHyphens/>
        <w:contextualSpacing/>
        <w:jc w:val="both"/>
        <w:rPr>
          <w:b/>
          <w:bCs/>
        </w:rPr>
      </w:pPr>
      <w:r w:rsidRPr="00571665">
        <w:rPr>
          <w:bCs/>
        </w:rPr>
        <w:t xml:space="preserve">Taip pat </w:t>
      </w:r>
      <w:r w:rsidR="00086EE7" w:rsidRPr="00571665">
        <w:rPr>
          <w:bCs/>
        </w:rPr>
        <w:t>Strategijo</w:t>
      </w:r>
      <w:r w:rsidR="0060193C" w:rsidRPr="00571665">
        <w:rPr>
          <w:bCs/>
        </w:rPr>
        <w:t xml:space="preserve">s IV skyriuje pateikiami </w:t>
      </w:r>
      <w:r w:rsidRPr="00571665">
        <w:rPr>
          <w:b/>
          <w:bCs/>
        </w:rPr>
        <w:t>princip</w:t>
      </w:r>
      <w:r w:rsidR="0060193C" w:rsidRPr="00571665">
        <w:rPr>
          <w:b/>
          <w:bCs/>
        </w:rPr>
        <w:t>ai</w:t>
      </w:r>
      <w:r w:rsidRPr="00571665">
        <w:rPr>
          <w:b/>
          <w:bCs/>
        </w:rPr>
        <w:t>,</w:t>
      </w:r>
      <w:r w:rsidRPr="00571665">
        <w:rPr>
          <w:bCs/>
        </w:rPr>
        <w:t xml:space="preserve"> kurių tur</w:t>
      </w:r>
      <w:r w:rsidR="00814B08" w:rsidRPr="00571665">
        <w:rPr>
          <w:bCs/>
        </w:rPr>
        <w:t>ėtų</w:t>
      </w:r>
      <w:r w:rsidRPr="00571665">
        <w:rPr>
          <w:bCs/>
        </w:rPr>
        <w:t xml:space="preserve"> būti laikomasi didinant v</w:t>
      </w:r>
      <w:r w:rsidRPr="00571665">
        <w:t xml:space="preserve">iešojo sektoriaus darbuotojų darbo užmokestį ir finansavimą: </w:t>
      </w:r>
    </w:p>
    <w:p w:rsidR="00E31C8B" w:rsidRPr="00E31C8B" w:rsidRDefault="00E31C8B" w:rsidP="00E31C8B">
      <w:pPr>
        <w:pStyle w:val="Sraopastraipa"/>
        <w:numPr>
          <w:ilvl w:val="0"/>
          <w:numId w:val="32"/>
        </w:numPr>
        <w:tabs>
          <w:tab w:val="left" w:pos="1134"/>
          <w:tab w:val="left" w:pos="2592"/>
          <w:tab w:val="left" w:pos="3888"/>
          <w:tab w:val="left" w:pos="5185"/>
          <w:tab w:val="left" w:pos="6481"/>
          <w:tab w:val="left" w:pos="7777"/>
          <w:tab w:val="left" w:pos="9072"/>
          <w:tab w:val="left" w:pos="10335"/>
        </w:tabs>
        <w:suppressAutoHyphens/>
        <w:jc w:val="both"/>
        <w:rPr>
          <w:bCs/>
        </w:rPr>
      </w:pPr>
      <w:r w:rsidRPr="00E31C8B">
        <w:rPr>
          <w:bCs/>
        </w:rPr>
        <w:t>bazinis dydis turi būti viešojo sektoriaus darbuotojų darbo užmokesčio pagrindas;</w:t>
      </w:r>
    </w:p>
    <w:p w:rsidR="00E31C8B" w:rsidRPr="00E31C8B" w:rsidRDefault="00E31C8B" w:rsidP="00E31C8B">
      <w:pPr>
        <w:pStyle w:val="Sraopastraipa"/>
        <w:numPr>
          <w:ilvl w:val="0"/>
          <w:numId w:val="32"/>
        </w:numPr>
        <w:tabs>
          <w:tab w:val="left" w:pos="1134"/>
          <w:tab w:val="left" w:pos="2592"/>
          <w:tab w:val="left" w:pos="3888"/>
          <w:tab w:val="left" w:pos="5185"/>
          <w:tab w:val="left" w:pos="6481"/>
          <w:tab w:val="left" w:pos="7777"/>
          <w:tab w:val="left" w:pos="9072"/>
          <w:tab w:val="left" w:pos="10335"/>
        </w:tabs>
        <w:suppressAutoHyphens/>
        <w:jc w:val="both"/>
        <w:rPr>
          <w:bCs/>
        </w:rPr>
      </w:pPr>
      <w:r w:rsidRPr="00E31C8B">
        <w:rPr>
          <w:bCs/>
        </w:rPr>
        <w:t xml:space="preserve">pirmiausia diskretiškais sprendimais sutvarkyti išderintą viešojo sektoriaus darbo apmokėjimo sistemą (subalansuoti darbo užmokestį kiekvieno sektoriaus viduje ir sumažinti netolygumus tarp sektorių), vėliau darbo užmokesčio didinimo klausimą viešajame sektoriuje spręsti horizontaliai, taikant bazinio dydžio indeksavimą ir (ar) kitas priemones, tačiau neužprogramuojant didėjančių atotrūkių / disproporcijų tarp sektorių, darbuotojų kategorijų, pareigybių grupių ir pan.;   </w:t>
      </w:r>
    </w:p>
    <w:p w:rsidR="00E31C8B" w:rsidRPr="00E31C8B" w:rsidRDefault="00E31C8B" w:rsidP="00E31C8B">
      <w:pPr>
        <w:pStyle w:val="Sraopastraipa"/>
        <w:numPr>
          <w:ilvl w:val="0"/>
          <w:numId w:val="32"/>
        </w:numPr>
        <w:tabs>
          <w:tab w:val="left" w:pos="1134"/>
          <w:tab w:val="left" w:pos="2592"/>
          <w:tab w:val="left" w:pos="3888"/>
          <w:tab w:val="left" w:pos="5185"/>
          <w:tab w:val="left" w:pos="6481"/>
          <w:tab w:val="left" w:pos="7777"/>
          <w:tab w:val="left" w:pos="9072"/>
          <w:tab w:val="left" w:pos="10335"/>
        </w:tabs>
        <w:suppressAutoHyphens/>
        <w:jc w:val="both"/>
        <w:rPr>
          <w:bCs/>
        </w:rPr>
      </w:pPr>
      <w:r w:rsidRPr="00E31C8B">
        <w:rPr>
          <w:bCs/>
        </w:rPr>
        <w:t xml:space="preserve">mažinti viešojo sektoriaus darbuotojų darbo užmokesčio netolygumus ir disbalansą, atsirandantį dėl darbo užmokesčio reglamentavimo skirtinguose įstatymuose ir nesisteminių šių įstatymų pakeitimų; </w:t>
      </w:r>
    </w:p>
    <w:p w:rsidR="00E31C8B" w:rsidRPr="00E31C8B" w:rsidRDefault="00E31C8B" w:rsidP="00E31C8B">
      <w:pPr>
        <w:pStyle w:val="Sraopastraipa"/>
        <w:numPr>
          <w:ilvl w:val="0"/>
          <w:numId w:val="32"/>
        </w:numPr>
        <w:tabs>
          <w:tab w:val="left" w:pos="1134"/>
          <w:tab w:val="left" w:pos="2592"/>
          <w:tab w:val="left" w:pos="3888"/>
          <w:tab w:val="left" w:pos="5185"/>
          <w:tab w:val="left" w:pos="6481"/>
          <w:tab w:val="left" w:pos="7777"/>
          <w:tab w:val="left" w:pos="9072"/>
          <w:tab w:val="left" w:pos="10335"/>
        </w:tabs>
        <w:suppressAutoHyphens/>
        <w:jc w:val="both"/>
        <w:rPr>
          <w:bCs/>
        </w:rPr>
      </w:pPr>
      <w:r w:rsidRPr="00E31C8B">
        <w:rPr>
          <w:bCs/>
        </w:rPr>
        <w:t xml:space="preserve">nustatant viešojo sektoriaus įstaigų vadovų pareiginės algos koeficientų dydžius, išlaikyti proporcijas tarp įstaigos vadovo ir toje įstaigoje dirbančių darbuotojų darbo užmokesčio vidurkio; </w:t>
      </w:r>
    </w:p>
    <w:p w:rsidR="00E31C8B" w:rsidRPr="00E31C8B" w:rsidRDefault="00E31C8B" w:rsidP="00E31C8B">
      <w:pPr>
        <w:pStyle w:val="Sraopastraipa"/>
        <w:numPr>
          <w:ilvl w:val="0"/>
          <w:numId w:val="32"/>
        </w:numPr>
        <w:tabs>
          <w:tab w:val="left" w:pos="1134"/>
          <w:tab w:val="left" w:pos="2592"/>
          <w:tab w:val="left" w:pos="3888"/>
          <w:tab w:val="left" w:pos="5185"/>
          <w:tab w:val="left" w:pos="6481"/>
          <w:tab w:val="left" w:pos="7777"/>
          <w:tab w:val="left" w:pos="9072"/>
          <w:tab w:val="left" w:pos="10335"/>
        </w:tabs>
        <w:suppressAutoHyphens/>
        <w:jc w:val="both"/>
        <w:rPr>
          <w:bCs/>
        </w:rPr>
      </w:pPr>
      <w:r w:rsidRPr="00E31C8B">
        <w:rPr>
          <w:bCs/>
        </w:rPr>
        <w:t xml:space="preserve">vykdyti nuoseklią viešojo sektoriaus efektyvumo didinimo, viešųjų paslaugų kokybės gerinimo ir viešojo sektoriaus darbuotojų darbo užmokesčio didinimo politiką; </w:t>
      </w:r>
    </w:p>
    <w:p w:rsidR="00E31C8B" w:rsidRPr="00E31C8B" w:rsidRDefault="00E31C8B" w:rsidP="00E31C8B">
      <w:pPr>
        <w:pStyle w:val="Sraopastraipa"/>
        <w:numPr>
          <w:ilvl w:val="0"/>
          <w:numId w:val="32"/>
        </w:numPr>
        <w:tabs>
          <w:tab w:val="left" w:pos="1134"/>
          <w:tab w:val="left" w:pos="2592"/>
          <w:tab w:val="left" w:pos="3888"/>
          <w:tab w:val="left" w:pos="5185"/>
          <w:tab w:val="left" w:pos="6481"/>
          <w:tab w:val="left" w:pos="7777"/>
          <w:tab w:val="left" w:pos="9072"/>
          <w:tab w:val="left" w:pos="10335"/>
        </w:tabs>
        <w:suppressAutoHyphens/>
        <w:jc w:val="both"/>
        <w:rPr>
          <w:bCs/>
        </w:rPr>
      </w:pPr>
      <w:r w:rsidRPr="00E31C8B">
        <w:rPr>
          <w:bCs/>
        </w:rPr>
        <w:t>darbo užmokestį didinti tiek iš papildomų valstybės biudžeto lėšų, tiek iš vidinių sektorių efektyvumo didinimo išteklių, kartu užtikrinant teikiamų paslaugų kokybę;</w:t>
      </w:r>
    </w:p>
    <w:p w:rsidR="00E31C8B" w:rsidRPr="00E31C8B" w:rsidRDefault="00E31C8B" w:rsidP="00E31C8B">
      <w:pPr>
        <w:pStyle w:val="Sraopastraipa"/>
        <w:numPr>
          <w:ilvl w:val="0"/>
          <w:numId w:val="32"/>
        </w:numPr>
        <w:tabs>
          <w:tab w:val="left" w:pos="1134"/>
          <w:tab w:val="left" w:pos="2592"/>
          <w:tab w:val="left" w:pos="3888"/>
          <w:tab w:val="left" w:pos="5185"/>
          <w:tab w:val="left" w:pos="6481"/>
          <w:tab w:val="left" w:pos="7777"/>
          <w:tab w:val="left" w:pos="9072"/>
          <w:tab w:val="left" w:pos="10335"/>
        </w:tabs>
        <w:suppressAutoHyphens/>
        <w:jc w:val="both"/>
        <w:rPr>
          <w:bCs/>
        </w:rPr>
      </w:pPr>
      <w:r w:rsidRPr="00E31C8B">
        <w:rPr>
          <w:bCs/>
        </w:rPr>
        <w:t xml:space="preserve">siekti, kad į viešojo sektoriaus struktūrinių reformų procesą plačiau ir aktyviau įsitrauktų savivalda; </w:t>
      </w:r>
    </w:p>
    <w:p w:rsidR="00E31C8B" w:rsidRPr="00E31C8B" w:rsidRDefault="00E31C8B" w:rsidP="00E31C8B">
      <w:pPr>
        <w:pStyle w:val="Sraopastraipa"/>
        <w:numPr>
          <w:ilvl w:val="0"/>
          <w:numId w:val="32"/>
        </w:numPr>
        <w:tabs>
          <w:tab w:val="left" w:pos="1134"/>
          <w:tab w:val="left" w:pos="2592"/>
          <w:tab w:val="left" w:pos="3888"/>
          <w:tab w:val="left" w:pos="5185"/>
          <w:tab w:val="left" w:pos="6481"/>
          <w:tab w:val="left" w:pos="7777"/>
          <w:tab w:val="left" w:pos="9072"/>
          <w:tab w:val="left" w:pos="10335"/>
        </w:tabs>
        <w:suppressAutoHyphens/>
        <w:jc w:val="both"/>
        <w:rPr>
          <w:bCs/>
        </w:rPr>
      </w:pPr>
      <w:r w:rsidRPr="00E31C8B">
        <w:rPr>
          <w:bCs/>
        </w:rPr>
        <w:t xml:space="preserve">vykdant švietimo, socialinės apsaugos, sveikatos apsaugos, kultūros ir meno įstaigų struktūrines (tinklo) reformas, atsižvelgti į tolygios regioninės plėtros politikos poreikius; </w:t>
      </w:r>
    </w:p>
    <w:p w:rsidR="00E31C8B" w:rsidRPr="00E31C8B" w:rsidRDefault="00E31C8B" w:rsidP="00E31C8B">
      <w:pPr>
        <w:pStyle w:val="Sraopastraipa"/>
        <w:numPr>
          <w:ilvl w:val="0"/>
          <w:numId w:val="32"/>
        </w:numPr>
        <w:tabs>
          <w:tab w:val="left" w:pos="1134"/>
          <w:tab w:val="left" w:pos="2592"/>
          <w:tab w:val="left" w:pos="3888"/>
          <w:tab w:val="left" w:pos="5185"/>
          <w:tab w:val="left" w:pos="6481"/>
          <w:tab w:val="left" w:pos="7777"/>
          <w:tab w:val="left" w:pos="9072"/>
          <w:tab w:val="left" w:pos="10335"/>
        </w:tabs>
        <w:suppressAutoHyphens/>
        <w:jc w:val="both"/>
        <w:rPr>
          <w:bCs/>
        </w:rPr>
      </w:pPr>
      <w:r w:rsidRPr="00E31C8B">
        <w:rPr>
          <w:bCs/>
        </w:rPr>
        <w:t>užtikrinti, kad visos kolektyvinių sutarčių nuostatos būtų įgyvendinamos</w:t>
      </w:r>
      <w:r w:rsidR="00A200CB">
        <w:rPr>
          <w:bCs/>
        </w:rPr>
        <w:t>;</w:t>
      </w:r>
      <w:r w:rsidRPr="00E31C8B">
        <w:rPr>
          <w:bCs/>
        </w:rPr>
        <w:t xml:space="preserve"> </w:t>
      </w:r>
    </w:p>
    <w:p w:rsidR="00844A20" w:rsidRPr="00E31C8B" w:rsidRDefault="00E31C8B" w:rsidP="00E31C8B">
      <w:pPr>
        <w:pStyle w:val="Sraopastraipa"/>
        <w:numPr>
          <w:ilvl w:val="0"/>
          <w:numId w:val="32"/>
        </w:numPr>
        <w:tabs>
          <w:tab w:val="left" w:pos="1134"/>
          <w:tab w:val="left" w:pos="2592"/>
          <w:tab w:val="left" w:pos="3888"/>
          <w:tab w:val="left" w:pos="5185"/>
          <w:tab w:val="left" w:pos="6481"/>
          <w:tab w:val="left" w:pos="7777"/>
          <w:tab w:val="left" w:pos="9072"/>
          <w:tab w:val="left" w:pos="10335"/>
        </w:tabs>
        <w:suppressAutoHyphens/>
        <w:spacing w:after="120"/>
        <w:ind w:left="714" w:hanging="357"/>
        <w:contextualSpacing w:val="0"/>
        <w:jc w:val="both"/>
        <w:rPr>
          <w:bCs/>
        </w:rPr>
      </w:pPr>
      <w:r w:rsidRPr="00E31C8B">
        <w:rPr>
          <w:bCs/>
        </w:rPr>
        <w:lastRenderedPageBreak/>
        <w:t>siekiant išvengti pernelyg didelės rizikos makroekonominiam stabilumui ir viešųjų finansų tvarumui, užtikrinti, kad nuo 2022 m. bendras metinis asignavimų, skirtų darbo užmokesčiui didinti,  prieaugis nebūtų didesnis nei praėjusių 2 metų ir prognozuojamas einamųjų metų šalies VDU augimo vidurkis, įvertinus praėjusių 2 metų ir prognozuojamą einamųjų metų šalies ūkio produktyvumo augimo vidurkį (t. y. jeigu šalies VDU prieaugis būtų spartesnis nei šalies ūkio produktyvumo augimas, maksimalus bendras darbo užmokesčio fondo augimas negalėtų būti didesnis nei produktyvumo augimo vidurkis). Kitų principų taikymas turi būti ribojamas tiek, kiek reikia šiame papunktyje nustatyto principo įgyvendinimui užtikrinti.</w:t>
      </w:r>
    </w:p>
    <w:p w:rsidR="00844A20" w:rsidRDefault="00EF27D4" w:rsidP="00EF27D4">
      <w:pPr>
        <w:tabs>
          <w:tab w:val="left" w:pos="1134"/>
          <w:tab w:val="left" w:pos="2592"/>
          <w:tab w:val="left" w:pos="3888"/>
          <w:tab w:val="left" w:pos="5185"/>
          <w:tab w:val="left" w:pos="6481"/>
          <w:tab w:val="left" w:pos="7777"/>
          <w:tab w:val="left" w:pos="9072"/>
          <w:tab w:val="left" w:pos="10335"/>
        </w:tabs>
        <w:suppressAutoHyphens/>
        <w:ind w:firstLine="567"/>
        <w:contextualSpacing/>
        <w:jc w:val="both"/>
      </w:pPr>
      <w:r w:rsidRPr="00571665">
        <w:rPr>
          <w:bCs/>
        </w:rPr>
        <w:t>Strategij</w:t>
      </w:r>
      <w:r w:rsidR="00D02E7C" w:rsidRPr="00571665">
        <w:rPr>
          <w:bCs/>
        </w:rPr>
        <w:t xml:space="preserve">os VI skyriuje numatytas </w:t>
      </w:r>
      <w:r w:rsidR="0015014A" w:rsidRPr="00571665">
        <w:rPr>
          <w:bCs/>
        </w:rPr>
        <w:t>jos</w:t>
      </w:r>
      <w:r w:rsidR="00D02E7C" w:rsidRPr="00571665">
        <w:rPr>
          <w:bCs/>
        </w:rPr>
        <w:t xml:space="preserve"> </w:t>
      </w:r>
      <w:r w:rsidR="00D02E7C" w:rsidRPr="009C00F5">
        <w:rPr>
          <w:b/>
          <w:bCs/>
        </w:rPr>
        <w:t>įgyvendinimas, stebėsena ir vertinimas</w:t>
      </w:r>
      <w:r w:rsidR="00D02E7C" w:rsidRPr="00571665">
        <w:rPr>
          <w:bCs/>
        </w:rPr>
        <w:t xml:space="preserve">. Strategija </w:t>
      </w:r>
      <w:r w:rsidRPr="00571665">
        <w:rPr>
          <w:bCs/>
        </w:rPr>
        <w:t xml:space="preserve">būtų įgyvendinama iš atitinkamų metų Lietuvos Respublikos valstybės biudžeto asignavimų, savivaldybių biudžetų lėšų, Europos Sąjungos ir kitos tarptautinės finansinės paramos lėšų bei kitų teisėtai gautų lėšų. </w:t>
      </w:r>
      <w:r w:rsidR="00154A68" w:rsidRPr="00571665">
        <w:rPr>
          <w:bCs/>
        </w:rPr>
        <w:t>Rengiant Lietuvos Respublikos atitinkamų metų valstybės biudžeto ir savivaldybių biudžetų finansinių rodiklių patvirtinimo įstatymo projektus būtų atsižvelgiama į Strategijos nuostatas bei parengiami ir pateikiami Seimui atitinkam</w:t>
      </w:r>
      <w:r w:rsidR="00844A20">
        <w:rPr>
          <w:bCs/>
        </w:rPr>
        <w:t>ų</w:t>
      </w:r>
      <w:r w:rsidR="00154A68" w:rsidRPr="00571665">
        <w:rPr>
          <w:bCs/>
        </w:rPr>
        <w:t xml:space="preserve"> įstatymų</w:t>
      </w:r>
      <w:r w:rsidR="002C6A93">
        <w:rPr>
          <w:bCs/>
        </w:rPr>
        <w:t>,</w:t>
      </w:r>
      <w:r w:rsidR="00154A68" w:rsidRPr="00571665">
        <w:rPr>
          <w:bCs/>
        </w:rPr>
        <w:t xml:space="preserve"> </w:t>
      </w:r>
      <w:r w:rsidR="00844A20" w:rsidRPr="008D6363">
        <w:t>kurių reikia Strategijos nuostatoms įgyvendinti, projekt</w:t>
      </w:r>
      <w:r w:rsidR="00844A20">
        <w:t>ai.</w:t>
      </w:r>
    </w:p>
    <w:p w:rsidR="00C06A41" w:rsidRPr="00571665" w:rsidRDefault="00EF27D4" w:rsidP="00EF27D4">
      <w:pPr>
        <w:tabs>
          <w:tab w:val="left" w:pos="1134"/>
          <w:tab w:val="left" w:pos="2592"/>
          <w:tab w:val="left" w:pos="3888"/>
          <w:tab w:val="left" w:pos="5185"/>
          <w:tab w:val="left" w:pos="6481"/>
          <w:tab w:val="left" w:pos="7777"/>
          <w:tab w:val="left" w:pos="9072"/>
          <w:tab w:val="left" w:pos="10335"/>
        </w:tabs>
        <w:suppressAutoHyphens/>
        <w:ind w:firstLine="567"/>
        <w:contextualSpacing/>
        <w:jc w:val="both"/>
        <w:rPr>
          <w:bCs/>
        </w:rPr>
      </w:pPr>
      <w:r w:rsidRPr="00571665">
        <w:rPr>
          <w:bCs/>
        </w:rPr>
        <w:t xml:space="preserve">Strategijos įgyvendinimą koordinuotų Vyriausybė, pagal savo kompetenciją dalyvautų ministerijos, kitos valstybės ir savivaldybių institucijos, įstaigos ir (ar) organizacijos, socialiniai partneriai. </w:t>
      </w:r>
      <w:r w:rsidR="002C6A93">
        <w:rPr>
          <w:bCs/>
        </w:rPr>
        <w:t>Taip pat Vyriausybė paskirtų vieną ministeriją, kuri būtų atsakinga už viešojo sektoriaus darbuotojų darbo apmokėjimo klausimų koordinavimą.</w:t>
      </w:r>
    </w:p>
    <w:p w:rsidR="00EF27D4" w:rsidRDefault="00EF27D4" w:rsidP="00EF27D4">
      <w:pPr>
        <w:tabs>
          <w:tab w:val="left" w:pos="1134"/>
          <w:tab w:val="left" w:pos="2592"/>
          <w:tab w:val="left" w:pos="3888"/>
          <w:tab w:val="left" w:pos="5185"/>
          <w:tab w:val="left" w:pos="6481"/>
          <w:tab w:val="left" w:pos="7777"/>
          <w:tab w:val="left" w:pos="9072"/>
          <w:tab w:val="left" w:pos="10335"/>
        </w:tabs>
        <w:suppressAutoHyphens/>
        <w:ind w:firstLine="567"/>
        <w:contextualSpacing/>
        <w:jc w:val="both"/>
        <w:rPr>
          <w:bCs/>
        </w:rPr>
      </w:pPr>
      <w:r w:rsidRPr="00571665">
        <w:rPr>
          <w:bCs/>
        </w:rPr>
        <w:t xml:space="preserve">Įgyvendinimo pažangos stebėseną </w:t>
      </w:r>
      <w:r w:rsidR="00844A20">
        <w:rPr>
          <w:bCs/>
        </w:rPr>
        <w:t>atliktų</w:t>
      </w:r>
      <w:r w:rsidRPr="00571665">
        <w:rPr>
          <w:bCs/>
        </w:rPr>
        <w:t xml:space="preserve"> Vyriausybės įgaliota institucija.</w:t>
      </w:r>
      <w:r w:rsidR="00A41DDC" w:rsidRPr="00571665">
        <w:rPr>
          <w:bCs/>
        </w:rPr>
        <w:t xml:space="preserve"> Kiekvienais metais Vyriausybės metinėje veiklos ataskaitoje būtų pateikiami Strategijos nuostatų įgyvendinimo stebėsenos rezultatai, o </w:t>
      </w:r>
      <w:r w:rsidRPr="00571665">
        <w:rPr>
          <w:bCs/>
        </w:rPr>
        <w:t>2022 metais būtų atli</w:t>
      </w:r>
      <w:r w:rsidR="00A41DDC" w:rsidRPr="00571665">
        <w:rPr>
          <w:bCs/>
        </w:rPr>
        <w:t>ktas</w:t>
      </w:r>
      <w:r w:rsidRPr="00571665">
        <w:rPr>
          <w:bCs/>
        </w:rPr>
        <w:t xml:space="preserve"> Strategijos įgyvendinimo rezultatų </w:t>
      </w:r>
      <w:r w:rsidR="00844A20" w:rsidRPr="00571665">
        <w:rPr>
          <w:bCs/>
        </w:rPr>
        <w:t xml:space="preserve">tarpinis </w:t>
      </w:r>
      <w:r w:rsidRPr="00571665">
        <w:rPr>
          <w:bCs/>
        </w:rPr>
        <w:t>vertinimas.</w:t>
      </w:r>
    </w:p>
    <w:p w:rsidR="007C14F2" w:rsidRPr="00571665" w:rsidRDefault="007C14F2" w:rsidP="00EF27D4">
      <w:pPr>
        <w:tabs>
          <w:tab w:val="left" w:pos="1134"/>
          <w:tab w:val="left" w:pos="2592"/>
          <w:tab w:val="left" w:pos="3888"/>
          <w:tab w:val="left" w:pos="5185"/>
          <w:tab w:val="left" w:pos="6481"/>
          <w:tab w:val="left" w:pos="7777"/>
          <w:tab w:val="left" w:pos="9072"/>
          <w:tab w:val="left" w:pos="10335"/>
        </w:tabs>
        <w:suppressAutoHyphens/>
        <w:ind w:firstLine="567"/>
        <w:contextualSpacing/>
        <w:jc w:val="both"/>
        <w:rPr>
          <w:bCs/>
        </w:rPr>
      </w:pPr>
      <w:r w:rsidRPr="007C14F2">
        <w:rPr>
          <w:bCs/>
        </w:rPr>
        <w:t>Strategijos įgyvendinimas sąlygos efektyvesnį ir konkurencingesnį viešąjį sektorių, labiau motyvuotą personalą, mažesnę pajamų nelygybės riziką, teisingesnį apmokėjimą už darbą ir rezultate geresnes viešąsias paslaugas piliečiams. EBPO tyrime „</w:t>
      </w:r>
      <w:proofErr w:type="spellStart"/>
      <w:r w:rsidRPr="007C14F2">
        <w:rPr>
          <w:bCs/>
        </w:rPr>
        <w:t>Public</w:t>
      </w:r>
      <w:proofErr w:type="spellEnd"/>
      <w:r w:rsidRPr="007C14F2">
        <w:rPr>
          <w:bCs/>
        </w:rPr>
        <w:t xml:space="preserve"> </w:t>
      </w:r>
      <w:proofErr w:type="spellStart"/>
      <w:r w:rsidRPr="007C14F2">
        <w:rPr>
          <w:bCs/>
        </w:rPr>
        <w:t>Servants</w:t>
      </w:r>
      <w:proofErr w:type="spellEnd"/>
      <w:r w:rsidRPr="007C14F2">
        <w:rPr>
          <w:bCs/>
        </w:rPr>
        <w:t xml:space="preserve"> </w:t>
      </w:r>
      <w:proofErr w:type="spellStart"/>
      <w:r w:rsidRPr="007C14F2">
        <w:rPr>
          <w:bCs/>
        </w:rPr>
        <w:t>as</w:t>
      </w:r>
      <w:proofErr w:type="spellEnd"/>
      <w:r w:rsidRPr="007C14F2">
        <w:rPr>
          <w:bCs/>
        </w:rPr>
        <w:t xml:space="preserve"> </w:t>
      </w:r>
      <w:proofErr w:type="spellStart"/>
      <w:r w:rsidRPr="007C14F2">
        <w:rPr>
          <w:bCs/>
        </w:rPr>
        <w:t>Partners</w:t>
      </w:r>
      <w:proofErr w:type="spellEnd"/>
      <w:r w:rsidRPr="007C14F2">
        <w:rPr>
          <w:bCs/>
        </w:rPr>
        <w:t xml:space="preserve"> </w:t>
      </w:r>
      <w:proofErr w:type="spellStart"/>
      <w:r w:rsidRPr="007C14F2">
        <w:rPr>
          <w:bCs/>
        </w:rPr>
        <w:t>for</w:t>
      </w:r>
      <w:proofErr w:type="spellEnd"/>
      <w:r w:rsidRPr="007C14F2">
        <w:rPr>
          <w:bCs/>
        </w:rPr>
        <w:t xml:space="preserve"> </w:t>
      </w:r>
      <w:proofErr w:type="spellStart"/>
      <w:r w:rsidRPr="007C14F2">
        <w:rPr>
          <w:bCs/>
        </w:rPr>
        <w:t>Growth</w:t>
      </w:r>
      <w:proofErr w:type="spellEnd"/>
      <w:r w:rsidRPr="007C14F2">
        <w:rPr>
          <w:bCs/>
        </w:rPr>
        <w:t xml:space="preserve">“ reziumuojama, kad struktūrinės reformos yra būtinos siekiant ekonomikos augimo, o reformų tikslams pasiekti būtinos stiprios institucijos ir tinkamas personalas – talentingas, pasižymintis žiniomis ir gebėjimais. Taigi, nesant konkurencingam darbo apmokėjimui – tai neigiamai veiktų ir struktūrinių reformų (tame tarpe esančių šešių struktūrinių reformų pakete), orientuotų į ženklų viešųjų paslaugų pagerinimą, rezultatus – juos pasiekti būtų sunkiau. Dėl to būtina didinti viešojo sektoriaus darbo apmokėjimo konkurencingumą, ypač įtvirtinant daugiau teisingo apmokėjimo už darbą, lygiagrečiai sustiprinant optimalų resursų naudojimą, neefektyvumo apraiškų eliminavimą. Nepriklausomų mokslininkų studija 2018 m. įvertino struktūrinių reformų poveikį šalies BVP augimui </w:t>
      </w:r>
      <w:r w:rsidR="00A200CB" w:rsidRPr="007C14F2">
        <w:rPr>
          <w:bCs/>
        </w:rPr>
        <w:t>–</w:t>
      </w:r>
      <w:r w:rsidRPr="007C14F2">
        <w:rPr>
          <w:bCs/>
        </w:rPr>
        <w:t xml:space="preserve"> Vyriausybės vykdomų šešių struktūrinių reformų didžiausias santykinis efektas BVP bus pasiektas maždaug 2025–2027 metais </w:t>
      </w:r>
      <w:r w:rsidR="00A200CB" w:rsidRPr="007C14F2">
        <w:rPr>
          <w:bCs/>
        </w:rPr>
        <w:t>–</w:t>
      </w:r>
      <w:r w:rsidRPr="007C14F2">
        <w:rPr>
          <w:bCs/>
        </w:rPr>
        <w:t xml:space="preserve"> reformos lems apie 2 proc. didesnį BVP lygį, o pačiu reformų paketu įgyvendinta arba bent iš dalies įgyvendinta 14 iš 18 Lietuvai pateiktų rekomendacijų. Tačiau, remiantis minėtu EBPO tyrimu, galutinei reformų sėkmingai ypatingai svarbus žmogiškasis faktorius – viešojo sektoriaus darbuotojai. Strategija būtent į tai orientuota.</w:t>
      </w:r>
    </w:p>
    <w:p w:rsidR="009671D7" w:rsidRPr="00571665" w:rsidRDefault="009671D7" w:rsidP="00100624">
      <w:pPr>
        <w:tabs>
          <w:tab w:val="left" w:pos="1134"/>
          <w:tab w:val="left" w:pos="2592"/>
          <w:tab w:val="left" w:pos="3888"/>
          <w:tab w:val="left" w:pos="5185"/>
          <w:tab w:val="left" w:pos="6481"/>
          <w:tab w:val="left" w:pos="7777"/>
          <w:tab w:val="left" w:pos="9072"/>
          <w:tab w:val="left" w:pos="10335"/>
        </w:tabs>
        <w:suppressAutoHyphens/>
        <w:contextualSpacing/>
        <w:jc w:val="both"/>
        <w:rPr>
          <w:b/>
          <w:bCs/>
        </w:rPr>
      </w:pPr>
    </w:p>
    <w:p w:rsidR="000526C7" w:rsidRPr="00846827" w:rsidRDefault="00AD59E9" w:rsidP="00100624">
      <w:pPr>
        <w:tabs>
          <w:tab w:val="left" w:pos="1134"/>
          <w:tab w:val="left" w:pos="2592"/>
          <w:tab w:val="left" w:pos="3888"/>
          <w:tab w:val="left" w:pos="5185"/>
          <w:tab w:val="left" w:pos="6481"/>
          <w:tab w:val="left" w:pos="7777"/>
          <w:tab w:val="left" w:pos="9072"/>
          <w:tab w:val="left" w:pos="10335"/>
        </w:tabs>
        <w:suppressAutoHyphens/>
        <w:ind w:firstLine="720"/>
        <w:contextualSpacing/>
        <w:jc w:val="both"/>
        <w:rPr>
          <w:b/>
          <w:bCs/>
        </w:rPr>
      </w:pPr>
      <w:r w:rsidRPr="00846827">
        <w:rPr>
          <w:b/>
          <w:bCs/>
        </w:rPr>
        <w:t>5</w:t>
      </w:r>
      <w:r w:rsidR="00B96BE3" w:rsidRPr="00846827">
        <w:rPr>
          <w:b/>
          <w:bCs/>
        </w:rPr>
        <w:t>. Galimos neigiamos priimt</w:t>
      </w:r>
      <w:r w:rsidR="004F066D" w:rsidRPr="00846827">
        <w:rPr>
          <w:b/>
          <w:bCs/>
        </w:rPr>
        <w:t>o</w:t>
      </w:r>
      <w:r w:rsidR="00B96BE3" w:rsidRPr="00846827">
        <w:rPr>
          <w:b/>
          <w:bCs/>
        </w:rPr>
        <w:t xml:space="preserve"> </w:t>
      </w:r>
      <w:r w:rsidR="00B24D27" w:rsidRPr="00846827">
        <w:rPr>
          <w:b/>
          <w:bCs/>
        </w:rPr>
        <w:t>Nutarimo</w:t>
      </w:r>
      <w:r w:rsidR="000526C7" w:rsidRPr="00846827">
        <w:rPr>
          <w:b/>
          <w:bCs/>
        </w:rPr>
        <w:t xml:space="preserve"> pasekmės</w:t>
      </w:r>
      <w:r w:rsidR="007B05AE" w:rsidRPr="00846827">
        <w:rPr>
          <w:b/>
          <w:bCs/>
        </w:rPr>
        <w:t xml:space="preserve"> ir kokių priemonių reikėtų imtis, kad tokių pasekmių būtų išvengta</w:t>
      </w:r>
    </w:p>
    <w:p w:rsidR="00FC5A0F" w:rsidRPr="00846827" w:rsidRDefault="00FC5A0F" w:rsidP="00FC5A0F">
      <w:pPr>
        <w:tabs>
          <w:tab w:val="left" w:pos="1134"/>
          <w:tab w:val="left" w:pos="2592"/>
          <w:tab w:val="left" w:pos="3888"/>
          <w:tab w:val="left" w:pos="5185"/>
          <w:tab w:val="left" w:pos="6481"/>
          <w:tab w:val="left" w:pos="7777"/>
          <w:tab w:val="left" w:pos="9072"/>
          <w:tab w:val="left" w:pos="10335"/>
        </w:tabs>
        <w:suppressAutoHyphens/>
        <w:ind w:firstLine="720"/>
        <w:contextualSpacing/>
        <w:jc w:val="both"/>
      </w:pPr>
      <w:r w:rsidRPr="00846827">
        <w:t xml:space="preserve">Neigiamų pasekmių nenumatoma.  </w:t>
      </w:r>
    </w:p>
    <w:p w:rsidR="00F65858" w:rsidRPr="00846827" w:rsidRDefault="00F65858" w:rsidP="00100624">
      <w:pPr>
        <w:tabs>
          <w:tab w:val="left" w:pos="1134"/>
          <w:tab w:val="left" w:pos="2592"/>
          <w:tab w:val="left" w:pos="3888"/>
          <w:tab w:val="left" w:pos="5185"/>
          <w:tab w:val="left" w:pos="6481"/>
          <w:tab w:val="left" w:pos="7777"/>
          <w:tab w:val="left" w:pos="9072"/>
          <w:tab w:val="left" w:pos="10335"/>
        </w:tabs>
        <w:suppressAutoHyphens/>
        <w:ind w:firstLine="720"/>
        <w:contextualSpacing/>
        <w:jc w:val="both"/>
      </w:pPr>
    </w:p>
    <w:p w:rsidR="000526C7" w:rsidRPr="00846827" w:rsidRDefault="00AD59E9" w:rsidP="00100624">
      <w:pPr>
        <w:tabs>
          <w:tab w:val="left" w:pos="1134"/>
          <w:tab w:val="left" w:pos="2592"/>
          <w:tab w:val="left" w:pos="3888"/>
          <w:tab w:val="left" w:pos="5185"/>
          <w:tab w:val="left" w:pos="6481"/>
          <w:tab w:val="left" w:pos="7777"/>
          <w:tab w:val="left" w:pos="9072"/>
          <w:tab w:val="left" w:pos="10335"/>
        </w:tabs>
        <w:suppressAutoHyphens/>
        <w:ind w:firstLine="720"/>
        <w:contextualSpacing/>
        <w:jc w:val="both"/>
        <w:rPr>
          <w:b/>
          <w:bCs/>
        </w:rPr>
      </w:pPr>
      <w:r w:rsidRPr="00846827">
        <w:rPr>
          <w:b/>
          <w:bCs/>
        </w:rPr>
        <w:t>6</w:t>
      </w:r>
      <w:r w:rsidR="000526C7" w:rsidRPr="00846827">
        <w:rPr>
          <w:b/>
          <w:bCs/>
        </w:rPr>
        <w:t xml:space="preserve">. Kokią įtaką </w:t>
      </w:r>
      <w:r w:rsidR="00B96BE3" w:rsidRPr="00846827">
        <w:rPr>
          <w:b/>
          <w:bCs/>
        </w:rPr>
        <w:t>priimt</w:t>
      </w:r>
      <w:r w:rsidR="004F066D" w:rsidRPr="00846827">
        <w:rPr>
          <w:b/>
          <w:bCs/>
        </w:rPr>
        <w:t>as</w:t>
      </w:r>
      <w:r w:rsidR="000251EB" w:rsidRPr="00846827">
        <w:rPr>
          <w:b/>
          <w:bCs/>
        </w:rPr>
        <w:t xml:space="preserve"> </w:t>
      </w:r>
      <w:r w:rsidR="00B24D27" w:rsidRPr="00846827">
        <w:rPr>
          <w:b/>
          <w:bCs/>
        </w:rPr>
        <w:t xml:space="preserve">Nutarimas </w:t>
      </w:r>
      <w:r w:rsidR="000526C7" w:rsidRPr="00846827">
        <w:rPr>
          <w:b/>
          <w:bCs/>
        </w:rPr>
        <w:t>turės kriminogeninei situacijai, korupcijai</w:t>
      </w:r>
    </w:p>
    <w:p w:rsidR="003B117C" w:rsidRPr="00846827" w:rsidRDefault="00B24D27" w:rsidP="003B117C">
      <w:pPr>
        <w:tabs>
          <w:tab w:val="left" w:pos="1134"/>
          <w:tab w:val="left" w:pos="2592"/>
          <w:tab w:val="left" w:pos="3888"/>
          <w:tab w:val="left" w:pos="5185"/>
          <w:tab w:val="left" w:pos="6481"/>
          <w:tab w:val="left" w:pos="7777"/>
          <w:tab w:val="left" w:pos="9072"/>
          <w:tab w:val="left" w:pos="10335"/>
        </w:tabs>
        <w:suppressAutoHyphens/>
        <w:ind w:firstLine="720"/>
        <w:contextualSpacing/>
        <w:jc w:val="both"/>
      </w:pPr>
      <w:r w:rsidRPr="00846827">
        <w:t>N</w:t>
      </w:r>
      <w:r w:rsidR="003B117C" w:rsidRPr="00846827">
        <w:t>utarimo priėmimas kriminogeninei situacijai ir korupcijai įtakos neturės.</w:t>
      </w:r>
    </w:p>
    <w:p w:rsidR="00762F3D" w:rsidRPr="00846827" w:rsidRDefault="00762F3D" w:rsidP="00100624">
      <w:pPr>
        <w:tabs>
          <w:tab w:val="left" w:pos="1134"/>
          <w:tab w:val="left" w:pos="2592"/>
          <w:tab w:val="left" w:pos="3888"/>
          <w:tab w:val="left" w:pos="5185"/>
          <w:tab w:val="left" w:pos="6481"/>
          <w:tab w:val="left" w:pos="7777"/>
          <w:tab w:val="left" w:pos="9072"/>
          <w:tab w:val="left" w:pos="10335"/>
        </w:tabs>
        <w:suppressAutoHyphens/>
        <w:ind w:firstLine="720"/>
        <w:contextualSpacing/>
        <w:jc w:val="both"/>
        <w:rPr>
          <w:b/>
          <w:bCs/>
        </w:rPr>
      </w:pPr>
    </w:p>
    <w:p w:rsidR="000526C7" w:rsidRPr="00846827" w:rsidRDefault="00AD59E9" w:rsidP="00100624">
      <w:pPr>
        <w:tabs>
          <w:tab w:val="left" w:pos="1134"/>
          <w:tab w:val="left" w:pos="2592"/>
          <w:tab w:val="left" w:pos="3888"/>
          <w:tab w:val="left" w:pos="5185"/>
          <w:tab w:val="left" w:pos="6481"/>
          <w:tab w:val="left" w:pos="7777"/>
          <w:tab w:val="left" w:pos="9072"/>
          <w:tab w:val="left" w:pos="10335"/>
        </w:tabs>
        <w:suppressAutoHyphens/>
        <w:ind w:firstLine="720"/>
        <w:contextualSpacing/>
        <w:jc w:val="both"/>
        <w:rPr>
          <w:b/>
          <w:bCs/>
        </w:rPr>
      </w:pPr>
      <w:r w:rsidRPr="00846827">
        <w:rPr>
          <w:b/>
          <w:bCs/>
        </w:rPr>
        <w:t>7</w:t>
      </w:r>
      <w:r w:rsidR="00CB1503" w:rsidRPr="00846827">
        <w:rPr>
          <w:b/>
          <w:bCs/>
        </w:rPr>
        <w:t xml:space="preserve">. Kaip </w:t>
      </w:r>
      <w:r w:rsidR="00B24D27" w:rsidRPr="00846827">
        <w:rPr>
          <w:b/>
          <w:bCs/>
        </w:rPr>
        <w:t>Nutarimo</w:t>
      </w:r>
      <w:r w:rsidR="000526C7" w:rsidRPr="00846827">
        <w:rPr>
          <w:b/>
          <w:bCs/>
        </w:rPr>
        <w:t xml:space="preserve"> įgyvendinimas atsilieps verslo sąlygoms ir jo plėtrai</w:t>
      </w:r>
    </w:p>
    <w:p w:rsidR="008A69CE" w:rsidRDefault="00846827" w:rsidP="00100624">
      <w:pPr>
        <w:tabs>
          <w:tab w:val="left" w:pos="1134"/>
          <w:tab w:val="left" w:pos="2592"/>
          <w:tab w:val="left" w:pos="3888"/>
          <w:tab w:val="left" w:pos="5185"/>
          <w:tab w:val="left" w:pos="6481"/>
          <w:tab w:val="left" w:pos="7777"/>
          <w:tab w:val="left" w:pos="9072"/>
          <w:tab w:val="left" w:pos="10335"/>
        </w:tabs>
        <w:suppressAutoHyphens/>
        <w:ind w:firstLine="720"/>
        <w:contextualSpacing/>
        <w:jc w:val="both"/>
        <w:rPr>
          <w:bCs/>
        </w:rPr>
      </w:pPr>
      <w:r>
        <w:rPr>
          <w:bCs/>
        </w:rPr>
        <w:t>Nutarimo projektas įtakos verslo sąlygoms ir jo plėtrai neturės.</w:t>
      </w:r>
    </w:p>
    <w:p w:rsidR="00846827" w:rsidRPr="00C7253A" w:rsidRDefault="00846827" w:rsidP="00100624">
      <w:pPr>
        <w:tabs>
          <w:tab w:val="left" w:pos="1134"/>
          <w:tab w:val="left" w:pos="2592"/>
          <w:tab w:val="left" w:pos="3888"/>
          <w:tab w:val="left" w:pos="5185"/>
          <w:tab w:val="left" w:pos="6481"/>
          <w:tab w:val="left" w:pos="7777"/>
          <w:tab w:val="left" w:pos="9072"/>
          <w:tab w:val="left" w:pos="10335"/>
        </w:tabs>
        <w:suppressAutoHyphens/>
        <w:ind w:firstLine="720"/>
        <w:contextualSpacing/>
        <w:jc w:val="both"/>
        <w:rPr>
          <w:bCs/>
        </w:rPr>
      </w:pPr>
    </w:p>
    <w:p w:rsidR="000526C7" w:rsidRDefault="00AD59E9" w:rsidP="00100624">
      <w:pPr>
        <w:tabs>
          <w:tab w:val="left" w:pos="1134"/>
          <w:tab w:val="left" w:pos="2592"/>
          <w:tab w:val="left" w:pos="3888"/>
          <w:tab w:val="left" w:pos="5185"/>
          <w:tab w:val="left" w:pos="6481"/>
          <w:tab w:val="left" w:pos="7777"/>
          <w:tab w:val="left" w:pos="9072"/>
          <w:tab w:val="left" w:pos="10335"/>
        </w:tabs>
        <w:suppressAutoHyphens/>
        <w:ind w:firstLine="720"/>
        <w:contextualSpacing/>
        <w:jc w:val="both"/>
        <w:rPr>
          <w:b/>
          <w:bCs/>
        </w:rPr>
      </w:pPr>
      <w:r w:rsidRPr="00571665">
        <w:rPr>
          <w:b/>
          <w:bCs/>
        </w:rPr>
        <w:t>8</w:t>
      </w:r>
      <w:r w:rsidR="00B96BE3" w:rsidRPr="00571665">
        <w:rPr>
          <w:b/>
          <w:bCs/>
        </w:rPr>
        <w:t xml:space="preserve">. </w:t>
      </w:r>
      <w:r w:rsidR="00B24D27" w:rsidRPr="00571665">
        <w:rPr>
          <w:b/>
          <w:bCs/>
        </w:rPr>
        <w:t xml:space="preserve">Nutarimo </w:t>
      </w:r>
      <w:r w:rsidR="000526C7" w:rsidRPr="00571665">
        <w:rPr>
          <w:b/>
          <w:bCs/>
        </w:rPr>
        <w:t xml:space="preserve">inkorporavimas į teisinę sistemą, kokius teisės aktus būtina </w:t>
      </w:r>
      <w:r w:rsidR="0018378E" w:rsidRPr="00571665">
        <w:rPr>
          <w:b/>
          <w:bCs/>
        </w:rPr>
        <w:t xml:space="preserve">priimti, kokius galiojančius teisės aktus reikia </w:t>
      </w:r>
      <w:r w:rsidR="000526C7" w:rsidRPr="00571665">
        <w:rPr>
          <w:b/>
          <w:bCs/>
        </w:rPr>
        <w:t xml:space="preserve">pakeisti ar </w:t>
      </w:r>
      <w:r w:rsidR="0018378E" w:rsidRPr="00571665">
        <w:rPr>
          <w:b/>
          <w:bCs/>
        </w:rPr>
        <w:t>pripažinti netekusiais galios</w:t>
      </w:r>
    </w:p>
    <w:p w:rsidR="00867D7F" w:rsidRPr="00571665" w:rsidRDefault="00867D7F" w:rsidP="00867D7F">
      <w:pPr>
        <w:ind w:firstLine="720"/>
        <w:jc w:val="both"/>
        <w:rPr>
          <w:lang w:eastAsia="en-GB"/>
        </w:rPr>
      </w:pPr>
      <w:r w:rsidRPr="009940DF">
        <w:rPr>
          <w:lang w:eastAsia="en-GB"/>
        </w:rPr>
        <w:t xml:space="preserve">Seimui priėmus Nutarimą, Vyriausybė turės </w:t>
      </w:r>
      <w:r w:rsidRPr="009940DF">
        <w:t>rengiant atitinkamų metų Lietuvos Respublikos valstybės biudžeto ir savivaldybių biudžetų finansinių rodiklių patvirtinimo įstatymo projektus atsižvelgti į Strategijos nuostatas bei parengti ir pateikti Seimui atitinkamų įstatymų</w:t>
      </w:r>
      <w:r w:rsidR="001C7621" w:rsidRPr="009940DF">
        <w:t xml:space="preserve"> (nurodytų Strategijos priede, taip pat prireikus ir kitų įstatymų)</w:t>
      </w:r>
      <w:r w:rsidRPr="009940DF">
        <w:t xml:space="preserve"> </w:t>
      </w:r>
      <w:r w:rsidR="001C7621" w:rsidRPr="009940DF">
        <w:t>pakeitimų įstatymų projektus</w:t>
      </w:r>
      <w:r w:rsidRPr="009940DF">
        <w:t>, reikalingus Strategijos nuostatoms įgyvendinti.</w:t>
      </w:r>
    </w:p>
    <w:p w:rsidR="006A094C" w:rsidRPr="00571665" w:rsidRDefault="006A094C" w:rsidP="00100624">
      <w:pPr>
        <w:tabs>
          <w:tab w:val="left" w:pos="1134"/>
          <w:tab w:val="left" w:pos="2592"/>
          <w:tab w:val="left" w:pos="3888"/>
          <w:tab w:val="left" w:pos="5185"/>
          <w:tab w:val="left" w:pos="6481"/>
          <w:tab w:val="left" w:pos="7777"/>
          <w:tab w:val="left" w:pos="9072"/>
          <w:tab w:val="left" w:pos="10335"/>
        </w:tabs>
        <w:suppressAutoHyphens/>
        <w:ind w:firstLine="720"/>
        <w:contextualSpacing/>
        <w:jc w:val="both"/>
      </w:pPr>
    </w:p>
    <w:p w:rsidR="009C30FF" w:rsidRPr="00571665" w:rsidRDefault="005F11CC" w:rsidP="00100624">
      <w:pPr>
        <w:tabs>
          <w:tab w:val="left" w:pos="10260"/>
          <w:tab w:val="left" w:pos="10440"/>
        </w:tabs>
        <w:ind w:firstLine="720"/>
        <w:contextualSpacing/>
        <w:jc w:val="both"/>
        <w:rPr>
          <w:b/>
          <w:bCs/>
        </w:rPr>
      </w:pPr>
      <w:r w:rsidRPr="00571665">
        <w:rPr>
          <w:b/>
          <w:bCs/>
        </w:rPr>
        <w:t xml:space="preserve">9. Ar </w:t>
      </w:r>
      <w:r w:rsidR="00B24D27" w:rsidRPr="00571665">
        <w:rPr>
          <w:b/>
          <w:bCs/>
        </w:rPr>
        <w:t xml:space="preserve">Nutarimo </w:t>
      </w:r>
      <w:r w:rsidR="00B96BE3" w:rsidRPr="00571665">
        <w:rPr>
          <w:b/>
          <w:bCs/>
        </w:rPr>
        <w:t>projekta</w:t>
      </w:r>
      <w:r w:rsidR="00D66B29" w:rsidRPr="00571665">
        <w:rPr>
          <w:b/>
          <w:bCs/>
        </w:rPr>
        <w:t>s</w:t>
      </w:r>
      <w:r w:rsidR="00B96BE3" w:rsidRPr="00571665">
        <w:rPr>
          <w:b/>
          <w:bCs/>
        </w:rPr>
        <w:t xml:space="preserve"> parengt</w:t>
      </w:r>
      <w:r w:rsidR="00D66B29" w:rsidRPr="00571665">
        <w:rPr>
          <w:b/>
          <w:bCs/>
        </w:rPr>
        <w:t>as</w:t>
      </w:r>
      <w:r w:rsidR="009C30FF" w:rsidRPr="00571665">
        <w:rPr>
          <w:b/>
          <w:bCs/>
        </w:rPr>
        <w:t xml:space="preserve"> laikantis </w:t>
      </w:r>
      <w:r w:rsidR="00380BE1" w:rsidRPr="00571665">
        <w:rPr>
          <w:b/>
          <w:bCs/>
        </w:rPr>
        <w:t>Lietuvos Respublikos v</w:t>
      </w:r>
      <w:r w:rsidR="009C30FF" w:rsidRPr="00571665">
        <w:rPr>
          <w:b/>
          <w:bCs/>
        </w:rPr>
        <w:t>alstybinės kalbos</w:t>
      </w:r>
      <w:r w:rsidR="001C7801" w:rsidRPr="00571665">
        <w:rPr>
          <w:b/>
          <w:bCs/>
        </w:rPr>
        <w:t>,</w:t>
      </w:r>
      <w:r w:rsidR="009C30FF" w:rsidRPr="00571665">
        <w:rPr>
          <w:b/>
          <w:bCs/>
        </w:rPr>
        <w:t xml:space="preserve"> Teisėkūros pagrindų </w:t>
      </w:r>
      <w:r w:rsidRPr="00571665">
        <w:rPr>
          <w:b/>
          <w:bCs/>
        </w:rPr>
        <w:t xml:space="preserve">įstatymų reikalavimų, o </w:t>
      </w:r>
      <w:r w:rsidR="00C7253A">
        <w:rPr>
          <w:b/>
          <w:bCs/>
        </w:rPr>
        <w:t xml:space="preserve">Nutarimo </w:t>
      </w:r>
      <w:r w:rsidR="00B96BE3" w:rsidRPr="00571665">
        <w:rPr>
          <w:b/>
          <w:bCs/>
        </w:rPr>
        <w:t>projekt</w:t>
      </w:r>
      <w:r w:rsidR="00D66B29" w:rsidRPr="00571665">
        <w:rPr>
          <w:b/>
          <w:bCs/>
        </w:rPr>
        <w:t>o</w:t>
      </w:r>
      <w:r w:rsidR="009C30FF" w:rsidRPr="00571665">
        <w:rPr>
          <w:b/>
          <w:bCs/>
        </w:rPr>
        <w:t xml:space="preserve"> sąvokos ir jas įvardijantys terminai įvertinti Terminų banko įstatymo ir jo įgyvendinamųjų teisės aktų nustatyta tvarka</w:t>
      </w:r>
    </w:p>
    <w:p w:rsidR="000526C7" w:rsidRPr="00571665" w:rsidRDefault="00B24D27" w:rsidP="00100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rPr>
          <w:bCs/>
        </w:rPr>
      </w:pPr>
      <w:r w:rsidRPr="00571665">
        <w:rPr>
          <w:bCs/>
        </w:rPr>
        <w:t xml:space="preserve">Nutarimo </w:t>
      </w:r>
      <w:r w:rsidR="00B227EA" w:rsidRPr="00571665">
        <w:rPr>
          <w:bCs/>
        </w:rPr>
        <w:t>p</w:t>
      </w:r>
      <w:r w:rsidR="00B96BE3" w:rsidRPr="00571665">
        <w:rPr>
          <w:bCs/>
        </w:rPr>
        <w:t>rojekta</w:t>
      </w:r>
      <w:r w:rsidR="00D66B29" w:rsidRPr="00571665">
        <w:rPr>
          <w:bCs/>
        </w:rPr>
        <w:t>s</w:t>
      </w:r>
      <w:r w:rsidR="009C30FF" w:rsidRPr="00571665">
        <w:rPr>
          <w:bCs/>
        </w:rPr>
        <w:t xml:space="preserve"> parengt</w:t>
      </w:r>
      <w:r w:rsidR="004973D7" w:rsidRPr="00571665">
        <w:rPr>
          <w:bCs/>
        </w:rPr>
        <w:t>as</w:t>
      </w:r>
      <w:r w:rsidR="009C30FF" w:rsidRPr="00571665">
        <w:rPr>
          <w:bCs/>
        </w:rPr>
        <w:t xml:space="preserve"> laikantis Valstybinės kalbos</w:t>
      </w:r>
      <w:r w:rsidR="000678AE">
        <w:rPr>
          <w:bCs/>
        </w:rPr>
        <w:t xml:space="preserve"> įstatymo </w:t>
      </w:r>
      <w:r w:rsidR="009C30FF" w:rsidRPr="00571665">
        <w:rPr>
          <w:bCs/>
        </w:rPr>
        <w:t xml:space="preserve"> ir Teisėkūros pagrindų įstatym</w:t>
      </w:r>
      <w:r w:rsidR="000678AE">
        <w:rPr>
          <w:bCs/>
        </w:rPr>
        <w:t>o</w:t>
      </w:r>
      <w:r w:rsidR="009C30FF" w:rsidRPr="00571665">
        <w:rPr>
          <w:bCs/>
        </w:rPr>
        <w:t xml:space="preserve"> reikalavimų. Nauj</w:t>
      </w:r>
      <w:r w:rsidR="007F51E4" w:rsidRPr="00571665">
        <w:rPr>
          <w:bCs/>
        </w:rPr>
        <w:t>ų</w:t>
      </w:r>
      <w:r w:rsidR="009C30FF" w:rsidRPr="00571665">
        <w:rPr>
          <w:bCs/>
        </w:rPr>
        <w:t xml:space="preserve"> sąvok</w:t>
      </w:r>
      <w:r w:rsidR="007F51E4" w:rsidRPr="00571665">
        <w:rPr>
          <w:bCs/>
        </w:rPr>
        <w:t>ų</w:t>
      </w:r>
      <w:r w:rsidR="009C30FF" w:rsidRPr="00571665">
        <w:rPr>
          <w:bCs/>
        </w:rPr>
        <w:t xml:space="preserve"> </w:t>
      </w:r>
      <w:r w:rsidR="00E93C6B" w:rsidRPr="00571665">
        <w:rPr>
          <w:bCs/>
        </w:rPr>
        <w:t>nepateikiama</w:t>
      </w:r>
      <w:r w:rsidR="009C30FF" w:rsidRPr="00571665">
        <w:rPr>
          <w:bCs/>
        </w:rPr>
        <w:t>.</w:t>
      </w:r>
    </w:p>
    <w:p w:rsidR="00E93C6B" w:rsidRPr="00571665" w:rsidRDefault="00E93C6B" w:rsidP="00100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pPr>
    </w:p>
    <w:p w:rsidR="00640525" w:rsidRPr="00571665" w:rsidRDefault="00B81A9C" w:rsidP="00100624">
      <w:pPr>
        <w:tabs>
          <w:tab w:val="left" w:pos="10260"/>
          <w:tab w:val="left" w:pos="10440"/>
        </w:tabs>
        <w:ind w:firstLine="720"/>
        <w:contextualSpacing/>
        <w:jc w:val="both"/>
        <w:rPr>
          <w:b/>
        </w:rPr>
      </w:pPr>
      <w:r w:rsidRPr="00571665">
        <w:rPr>
          <w:b/>
        </w:rPr>
        <w:t xml:space="preserve">10. </w:t>
      </w:r>
      <w:r w:rsidR="001C7801" w:rsidRPr="00571665">
        <w:rPr>
          <w:b/>
        </w:rPr>
        <w:t xml:space="preserve">Ar </w:t>
      </w:r>
      <w:r w:rsidR="00B227EA" w:rsidRPr="00571665">
        <w:rPr>
          <w:b/>
        </w:rPr>
        <w:t xml:space="preserve">Nutarimo </w:t>
      </w:r>
      <w:r w:rsidR="00B96BE3" w:rsidRPr="00571665">
        <w:rPr>
          <w:b/>
        </w:rPr>
        <w:t>projekta</w:t>
      </w:r>
      <w:r w:rsidR="00D66B29" w:rsidRPr="00571665">
        <w:rPr>
          <w:b/>
        </w:rPr>
        <w:t>s</w:t>
      </w:r>
      <w:r w:rsidR="001C7801" w:rsidRPr="00571665">
        <w:rPr>
          <w:b/>
        </w:rPr>
        <w:t xml:space="preserve"> atitinka Žmogaus teisių ir pagrindinių laisvių apsaugos konvencijos nuostatas ir Europos Sąjungos dokumentus</w:t>
      </w:r>
    </w:p>
    <w:p w:rsidR="006A094C" w:rsidRPr="00571665" w:rsidRDefault="000678AE" w:rsidP="00100624">
      <w:pPr>
        <w:tabs>
          <w:tab w:val="left" w:pos="10260"/>
          <w:tab w:val="left" w:pos="10440"/>
        </w:tabs>
        <w:ind w:firstLine="720"/>
        <w:contextualSpacing/>
        <w:jc w:val="both"/>
      </w:pPr>
      <w:r>
        <w:t>Nutarimo p</w:t>
      </w:r>
      <w:r w:rsidR="00B96BE3" w:rsidRPr="00571665">
        <w:t>rojekta</w:t>
      </w:r>
      <w:r w:rsidR="00D66B29" w:rsidRPr="00571665">
        <w:t>s</w:t>
      </w:r>
      <w:r w:rsidR="00640525" w:rsidRPr="00571665">
        <w:rPr>
          <w:b/>
        </w:rPr>
        <w:t xml:space="preserve"> </w:t>
      </w:r>
      <w:r w:rsidR="00640525" w:rsidRPr="00571665">
        <w:t xml:space="preserve">neprieštarauja Europos žmogaus teisių ir pagrindinių laisvių apsaugos konvencijos nuostatoms ir Europos Sąjungos </w:t>
      </w:r>
      <w:r w:rsidR="008D3044" w:rsidRPr="00571665">
        <w:t>dokumentams</w:t>
      </w:r>
      <w:r w:rsidR="00640525" w:rsidRPr="00571665">
        <w:t xml:space="preserve">. </w:t>
      </w:r>
    </w:p>
    <w:p w:rsidR="00AD59E9" w:rsidRPr="00571665" w:rsidRDefault="00AD59E9" w:rsidP="00100624">
      <w:pPr>
        <w:pStyle w:val="HTMLiankstoformatuotas"/>
        <w:tabs>
          <w:tab w:val="clear" w:pos="916"/>
          <w:tab w:val="left" w:pos="540"/>
        </w:tabs>
        <w:ind w:firstLine="720"/>
        <w:contextualSpacing/>
        <w:jc w:val="both"/>
        <w:rPr>
          <w:rFonts w:ascii="Times New Roman" w:hAnsi="Times New Roman"/>
          <w:sz w:val="24"/>
          <w:szCs w:val="24"/>
        </w:rPr>
      </w:pPr>
    </w:p>
    <w:p w:rsidR="00AD59E9" w:rsidRPr="00571665" w:rsidRDefault="00AD59E9" w:rsidP="00100624">
      <w:pPr>
        <w:pStyle w:val="HTMLiankstoformatuotas"/>
        <w:tabs>
          <w:tab w:val="clear" w:pos="916"/>
          <w:tab w:val="left" w:pos="540"/>
        </w:tabs>
        <w:ind w:firstLine="720"/>
        <w:contextualSpacing/>
        <w:jc w:val="both"/>
        <w:rPr>
          <w:rFonts w:ascii="Times New Roman" w:hAnsi="Times New Roman"/>
          <w:b/>
          <w:sz w:val="24"/>
          <w:szCs w:val="24"/>
        </w:rPr>
      </w:pPr>
      <w:r w:rsidRPr="00571665">
        <w:rPr>
          <w:rFonts w:ascii="Times New Roman" w:hAnsi="Times New Roman"/>
          <w:b/>
          <w:sz w:val="24"/>
          <w:szCs w:val="24"/>
        </w:rPr>
        <w:t xml:space="preserve">11. </w:t>
      </w:r>
      <w:r w:rsidR="00A37D7E" w:rsidRPr="00571665">
        <w:rPr>
          <w:rFonts w:ascii="Times New Roman" w:hAnsi="Times New Roman"/>
          <w:b/>
          <w:sz w:val="24"/>
          <w:szCs w:val="24"/>
        </w:rPr>
        <w:t xml:space="preserve">Jeigu </w:t>
      </w:r>
      <w:r w:rsidR="00B227EA" w:rsidRPr="00571665">
        <w:rPr>
          <w:rFonts w:ascii="Times New Roman" w:hAnsi="Times New Roman"/>
          <w:b/>
          <w:sz w:val="24"/>
          <w:szCs w:val="24"/>
        </w:rPr>
        <w:t>Nutarimui</w:t>
      </w:r>
      <w:r w:rsidR="00504764" w:rsidRPr="00571665">
        <w:rPr>
          <w:rFonts w:ascii="Times New Roman" w:hAnsi="Times New Roman"/>
          <w:b/>
          <w:sz w:val="24"/>
          <w:szCs w:val="24"/>
        </w:rPr>
        <w:t xml:space="preserve"> įgyvendinti reikia įgyvendinamųjų teisės aktų</w:t>
      </w:r>
      <w:r w:rsidR="00153D5F" w:rsidRPr="00571665">
        <w:rPr>
          <w:rFonts w:ascii="Times New Roman" w:hAnsi="Times New Roman"/>
          <w:b/>
          <w:sz w:val="24"/>
          <w:szCs w:val="24"/>
        </w:rPr>
        <w:t>,</w:t>
      </w:r>
      <w:r w:rsidR="00504764" w:rsidRPr="00571665">
        <w:rPr>
          <w:rFonts w:ascii="Times New Roman" w:hAnsi="Times New Roman"/>
          <w:b/>
          <w:sz w:val="24"/>
          <w:szCs w:val="24"/>
        </w:rPr>
        <w:t xml:space="preserve"> – kas ir kada juos turėtų priimti</w:t>
      </w:r>
    </w:p>
    <w:p w:rsidR="00B227EA" w:rsidRPr="00571665" w:rsidRDefault="001C7621" w:rsidP="00B227EA">
      <w:pPr>
        <w:ind w:firstLine="720"/>
        <w:jc w:val="both"/>
        <w:rPr>
          <w:lang w:eastAsia="en-GB"/>
        </w:rPr>
      </w:pPr>
      <w:r w:rsidRPr="009940DF">
        <w:rPr>
          <w:lang w:eastAsia="en-GB"/>
        </w:rPr>
        <w:t xml:space="preserve">Seimui pritarus ir patvirtinus </w:t>
      </w:r>
      <w:r w:rsidR="00B227EA" w:rsidRPr="009940DF">
        <w:rPr>
          <w:lang w:eastAsia="en-GB"/>
        </w:rPr>
        <w:t>Strategij</w:t>
      </w:r>
      <w:r w:rsidRPr="009940DF">
        <w:rPr>
          <w:lang w:eastAsia="en-GB"/>
        </w:rPr>
        <w:t>ą,</w:t>
      </w:r>
      <w:r w:rsidR="00B227EA" w:rsidRPr="009940DF">
        <w:rPr>
          <w:lang w:eastAsia="en-GB"/>
        </w:rPr>
        <w:t xml:space="preserve"> </w:t>
      </w:r>
      <w:r w:rsidRPr="009940DF">
        <w:rPr>
          <w:lang w:eastAsia="en-GB"/>
        </w:rPr>
        <w:t xml:space="preserve">vėliau </w:t>
      </w:r>
      <w:r w:rsidR="00B227EA" w:rsidRPr="009940DF">
        <w:rPr>
          <w:lang w:eastAsia="en-GB"/>
        </w:rPr>
        <w:t xml:space="preserve">Seimui </w:t>
      </w:r>
      <w:r w:rsidRPr="009940DF">
        <w:rPr>
          <w:lang w:eastAsia="en-GB"/>
        </w:rPr>
        <w:t xml:space="preserve">teikiant </w:t>
      </w:r>
      <w:r w:rsidRPr="009940DF">
        <w:t xml:space="preserve">atitinkamų įstatymų (nurodytų Strategijos priede, taip pat prireikus ir kitų įstatymų) pakeitimų įstatymų projektus, bus nurodomi ir atitinkami Vyriausybės nutarimai, kiti įgyvendinamieji teisės aktai, kuriuos reikės priimti ar pakeisti siekiant tinkamai įgyvendinti </w:t>
      </w:r>
      <w:r w:rsidR="00B227EA" w:rsidRPr="009940DF">
        <w:t>Strategijos nuostatas</w:t>
      </w:r>
      <w:r w:rsidR="00F75FC4" w:rsidRPr="009940DF">
        <w:t>.</w:t>
      </w:r>
    </w:p>
    <w:p w:rsidR="004C628C" w:rsidRPr="00571665" w:rsidRDefault="004C628C" w:rsidP="00100624">
      <w:pPr>
        <w:pStyle w:val="HTMLiankstoformatuotas"/>
        <w:ind w:firstLine="720"/>
        <w:contextualSpacing/>
        <w:jc w:val="both"/>
        <w:rPr>
          <w:rFonts w:ascii="Times New Roman" w:hAnsi="Times New Roman"/>
          <w:sz w:val="24"/>
          <w:szCs w:val="24"/>
        </w:rPr>
      </w:pPr>
    </w:p>
    <w:p w:rsidR="000526C7" w:rsidRPr="00571665" w:rsidRDefault="000526C7" w:rsidP="00100624">
      <w:pPr>
        <w:pStyle w:val="HTMLiankstoformatuotas"/>
        <w:tabs>
          <w:tab w:val="clear" w:pos="916"/>
          <w:tab w:val="left" w:pos="851"/>
          <w:tab w:val="left" w:pos="1134"/>
        </w:tabs>
        <w:ind w:firstLine="720"/>
        <w:contextualSpacing/>
        <w:jc w:val="both"/>
        <w:rPr>
          <w:rFonts w:ascii="Times New Roman" w:hAnsi="Times New Roman"/>
          <w:b/>
          <w:bCs/>
          <w:sz w:val="24"/>
          <w:szCs w:val="24"/>
        </w:rPr>
      </w:pPr>
      <w:r w:rsidRPr="00571665">
        <w:rPr>
          <w:rFonts w:ascii="Times New Roman" w:hAnsi="Times New Roman"/>
          <w:b/>
          <w:bCs/>
          <w:sz w:val="24"/>
          <w:szCs w:val="24"/>
        </w:rPr>
        <w:t>1</w:t>
      </w:r>
      <w:r w:rsidR="00AD59E9" w:rsidRPr="00571665">
        <w:rPr>
          <w:rFonts w:ascii="Times New Roman" w:hAnsi="Times New Roman"/>
          <w:b/>
          <w:bCs/>
          <w:sz w:val="24"/>
          <w:szCs w:val="24"/>
        </w:rPr>
        <w:t>2</w:t>
      </w:r>
      <w:r w:rsidRPr="00571665">
        <w:rPr>
          <w:rFonts w:ascii="Times New Roman" w:hAnsi="Times New Roman"/>
          <w:b/>
          <w:bCs/>
          <w:sz w:val="24"/>
          <w:szCs w:val="24"/>
        </w:rPr>
        <w:t xml:space="preserve">. </w:t>
      </w:r>
      <w:r w:rsidR="003A0DB4" w:rsidRPr="00571665">
        <w:rPr>
          <w:rFonts w:ascii="Times New Roman" w:hAnsi="Times New Roman"/>
          <w:b/>
          <w:bCs/>
          <w:sz w:val="24"/>
          <w:szCs w:val="24"/>
        </w:rPr>
        <w:t>Kiek valstybės, savivaldybių biudžetų ir kitų valstybės įsteig</w:t>
      </w:r>
      <w:r w:rsidR="00B81A9C" w:rsidRPr="00571665">
        <w:rPr>
          <w:rFonts w:ascii="Times New Roman" w:hAnsi="Times New Roman"/>
          <w:b/>
          <w:bCs/>
          <w:sz w:val="24"/>
          <w:szCs w:val="24"/>
        </w:rPr>
        <w:t>t</w:t>
      </w:r>
      <w:r w:rsidR="00983100" w:rsidRPr="00571665">
        <w:rPr>
          <w:rFonts w:ascii="Times New Roman" w:hAnsi="Times New Roman"/>
          <w:b/>
          <w:bCs/>
          <w:sz w:val="24"/>
          <w:szCs w:val="24"/>
        </w:rPr>
        <w:t xml:space="preserve">ų fondų lėšų prireiks </w:t>
      </w:r>
      <w:r w:rsidR="00B227EA" w:rsidRPr="00571665">
        <w:rPr>
          <w:rFonts w:ascii="Times New Roman" w:hAnsi="Times New Roman"/>
          <w:b/>
          <w:bCs/>
          <w:sz w:val="24"/>
          <w:szCs w:val="24"/>
        </w:rPr>
        <w:t xml:space="preserve">Nutarimui </w:t>
      </w:r>
      <w:r w:rsidR="003A0DB4" w:rsidRPr="00571665">
        <w:rPr>
          <w:rFonts w:ascii="Times New Roman" w:hAnsi="Times New Roman"/>
          <w:b/>
          <w:bCs/>
          <w:sz w:val="24"/>
          <w:szCs w:val="24"/>
        </w:rPr>
        <w:t>įgyvendinti, ar bus galima sutaupyti</w:t>
      </w:r>
    </w:p>
    <w:p w:rsidR="001A1F58" w:rsidRDefault="001A1F58" w:rsidP="001A1F58">
      <w:pPr>
        <w:ind w:firstLine="720"/>
        <w:jc w:val="both"/>
      </w:pPr>
      <w:r w:rsidRPr="00D61DDA">
        <w:t xml:space="preserve">Strategijai įgyvendinti papildomų lėšų poreikis 2020 m.: iš valstybės biudžeto – </w:t>
      </w:r>
      <w:r>
        <w:t>daugiau kaip</w:t>
      </w:r>
      <w:r w:rsidRPr="00D61DDA">
        <w:t xml:space="preserve"> </w:t>
      </w:r>
      <w:r w:rsidRPr="00D61DDA">
        <w:rPr>
          <w:lang w:val="en-GB"/>
        </w:rPr>
        <w:t>130</w:t>
      </w:r>
      <w:r w:rsidRPr="00D61DDA">
        <w:t xml:space="preserve"> mln. eurų, iš PSDF biudžeto – 150 mln. eurų.</w:t>
      </w:r>
      <w:r w:rsidRPr="0022103C">
        <w:t xml:space="preserve"> Lėšų poreikis, susijęs su pareiginės algos bazinio dydžio padidinimu, galės būti apskaičiuotas, atsižvelgiant į derybų dėl Nacionalinės kolektyvinės sutarties rezultatus (lėšų poreikis pareiginės algos baziniam dydžiui padidinti 1 euru – apie 20 mln. eurų</w:t>
      </w:r>
      <w:r>
        <w:t xml:space="preserve"> metams</w:t>
      </w:r>
      <w:r w:rsidRPr="0022103C">
        <w:t>).</w:t>
      </w:r>
    </w:p>
    <w:p w:rsidR="00832747" w:rsidRPr="00571665" w:rsidRDefault="00832747" w:rsidP="00100624">
      <w:pPr>
        <w:pStyle w:val="HTMLiankstoformatuotas"/>
        <w:tabs>
          <w:tab w:val="clear" w:pos="916"/>
          <w:tab w:val="left" w:pos="540"/>
          <w:tab w:val="left" w:pos="709"/>
          <w:tab w:val="left" w:pos="1080"/>
        </w:tabs>
        <w:ind w:firstLine="720"/>
        <w:jc w:val="both"/>
        <w:rPr>
          <w:rFonts w:ascii="Times New Roman" w:hAnsi="Times New Roman"/>
          <w:bCs/>
          <w:sz w:val="24"/>
          <w:szCs w:val="24"/>
        </w:rPr>
      </w:pPr>
    </w:p>
    <w:p w:rsidR="007443A8" w:rsidRPr="00571665" w:rsidRDefault="00B81A9C" w:rsidP="00100624">
      <w:pPr>
        <w:pStyle w:val="HTMLiankstoformatuotas"/>
        <w:tabs>
          <w:tab w:val="clear" w:pos="916"/>
          <w:tab w:val="left" w:pos="540"/>
          <w:tab w:val="left" w:pos="709"/>
          <w:tab w:val="left" w:pos="1080"/>
        </w:tabs>
        <w:ind w:firstLine="720"/>
        <w:contextualSpacing/>
        <w:jc w:val="both"/>
        <w:rPr>
          <w:rFonts w:ascii="Times New Roman" w:hAnsi="Times New Roman"/>
          <w:b/>
          <w:bCs/>
          <w:sz w:val="24"/>
          <w:szCs w:val="24"/>
        </w:rPr>
      </w:pPr>
      <w:r w:rsidRPr="00571665">
        <w:rPr>
          <w:rFonts w:ascii="Times New Roman" w:hAnsi="Times New Roman"/>
          <w:b/>
          <w:bCs/>
          <w:sz w:val="24"/>
          <w:szCs w:val="24"/>
        </w:rPr>
        <w:t xml:space="preserve">13. </w:t>
      </w:r>
      <w:r w:rsidR="00EE35BD">
        <w:rPr>
          <w:rFonts w:ascii="Times New Roman" w:hAnsi="Times New Roman"/>
          <w:b/>
          <w:bCs/>
          <w:sz w:val="24"/>
          <w:szCs w:val="24"/>
        </w:rPr>
        <w:t>P</w:t>
      </w:r>
      <w:r w:rsidR="00B96BE3" w:rsidRPr="00571665">
        <w:rPr>
          <w:rFonts w:ascii="Times New Roman" w:hAnsi="Times New Roman"/>
          <w:b/>
          <w:bCs/>
          <w:sz w:val="24"/>
          <w:szCs w:val="24"/>
        </w:rPr>
        <w:t>rojekt</w:t>
      </w:r>
      <w:r w:rsidR="00D66B29" w:rsidRPr="00571665">
        <w:rPr>
          <w:rFonts w:ascii="Times New Roman" w:hAnsi="Times New Roman"/>
          <w:b/>
          <w:bCs/>
          <w:sz w:val="24"/>
          <w:szCs w:val="24"/>
        </w:rPr>
        <w:t>o</w:t>
      </w:r>
      <w:r w:rsidR="001C7801" w:rsidRPr="00571665">
        <w:rPr>
          <w:rFonts w:ascii="Times New Roman" w:hAnsi="Times New Roman"/>
          <w:b/>
          <w:bCs/>
          <w:sz w:val="24"/>
          <w:szCs w:val="24"/>
        </w:rPr>
        <w:t xml:space="preserve"> rengimo metu gauti specialistų vertinimai ir i</w:t>
      </w:r>
      <w:bookmarkStart w:id="5" w:name="_GoBack"/>
      <w:bookmarkEnd w:id="5"/>
      <w:r w:rsidR="001C7801" w:rsidRPr="00571665">
        <w:rPr>
          <w:rFonts w:ascii="Times New Roman" w:hAnsi="Times New Roman"/>
          <w:b/>
          <w:bCs/>
          <w:sz w:val="24"/>
          <w:szCs w:val="24"/>
        </w:rPr>
        <w:t>švados</w:t>
      </w:r>
    </w:p>
    <w:p w:rsidR="00594103" w:rsidRPr="00571665" w:rsidRDefault="00B81A9C" w:rsidP="00F038BA">
      <w:pPr>
        <w:tabs>
          <w:tab w:val="left" w:pos="1276"/>
          <w:tab w:val="left" w:pos="2592"/>
          <w:tab w:val="left" w:pos="3888"/>
          <w:tab w:val="left" w:pos="5185"/>
          <w:tab w:val="left" w:pos="6481"/>
          <w:tab w:val="left" w:pos="7777"/>
          <w:tab w:val="left" w:pos="9072"/>
          <w:tab w:val="left" w:pos="10335"/>
        </w:tabs>
        <w:suppressAutoHyphens/>
        <w:ind w:firstLine="720"/>
        <w:contextualSpacing/>
        <w:jc w:val="both"/>
        <w:rPr>
          <w:bCs/>
        </w:rPr>
      </w:pPr>
      <w:r w:rsidRPr="009940DF">
        <w:rPr>
          <w:bCs/>
        </w:rPr>
        <w:t xml:space="preserve">Rengiant </w:t>
      </w:r>
      <w:r w:rsidR="009976A7" w:rsidRPr="009940DF">
        <w:rPr>
          <w:bCs/>
        </w:rPr>
        <w:t xml:space="preserve">Strategiją, buvo gauti pasiūlymai ir pastabos iš profesinių sąjungų atstovų, Seimo narių, </w:t>
      </w:r>
      <w:r w:rsidR="000954AB">
        <w:rPr>
          <w:bCs/>
        </w:rPr>
        <w:t>dalyvavusių</w:t>
      </w:r>
      <w:r w:rsidR="009976A7" w:rsidRPr="009940DF">
        <w:rPr>
          <w:bCs/>
        </w:rPr>
        <w:t xml:space="preserve"> Vyriausybės komisijos </w:t>
      </w:r>
      <w:r w:rsidR="000954AB">
        <w:rPr>
          <w:bCs/>
        </w:rPr>
        <w:t>posėdžiuose</w:t>
      </w:r>
      <w:r w:rsidR="009976A7" w:rsidRPr="009940DF">
        <w:rPr>
          <w:bCs/>
        </w:rPr>
        <w:t xml:space="preserve">, </w:t>
      </w:r>
      <w:r w:rsidR="00DF3CA7">
        <w:rPr>
          <w:bCs/>
        </w:rPr>
        <w:t>akademinės bendruom</w:t>
      </w:r>
      <w:r w:rsidR="000954AB">
        <w:rPr>
          <w:bCs/>
        </w:rPr>
        <w:t>e</w:t>
      </w:r>
      <w:r w:rsidR="00DF3CA7">
        <w:rPr>
          <w:bCs/>
        </w:rPr>
        <w:t>nės,</w:t>
      </w:r>
      <w:r w:rsidR="009976A7" w:rsidRPr="009940DF">
        <w:rPr>
          <w:bCs/>
        </w:rPr>
        <w:t xml:space="preserve"> taip pat kai kurių ekonomikos ekspertų, Lietuvos banko atstov</w:t>
      </w:r>
      <w:r w:rsidR="00F038BA" w:rsidRPr="009940DF">
        <w:rPr>
          <w:bCs/>
        </w:rPr>
        <w:t>ų</w:t>
      </w:r>
      <w:r w:rsidR="009976A7" w:rsidRPr="009940DF">
        <w:rPr>
          <w:bCs/>
        </w:rPr>
        <w:t xml:space="preserve"> nuomonė ir pastebėjimai</w:t>
      </w:r>
      <w:r w:rsidR="00FD7389" w:rsidRPr="00571665">
        <w:rPr>
          <w:bCs/>
        </w:rPr>
        <w:t>.</w:t>
      </w:r>
      <w:r w:rsidR="00CE7E5E">
        <w:rPr>
          <w:bCs/>
        </w:rPr>
        <w:t xml:space="preserve"> </w:t>
      </w:r>
    </w:p>
    <w:p w:rsidR="006A094C" w:rsidRPr="00571665" w:rsidRDefault="006A094C" w:rsidP="00100624">
      <w:pPr>
        <w:tabs>
          <w:tab w:val="left" w:pos="1276"/>
          <w:tab w:val="left" w:pos="2592"/>
          <w:tab w:val="left" w:pos="3888"/>
          <w:tab w:val="left" w:pos="5185"/>
          <w:tab w:val="left" w:pos="6481"/>
          <w:tab w:val="left" w:pos="7777"/>
          <w:tab w:val="left" w:pos="9072"/>
          <w:tab w:val="left" w:pos="10335"/>
        </w:tabs>
        <w:suppressAutoHyphens/>
        <w:ind w:firstLine="720"/>
        <w:contextualSpacing/>
        <w:rPr>
          <w:b/>
          <w:bCs/>
        </w:rPr>
      </w:pPr>
    </w:p>
    <w:p w:rsidR="003A0DB4" w:rsidRPr="00571665" w:rsidRDefault="00AD59E9" w:rsidP="00100624">
      <w:pPr>
        <w:tabs>
          <w:tab w:val="left" w:pos="1276"/>
          <w:tab w:val="left" w:pos="2592"/>
          <w:tab w:val="left" w:pos="3888"/>
          <w:tab w:val="left" w:pos="5185"/>
          <w:tab w:val="left" w:pos="6481"/>
          <w:tab w:val="left" w:pos="7777"/>
          <w:tab w:val="left" w:pos="9072"/>
          <w:tab w:val="left" w:pos="10335"/>
        </w:tabs>
        <w:suppressAutoHyphens/>
        <w:ind w:firstLine="720"/>
        <w:contextualSpacing/>
        <w:jc w:val="both"/>
        <w:rPr>
          <w:b/>
          <w:bCs/>
        </w:rPr>
      </w:pPr>
      <w:r w:rsidRPr="00571665">
        <w:rPr>
          <w:b/>
          <w:bCs/>
        </w:rPr>
        <w:t>1</w:t>
      </w:r>
      <w:r w:rsidR="008410AC" w:rsidRPr="00571665">
        <w:rPr>
          <w:b/>
          <w:bCs/>
        </w:rPr>
        <w:t>4</w:t>
      </w:r>
      <w:r w:rsidR="000526C7" w:rsidRPr="00571665">
        <w:rPr>
          <w:b/>
          <w:bCs/>
        </w:rPr>
        <w:t>. Reikšminiai žodžiai</w:t>
      </w:r>
      <w:r w:rsidR="00B81A9C" w:rsidRPr="00571665">
        <w:rPr>
          <w:b/>
          <w:bCs/>
        </w:rPr>
        <w:t>, kurių reikia projekt</w:t>
      </w:r>
      <w:r w:rsidR="00FD7389" w:rsidRPr="00571665">
        <w:rPr>
          <w:b/>
          <w:bCs/>
        </w:rPr>
        <w:t>ui</w:t>
      </w:r>
      <w:r w:rsidR="003A0DB4" w:rsidRPr="00571665">
        <w:rPr>
          <w:b/>
          <w:bCs/>
        </w:rPr>
        <w:t xml:space="preserve"> įtraukti į kompiuterinę paieškos sistemą, įskaitant Europos žodyno „</w:t>
      </w:r>
      <w:proofErr w:type="spellStart"/>
      <w:r w:rsidR="003A0DB4" w:rsidRPr="00571665">
        <w:rPr>
          <w:b/>
          <w:bCs/>
        </w:rPr>
        <w:t>Eurovoc</w:t>
      </w:r>
      <w:proofErr w:type="spellEnd"/>
      <w:r w:rsidR="003A0DB4" w:rsidRPr="00571665">
        <w:rPr>
          <w:b/>
          <w:bCs/>
        </w:rPr>
        <w:t xml:space="preserve">“ terminus, temas bei sritis </w:t>
      </w:r>
    </w:p>
    <w:p w:rsidR="00653B70" w:rsidRPr="00571665" w:rsidRDefault="00653B70" w:rsidP="00100624">
      <w:pPr>
        <w:tabs>
          <w:tab w:val="left" w:pos="1080"/>
          <w:tab w:val="left" w:pos="1276"/>
          <w:tab w:val="left" w:pos="2592"/>
          <w:tab w:val="left" w:pos="3888"/>
          <w:tab w:val="left" w:pos="5185"/>
          <w:tab w:val="left" w:pos="6481"/>
          <w:tab w:val="left" w:pos="7777"/>
          <w:tab w:val="left" w:pos="9072"/>
          <w:tab w:val="left" w:pos="10335"/>
        </w:tabs>
        <w:suppressAutoHyphens/>
        <w:ind w:firstLine="720"/>
        <w:contextualSpacing/>
        <w:jc w:val="both"/>
        <w:rPr>
          <w:bCs/>
        </w:rPr>
      </w:pPr>
      <w:r w:rsidRPr="00571665">
        <w:rPr>
          <w:bCs/>
        </w:rPr>
        <w:t>,,Viešasis sektorius“, ,,</w:t>
      </w:r>
      <w:r w:rsidR="00EE35BD">
        <w:rPr>
          <w:bCs/>
        </w:rPr>
        <w:t>d</w:t>
      </w:r>
      <w:r w:rsidRPr="00571665">
        <w:rPr>
          <w:bCs/>
        </w:rPr>
        <w:t>arbo užmokestis“, ,,</w:t>
      </w:r>
      <w:r w:rsidR="00EE35BD">
        <w:rPr>
          <w:bCs/>
        </w:rPr>
        <w:t>p</w:t>
      </w:r>
      <w:r w:rsidRPr="00571665">
        <w:rPr>
          <w:bCs/>
        </w:rPr>
        <w:t>areiginės algos bazinis dydis“.</w:t>
      </w:r>
    </w:p>
    <w:p w:rsidR="00653B70" w:rsidRPr="00571665" w:rsidRDefault="00653B70" w:rsidP="00100624">
      <w:pPr>
        <w:tabs>
          <w:tab w:val="left" w:pos="1080"/>
          <w:tab w:val="left" w:pos="1276"/>
          <w:tab w:val="left" w:pos="2592"/>
          <w:tab w:val="left" w:pos="3888"/>
          <w:tab w:val="left" w:pos="5185"/>
          <w:tab w:val="left" w:pos="6481"/>
          <w:tab w:val="left" w:pos="7777"/>
          <w:tab w:val="left" w:pos="9072"/>
          <w:tab w:val="left" w:pos="10335"/>
        </w:tabs>
        <w:suppressAutoHyphens/>
        <w:ind w:firstLine="720"/>
        <w:contextualSpacing/>
        <w:jc w:val="both"/>
        <w:rPr>
          <w:bCs/>
        </w:rPr>
      </w:pPr>
    </w:p>
    <w:p w:rsidR="00637C6B" w:rsidRPr="00571665" w:rsidRDefault="008410AC" w:rsidP="00100624">
      <w:pPr>
        <w:tabs>
          <w:tab w:val="left" w:pos="1080"/>
          <w:tab w:val="left" w:pos="1276"/>
          <w:tab w:val="left" w:pos="2592"/>
          <w:tab w:val="left" w:pos="3888"/>
          <w:tab w:val="left" w:pos="5185"/>
          <w:tab w:val="left" w:pos="6481"/>
          <w:tab w:val="left" w:pos="7777"/>
          <w:tab w:val="left" w:pos="9072"/>
          <w:tab w:val="left" w:pos="10335"/>
        </w:tabs>
        <w:suppressAutoHyphens/>
        <w:ind w:firstLine="720"/>
        <w:contextualSpacing/>
        <w:jc w:val="both"/>
        <w:rPr>
          <w:b/>
          <w:bCs/>
        </w:rPr>
      </w:pPr>
      <w:r w:rsidRPr="00571665">
        <w:rPr>
          <w:b/>
          <w:bCs/>
        </w:rPr>
        <w:t>15</w:t>
      </w:r>
      <w:r w:rsidR="00637C6B" w:rsidRPr="00571665">
        <w:rPr>
          <w:b/>
          <w:bCs/>
        </w:rPr>
        <w:t>. Kiti, iniciatorių nuomone, reikalingi pagrindimai ir paaiškinimai</w:t>
      </w:r>
    </w:p>
    <w:p w:rsidR="00653B70" w:rsidRPr="00571665" w:rsidRDefault="00653B70" w:rsidP="00653B70">
      <w:pPr>
        <w:ind w:firstLine="720"/>
      </w:pPr>
      <w:r w:rsidRPr="00571665">
        <w:t>Nėra.</w:t>
      </w:r>
    </w:p>
    <w:p w:rsidR="00653B70" w:rsidRPr="00571665" w:rsidRDefault="00653B70" w:rsidP="00100624">
      <w:pPr>
        <w:tabs>
          <w:tab w:val="left" w:pos="1080"/>
          <w:tab w:val="left" w:pos="1276"/>
          <w:tab w:val="left" w:pos="2592"/>
          <w:tab w:val="left" w:pos="3888"/>
          <w:tab w:val="left" w:pos="5185"/>
          <w:tab w:val="left" w:pos="6481"/>
          <w:tab w:val="left" w:pos="7777"/>
          <w:tab w:val="left" w:pos="9072"/>
          <w:tab w:val="left" w:pos="10335"/>
        </w:tabs>
        <w:suppressAutoHyphens/>
        <w:ind w:firstLine="720"/>
        <w:contextualSpacing/>
        <w:jc w:val="both"/>
        <w:rPr>
          <w:b/>
          <w:bCs/>
        </w:rPr>
      </w:pPr>
    </w:p>
    <w:sectPr w:rsidR="00653B70" w:rsidRPr="00571665" w:rsidSect="00A200CB">
      <w:headerReference w:type="even" r:id="rId8"/>
      <w:headerReference w:type="default" r:id="rId9"/>
      <w:footerReference w:type="even" r:id="rId10"/>
      <w:footerReference w:type="first" r:id="rId11"/>
      <w:pgSz w:w="11906" w:h="16838"/>
      <w:pgMar w:top="1418"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F4F" w:rsidRDefault="00477F4F">
      <w:r>
        <w:separator/>
      </w:r>
    </w:p>
  </w:endnote>
  <w:endnote w:type="continuationSeparator" w:id="0">
    <w:p w:rsidR="00477F4F" w:rsidRDefault="0047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82B" w:rsidRDefault="00CC77FD" w:rsidP="00AD59E9">
    <w:pPr>
      <w:pStyle w:val="Porat"/>
      <w:framePr w:wrap="around" w:vAnchor="text" w:hAnchor="margin" w:xAlign="center" w:y="1"/>
      <w:rPr>
        <w:rStyle w:val="Puslapionumeris"/>
      </w:rPr>
    </w:pPr>
    <w:r>
      <w:rPr>
        <w:rStyle w:val="Puslapionumeris"/>
      </w:rPr>
      <w:fldChar w:fldCharType="begin"/>
    </w:r>
    <w:r w:rsidR="0046782B">
      <w:rPr>
        <w:rStyle w:val="Puslapionumeris"/>
      </w:rPr>
      <w:instrText xml:space="preserve">PAGE  </w:instrText>
    </w:r>
    <w:r>
      <w:rPr>
        <w:rStyle w:val="Puslapionumeris"/>
      </w:rPr>
      <w:fldChar w:fldCharType="end"/>
    </w:r>
  </w:p>
  <w:p w:rsidR="0046782B" w:rsidRDefault="004678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454896"/>
      <w:docPartObj>
        <w:docPartGallery w:val="Page Numbers (Bottom of Page)"/>
        <w:docPartUnique/>
      </w:docPartObj>
    </w:sdtPr>
    <w:sdtEndPr/>
    <w:sdtContent>
      <w:p w:rsidR="00421A1E" w:rsidRDefault="00421A1E">
        <w:pPr>
          <w:pStyle w:val="Porat"/>
          <w:jc w:val="center"/>
        </w:pPr>
        <w:r>
          <w:fldChar w:fldCharType="begin"/>
        </w:r>
        <w:r>
          <w:instrText>PAGE   \* MERGEFORMAT</w:instrText>
        </w:r>
        <w:r>
          <w:fldChar w:fldCharType="separate"/>
        </w:r>
        <w:r>
          <w:t>2</w:t>
        </w:r>
        <w:r>
          <w:fldChar w:fldCharType="end"/>
        </w:r>
      </w:p>
    </w:sdtContent>
  </w:sdt>
  <w:p w:rsidR="00421A1E" w:rsidRDefault="00421A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F4F" w:rsidRDefault="00477F4F">
      <w:r>
        <w:separator/>
      </w:r>
    </w:p>
  </w:footnote>
  <w:footnote w:type="continuationSeparator" w:id="0">
    <w:p w:rsidR="00477F4F" w:rsidRDefault="00477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82B" w:rsidRDefault="00CC77FD" w:rsidP="00AD59E9">
    <w:pPr>
      <w:pStyle w:val="Antrats"/>
      <w:framePr w:wrap="around" w:vAnchor="text" w:hAnchor="margin" w:xAlign="center" w:y="1"/>
      <w:rPr>
        <w:rStyle w:val="Puslapionumeris"/>
      </w:rPr>
    </w:pPr>
    <w:r>
      <w:rPr>
        <w:rStyle w:val="Puslapionumeris"/>
      </w:rPr>
      <w:fldChar w:fldCharType="begin"/>
    </w:r>
    <w:r w:rsidR="0046782B">
      <w:rPr>
        <w:rStyle w:val="Puslapionumeris"/>
      </w:rPr>
      <w:instrText xml:space="preserve">PAGE  </w:instrText>
    </w:r>
    <w:r>
      <w:rPr>
        <w:rStyle w:val="Puslapionumeris"/>
      </w:rPr>
      <w:fldChar w:fldCharType="end"/>
    </w:r>
  </w:p>
  <w:p w:rsidR="0046782B" w:rsidRDefault="004678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82B" w:rsidRDefault="00CC77FD" w:rsidP="00AD59E9">
    <w:pPr>
      <w:pStyle w:val="Antrats"/>
      <w:framePr w:wrap="around" w:vAnchor="text" w:hAnchor="margin" w:xAlign="center" w:y="1"/>
      <w:rPr>
        <w:rStyle w:val="Puslapionumeris"/>
      </w:rPr>
    </w:pPr>
    <w:r>
      <w:rPr>
        <w:rStyle w:val="Puslapionumeris"/>
      </w:rPr>
      <w:fldChar w:fldCharType="begin"/>
    </w:r>
    <w:r w:rsidR="0046782B">
      <w:rPr>
        <w:rStyle w:val="Puslapionumeris"/>
      </w:rPr>
      <w:instrText xml:space="preserve">PAGE  </w:instrText>
    </w:r>
    <w:r>
      <w:rPr>
        <w:rStyle w:val="Puslapionumeris"/>
      </w:rPr>
      <w:fldChar w:fldCharType="separate"/>
    </w:r>
    <w:r w:rsidR="00D90E3F">
      <w:rPr>
        <w:rStyle w:val="Puslapionumeris"/>
        <w:noProof/>
      </w:rPr>
      <w:t>3</w:t>
    </w:r>
    <w:r>
      <w:rPr>
        <w:rStyle w:val="Puslapionumeris"/>
      </w:rPr>
      <w:fldChar w:fldCharType="end"/>
    </w:r>
  </w:p>
  <w:p w:rsidR="0046782B" w:rsidRDefault="004678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1E21"/>
    <w:multiLevelType w:val="hybridMultilevel"/>
    <w:tmpl w:val="851A9A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FAE325D"/>
    <w:multiLevelType w:val="hybridMultilevel"/>
    <w:tmpl w:val="99BAEAE0"/>
    <w:lvl w:ilvl="0" w:tplc="74DC97CA">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0B77254"/>
    <w:multiLevelType w:val="hybridMultilevel"/>
    <w:tmpl w:val="A19A01B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A81992"/>
    <w:multiLevelType w:val="multilevel"/>
    <w:tmpl w:val="621E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0054C6"/>
    <w:multiLevelType w:val="hybridMultilevel"/>
    <w:tmpl w:val="F9168636"/>
    <w:lvl w:ilvl="0" w:tplc="FB6C0902">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1C436753"/>
    <w:multiLevelType w:val="hybridMultilevel"/>
    <w:tmpl w:val="4D9016EC"/>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34E23D2"/>
    <w:multiLevelType w:val="hybridMultilevel"/>
    <w:tmpl w:val="BB5EB3F6"/>
    <w:lvl w:ilvl="0" w:tplc="2076AA4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574EBC"/>
    <w:multiLevelType w:val="hybridMultilevel"/>
    <w:tmpl w:val="77D80546"/>
    <w:lvl w:ilvl="0" w:tplc="2CECD61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6A19B0"/>
    <w:multiLevelType w:val="hybridMultilevel"/>
    <w:tmpl w:val="0B8ECB90"/>
    <w:lvl w:ilvl="0" w:tplc="13DAF0AE">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9" w15:restartNumberingAfterBreak="0">
    <w:nsid w:val="2A35752E"/>
    <w:multiLevelType w:val="hybridMultilevel"/>
    <w:tmpl w:val="688C543E"/>
    <w:lvl w:ilvl="0" w:tplc="04270001">
      <w:start w:val="1"/>
      <w:numFmt w:val="bullet"/>
      <w:lvlText w:val=""/>
      <w:lvlJc w:val="left"/>
      <w:pPr>
        <w:ind w:left="78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AA94811"/>
    <w:multiLevelType w:val="hybridMultilevel"/>
    <w:tmpl w:val="EF067234"/>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FE407C7"/>
    <w:multiLevelType w:val="hybridMultilevel"/>
    <w:tmpl w:val="10A87D76"/>
    <w:lvl w:ilvl="0" w:tplc="0427000B">
      <w:start w:val="1"/>
      <w:numFmt w:val="bullet"/>
      <w:lvlText w:val=""/>
      <w:lvlJc w:val="left"/>
      <w:pPr>
        <w:ind w:left="862" w:hanging="360"/>
      </w:pPr>
      <w:rPr>
        <w:rFonts w:ascii="Wingdings" w:hAnsi="Wingdings" w:hint="default"/>
      </w:rPr>
    </w:lvl>
    <w:lvl w:ilvl="1" w:tplc="0427000B">
      <w:start w:val="1"/>
      <w:numFmt w:val="bullet"/>
      <w:lvlText w:val=""/>
      <w:lvlJc w:val="left"/>
      <w:pPr>
        <w:ind w:left="1582" w:hanging="360"/>
      </w:pPr>
      <w:rPr>
        <w:rFonts w:ascii="Wingdings" w:hAnsi="Wingdings" w:hint="default"/>
      </w:rPr>
    </w:lvl>
    <w:lvl w:ilvl="2" w:tplc="04270005">
      <w:start w:val="1"/>
      <w:numFmt w:val="bullet"/>
      <w:lvlText w:val=""/>
      <w:lvlJc w:val="left"/>
      <w:pPr>
        <w:ind w:left="2302" w:hanging="360"/>
      </w:pPr>
      <w:rPr>
        <w:rFonts w:ascii="Wingdings" w:hAnsi="Wingdings" w:hint="default"/>
      </w:rPr>
    </w:lvl>
    <w:lvl w:ilvl="3" w:tplc="04270001">
      <w:start w:val="1"/>
      <w:numFmt w:val="bullet"/>
      <w:lvlText w:val=""/>
      <w:lvlJc w:val="left"/>
      <w:pPr>
        <w:ind w:left="3022" w:hanging="360"/>
      </w:pPr>
      <w:rPr>
        <w:rFonts w:ascii="Symbol" w:hAnsi="Symbol" w:hint="default"/>
      </w:rPr>
    </w:lvl>
    <w:lvl w:ilvl="4" w:tplc="04270003">
      <w:start w:val="1"/>
      <w:numFmt w:val="bullet"/>
      <w:lvlText w:val="o"/>
      <w:lvlJc w:val="left"/>
      <w:pPr>
        <w:ind w:left="3742" w:hanging="360"/>
      </w:pPr>
      <w:rPr>
        <w:rFonts w:ascii="Courier New" w:hAnsi="Courier New" w:cs="Courier New" w:hint="default"/>
      </w:rPr>
    </w:lvl>
    <w:lvl w:ilvl="5" w:tplc="04270005">
      <w:start w:val="1"/>
      <w:numFmt w:val="bullet"/>
      <w:lvlText w:val=""/>
      <w:lvlJc w:val="left"/>
      <w:pPr>
        <w:ind w:left="4462" w:hanging="360"/>
      </w:pPr>
      <w:rPr>
        <w:rFonts w:ascii="Wingdings" w:hAnsi="Wingdings" w:hint="default"/>
      </w:rPr>
    </w:lvl>
    <w:lvl w:ilvl="6" w:tplc="04270001">
      <w:start w:val="1"/>
      <w:numFmt w:val="bullet"/>
      <w:lvlText w:val=""/>
      <w:lvlJc w:val="left"/>
      <w:pPr>
        <w:ind w:left="5182" w:hanging="360"/>
      </w:pPr>
      <w:rPr>
        <w:rFonts w:ascii="Symbol" w:hAnsi="Symbol" w:hint="default"/>
      </w:rPr>
    </w:lvl>
    <w:lvl w:ilvl="7" w:tplc="04270003">
      <w:start w:val="1"/>
      <w:numFmt w:val="bullet"/>
      <w:lvlText w:val="o"/>
      <w:lvlJc w:val="left"/>
      <w:pPr>
        <w:ind w:left="5902" w:hanging="360"/>
      </w:pPr>
      <w:rPr>
        <w:rFonts w:ascii="Courier New" w:hAnsi="Courier New" w:cs="Courier New" w:hint="default"/>
      </w:rPr>
    </w:lvl>
    <w:lvl w:ilvl="8" w:tplc="04270005">
      <w:start w:val="1"/>
      <w:numFmt w:val="bullet"/>
      <w:lvlText w:val=""/>
      <w:lvlJc w:val="left"/>
      <w:pPr>
        <w:ind w:left="6622" w:hanging="360"/>
      </w:pPr>
      <w:rPr>
        <w:rFonts w:ascii="Wingdings" w:hAnsi="Wingdings" w:hint="default"/>
      </w:rPr>
    </w:lvl>
  </w:abstractNum>
  <w:abstractNum w:abstractNumId="12" w15:restartNumberingAfterBreak="0">
    <w:nsid w:val="30723265"/>
    <w:multiLevelType w:val="hybridMultilevel"/>
    <w:tmpl w:val="FAD6A564"/>
    <w:lvl w:ilvl="0" w:tplc="04270001">
      <w:start w:val="1"/>
      <w:numFmt w:val="bullet"/>
      <w:lvlText w:val=""/>
      <w:lvlJc w:val="left"/>
      <w:pPr>
        <w:ind w:left="1004" w:hanging="360"/>
      </w:pPr>
      <w:rPr>
        <w:rFonts w:ascii="Symbol" w:hAnsi="Symbol"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3" w15:restartNumberingAfterBreak="0">
    <w:nsid w:val="33FE6272"/>
    <w:multiLevelType w:val="hybridMultilevel"/>
    <w:tmpl w:val="D91E13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9F81BE0"/>
    <w:multiLevelType w:val="hybridMultilevel"/>
    <w:tmpl w:val="8DD47D4A"/>
    <w:lvl w:ilvl="0" w:tplc="28C0A41E">
      <w:start w:val="3"/>
      <w:numFmt w:val="bullet"/>
      <w:lvlText w:val="–"/>
      <w:lvlJc w:val="left"/>
      <w:pPr>
        <w:ind w:left="1068" w:hanging="360"/>
      </w:pPr>
      <w:rPr>
        <w:rFonts w:ascii="Times New Roman" w:eastAsia="Times New Roman" w:hAnsi="Times New Roman" w:cs="Times New Roman"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15" w15:restartNumberingAfterBreak="0">
    <w:nsid w:val="3B8B01A7"/>
    <w:multiLevelType w:val="hybridMultilevel"/>
    <w:tmpl w:val="4246C41C"/>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BD46DF5"/>
    <w:multiLevelType w:val="hybridMultilevel"/>
    <w:tmpl w:val="53263592"/>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C751251"/>
    <w:multiLevelType w:val="hybridMultilevel"/>
    <w:tmpl w:val="CB90CF60"/>
    <w:lvl w:ilvl="0" w:tplc="FB6C090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0AC5AA4"/>
    <w:multiLevelType w:val="hybridMultilevel"/>
    <w:tmpl w:val="33FEE6C8"/>
    <w:lvl w:ilvl="0" w:tplc="FB6C090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72F2B50"/>
    <w:multiLevelType w:val="hybridMultilevel"/>
    <w:tmpl w:val="905CC2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8C03B18"/>
    <w:multiLevelType w:val="hybridMultilevel"/>
    <w:tmpl w:val="559CD008"/>
    <w:lvl w:ilvl="0" w:tplc="1C26529A">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C4C0747"/>
    <w:multiLevelType w:val="hybridMultilevel"/>
    <w:tmpl w:val="C616B054"/>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24D5CD3"/>
    <w:multiLevelType w:val="hybridMultilevel"/>
    <w:tmpl w:val="5D10BFB6"/>
    <w:lvl w:ilvl="0" w:tplc="32565788">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3" w15:restartNumberingAfterBreak="0">
    <w:nsid w:val="66761735"/>
    <w:multiLevelType w:val="hybridMultilevel"/>
    <w:tmpl w:val="30EAE3EE"/>
    <w:lvl w:ilvl="0" w:tplc="AD7CE6DC">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7881BDE"/>
    <w:multiLevelType w:val="hybridMultilevel"/>
    <w:tmpl w:val="94A275F8"/>
    <w:lvl w:ilvl="0" w:tplc="FB6C090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6C27FF"/>
    <w:multiLevelType w:val="hybridMultilevel"/>
    <w:tmpl w:val="F2D0BC0E"/>
    <w:lvl w:ilvl="0" w:tplc="04270001">
      <w:start w:val="1"/>
      <w:numFmt w:val="bullet"/>
      <w:lvlText w:val=""/>
      <w:lvlJc w:val="left"/>
      <w:pPr>
        <w:ind w:left="720" w:hanging="360"/>
      </w:pPr>
      <w:rPr>
        <w:rFonts w:ascii="Symbol" w:hAnsi="Symbol" w:hint="default"/>
      </w:rPr>
    </w:lvl>
    <w:lvl w:ilvl="1" w:tplc="F1ECB5F2">
      <w:numFmt w:val="bullet"/>
      <w:lvlText w:val="-"/>
      <w:lvlJc w:val="left"/>
      <w:pPr>
        <w:ind w:left="1440" w:hanging="360"/>
      </w:pPr>
      <w:rPr>
        <w:rFonts w:ascii="Times New Roman" w:eastAsiaTheme="minorHAnsi"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70C59E6"/>
    <w:multiLevelType w:val="hybridMultilevel"/>
    <w:tmpl w:val="A9C68E44"/>
    <w:lvl w:ilvl="0" w:tplc="49EC3FF2">
      <w:start w:val="1"/>
      <w:numFmt w:val="decimal"/>
      <w:lvlText w:val="%1)"/>
      <w:lvlJc w:val="left"/>
      <w:pPr>
        <w:ind w:left="1758" w:hanging="1050"/>
      </w:pPr>
      <w:rPr>
        <w:rFonts w:hint="default"/>
        <w:color w:val="000000"/>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7" w15:restartNumberingAfterBreak="0">
    <w:nsid w:val="78343D79"/>
    <w:multiLevelType w:val="hybridMultilevel"/>
    <w:tmpl w:val="DEE0E3D2"/>
    <w:lvl w:ilvl="0" w:tplc="4CA6CC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27"/>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2"/>
  </w:num>
  <w:num w:numId="6">
    <w:abstractNumId w:val="20"/>
  </w:num>
  <w:num w:numId="7">
    <w:abstractNumId w:val="14"/>
  </w:num>
  <w:num w:numId="8">
    <w:abstractNumId w:val="8"/>
  </w:num>
  <w:num w:numId="9">
    <w:abstractNumId w:val="7"/>
  </w:num>
  <w:num w:numId="10">
    <w:abstractNumId w:val="1"/>
  </w:num>
  <w:num w:numId="11">
    <w:abstractNumId w:val="25"/>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2"/>
  </w:num>
  <w:num w:numId="15">
    <w:abstractNumId w:val="9"/>
  </w:num>
  <w:num w:numId="16">
    <w:abstractNumId w:val="13"/>
  </w:num>
  <w:num w:numId="17">
    <w:abstractNumId w:val="0"/>
  </w:num>
  <w:num w:numId="18">
    <w:abstractNumId w:val="21"/>
  </w:num>
  <w:num w:numId="19">
    <w:abstractNumId w:val="10"/>
  </w:num>
  <w:num w:numId="20">
    <w:abstractNumId w:val="16"/>
  </w:num>
  <w:num w:numId="21">
    <w:abstractNumId w:val="5"/>
  </w:num>
  <w:num w:numId="22">
    <w:abstractNumId w:val="15"/>
  </w:num>
  <w:num w:numId="23">
    <w:abstractNumId w:val="0"/>
  </w:num>
  <w:num w:numId="24">
    <w:abstractNumId w:val="5"/>
  </w:num>
  <w:num w:numId="25">
    <w:abstractNumId w:val="19"/>
  </w:num>
  <w:num w:numId="26">
    <w:abstractNumId w:val="18"/>
  </w:num>
  <w:num w:numId="27">
    <w:abstractNumId w:val="25"/>
  </w:num>
  <w:num w:numId="28">
    <w:abstractNumId w:val="17"/>
  </w:num>
  <w:num w:numId="29">
    <w:abstractNumId w:val="2"/>
  </w:num>
  <w:num w:numId="30">
    <w:abstractNumId w:val="6"/>
  </w:num>
  <w:num w:numId="31">
    <w:abstractNumId w:val="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6C7"/>
    <w:rsid w:val="00001E64"/>
    <w:rsid w:val="0000287F"/>
    <w:rsid w:val="00002AB9"/>
    <w:rsid w:val="00004FD8"/>
    <w:rsid w:val="0001174D"/>
    <w:rsid w:val="00013A34"/>
    <w:rsid w:val="00014871"/>
    <w:rsid w:val="00016A9A"/>
    <w:rsid w:val="00016CA9"/>
    <w:rsid w:val="00017688"/>
    <w:rsid w:val="0002028B"/>
    <w:rsid w:val="00021507"/>
    <w:rsid w:val="0002193A"/>
    <w:rsid w:val="000251EB"/>
    <w:rsid w:val="000255CA"/>
    <w:rsid w:val="00025F8E"/>
    <w:rsid w:val="00026EA1"/>
    <w:rsid w:val="000311D2"/>
    <w:rsid w:val="00033138"/>
    <w:rsid w:val="00034401"/>
    <w:rsid w:val="0003536A"/>
    <w:rsid w:val="00036976"/>
    <w:rsid w:val="000369A6"/>
    <w:rsid w:val="00036BDD"/>
    <w:rsid w:val="00036D7B"/>
    <w:rsid w:val="00036E43"/>
    <w:rsid w:val="000408A3"/>
    <w:rsid w:val="00042794"/>
    <w:rsid w:val="0004474E"/>
    <w:rsid w:val="000452F4"/>
    <w:rsid w:val="00045CD2"/>
    <w:rsid w:val="00050EA9"/>
    <w:rsid w:val="00051071"/>
    <w:rsid w:val="000526C7"/>
    <w:rsid w:val="00060ED0"/>
    <w:rsid w:val="00063279"/>
    <w:rsid w:val="0006357C"/>
    <w:rsid w:val="00064042"/>
    <w:rsid w:val="000656A7"/>
    <w:rsid w:val="000661A9"/>
    <w:rsid w:val="000678AE"/>
    <w:rsid w:val="000753F0"/>
    <w:rsid w:val="00081453"/>
    <w:rsid w:val="00081462"/>
    <w:rsid w:val="00083A60"/>
    <w:rsid w:val="00084787"/>
    <w:rsid w:val="000857F6"/>
    <w:rsid w:val="00086EE7"/>
    <w:rsid w:val="000932B1"/>
    <w:rsid w:val="00094371"/>
    <w:rsid w:val="00094CC2"/>
    <w:rsid w:val="000954AB"/>
    <w:rsid w:val="00095DA0"/>
    <w:rsid w:val="00097E7F"/>
    <w:rsid w:val="000A3ACA"/>
    <w:rsid w:val="000A3F2E"/>
    <w:rsid w:val="000A44A8"/>
    <w:rsid w:val="000A498E"/>
    <w:rsid w:val="000A4F8A"/>
    <w:rsid w:val="000A6383"/>
    <w:rsid w:val="000A771A"/>
    <w:rsid w:val="000A7853"/>
    <w:rsid w:val="000B2A0F"/>
    <w:rsid w:val="000B3D7D"/>
    <w:rsid w:val="000B5A1A"/>
    <w:rsid w:val="000B5A86"/>
    <w:rsid w:val="000C2264"/>
    <w:rsid w:val="000C2A8E"/>
    <w:rsid w:val="000C6205"/>
    <w:rsid w:val="000C7639"/>
    <w:rsid w:val="000D034C"/>
    <w:rsid w:val="000D0F4C"/>
    <w:rsid w:val="000D36D5"/>
    <w:rsid w:val="000D3C2E"/>
    <w:rsid w:val="000D4F1B"/>
    <w:rsid w:val="000D68B1"/>
    <w:rsid w:val="000D717D"/>
    <w:rsid w:val="000E06F2"/>
    <w:rsid w:val="000E4AD1"/>
    <w:rsid w:val="000E58EE"/>
    <w:rsid w:val="000E59B2"/>
    <w:rsid w:val="000E59F6"/>
    <w:rsid w:val="000E642C"/>
    <w:rsid w:val="000E7C7A"/>
    <w:rsid w:val="000E7D26"/>
    <w:rsid w:val="000F0623"/>
    <w:rsid w:val="000F2371"/>
    <w:rsid w:val="000F2E01"/>
    <w:rsid w:val="000F40B0"/>
    <w:rsid w:val="000F4F80"/>
    <w:rsid w:val="000F5A5C"/>
    <w:rsid w:val="000F663D"/>
    <w:rsid w:val="000F6A19"/>
    <w:rsid w:val="00100624"/>
    <w:rsid w:val="00101ACD"/>
    <w:rsid w:val="00103927"/>
    <w:rsid w:val="00105E5B"/>
    <w:rsid w:val="001065B2"/>
    <w:rsid w:val="001104C0"/>
    <w:rsid w:val="00110E3A"/>
    <w:rsid w:val="00110FA1"/>
    <w:rsid w:val="0011127A"/>
    <w:rsid w:val="00112A56"/>
    <w:rsid w:val="00112E27"/>
    <w:rsid w:val="00113380"/>
    <w:rsid w:val="00120C91"/>
    <w:rsid w:val="0012129B"/>
    <w:rsid w:val="00127939"/>
    <w:rsid w:val="00127B62"/>
    <w:rsid w:val="00130E85"/>
    <w:rsid w:val="00133773"/>
    <w:rsid w:val="00133E83"/>
    <w:rsid w:val="00134C5C"/>
    <w:rsid w:val="001406EE"/>
    <w:rsid w:val="0014237C"/>
    <w:rsid w:val="001430D6"/>
    <w:rsid w:val="00143454"/>
    <w:rsid w:val="00143DF1"/>
    <w:rsid w:val="0014515A"/>
    <w:rsid w:val="00145194"/>
    <w:rsid w:val="00146DAB"/>
    <w:rsid w:val="00147232"/>
    <w:rsid w:val="0015014A"/>
    <w:rsid w:val="00152224"/>
    <w:rsid w:val="00152872"/>
    <w:rsid w:val="00153B6B"/>
    <w:rsid w:val="00153D53"/>
    <w:rsid w:val="00153D5F"/>
    <w:rsid w:val="00154A68"/>
    <w:rsid w:val="00156361"/>
    <w:rsid w:val="00161425"/>
    <w:rsid w:val="00162C51"/>
    <w:rsid w:val="0016324F"/>
    <w:rsid w:val="001651C0"/>
    <w:rsid w:val="00166F9F"/>
    <w:rsid w:val="0016788F"/>
    <w:rsid w:val="0017243E"/>
    <w:rsid w:val="001726AB"/>
    <w:rsid w:val="00172EC7"/>
    <w:rsid w:val="00172F8A"/>
    <w:rsid w:val="001776C6"/>
    <w:rsid w:val="001836A2"/>
    <w:rsid w:val="0018378E"/>
    <w:rsid w:val="00184B35"/>
    <w:rsid w:val="00185387"/>
    <w:rsid w:val="00185475"/>
    <w:rsid w:val="001862A2"/>
    <w:rsid w:val="00186436"/>
    <w:rsid w:val="00186F9B"/>
    <w:rsid w:val="00187277"/>
    <w:rsid w:val="00192A2F"/>
    <w:rsid w:val="00193EE0"/>
    <w:rsid w:val="001963C9"/>
    <w:rsid w:val="001A1F58"/>
    <w:rsid w:val="001A20AC"/>
    <w:rsid w:val="001B0C3D"/>
    <w:rsid w:val="001B12B4"/>
    <w:rsid w:val="001B4CDC"/>
    <w:rsid w:val="001B52C4"/>
    <w:rsid w:val="001B6DF3"/>
    <w:rsid w:val="001B723E"/>
    <w:rsid w:val="001C09D5"/>
    <w:rsid w:val="001C3E5F"/>
    <w:rsid w:val="001C4356"/>
    <w:rsid w:val="001C61B9"/>
    <w:rsid w:val="001C6C79"/>
    <w:rsid w:val="001C7621"/>
    <w:rsid w:val="001C7801"/>
    <w:rsid w:val="001D06B5"/>
    <w:rsid w:val="001D15F0"/>
    <w:rsid w:val="001D1C94"/>
    <w:rsid w:val="001D3C3D"/>
    <w:rsid w:val="001D46D9"/>
    <w:rsid w:val="001D4C1E"/>
    <w:rsid w:val="001D750F"/>
    <w:rsid w:val="001E1D76"/>
    <w:rsid w:val="001E4EA6"/>
    <w:rsid w:val="001E60C3"/>
    <w:rsid w:val="001E651E"/>
    <w:rsid w:val="001F4DB8"/>
    <w:rsid w:val="001F4F6E"/>
    <w:rsid w:val="001F5261"/>
    <w:rsid w:val="001F5D0A"/>
    <w:rsid w:val="001F5DCE"/>
    <w:rsid w:val="0020047A"/>
    <w:rsid w:val="002036D8"/>
    <w:rsid w:val="00207388"/>
    <w:rsid w:val="0021121D"/>
    <w:rsid w:val="00211371"/>
    <w:rsid w:val="002114D7"/>
    <w:rsid w:val="00211B02"/>
    <w:rsid w:val="00213EE1"/>
    <w:rsid w:val="002149A8"/>
    <w:rsid w:val="002149B9"/>
    <w:rsid w:val="002164D7"/>
    <w:rsid w:val="00216945"/>
    <w:rsid w:val="00222435"/>
    <w:rsid w:val="00223536"/>
    <w:rsid w:val="00227212"/>
    <w:rsid w:val="00227DC2"/>
    <w:rsid w:val="00230213"/>
    <w:rsid w:val="00230262"/>
    <w:rsid w:val="00230712"/>
    <w:rsid w:val="00230744"/>
    <w:rsid w:val="00230951"/>
    <w:rsid w:val="00230A26"/>
    <w:rsid w:val="002329B0"/>
    <w:rsid w:val="00232E43"/>
    <w:rsid w:val="0023508A"/>
    <w:rsid w:val="0024051C"/>
    <w:rsid w:val="002409F2"/>
    <w:rsid w:val="002410FC"/>
    <w:rsid w:val="0024175C"/>
    <w:rsid w:val="002432E0"/>
    <w:rsid w:val="00243305"/>
    <w:rsid w:val="00245487"/>
    <w:rsid w:val="0024591F"/>
    <w:rsid w:val="00247B0E"/>
    <w:rsid w:val="002504F1"/>
    <w:rsid w:val="00250B99"/>
    <w:rsid w:val="0025232A"/>
    <w:rsid w:val="0025270B"/>
    <w:rsid w:val="0025281F"/>
    <w:rsid w:val="0025293A"/>
    <w:rsid w:val="002555FA"/>
    <w:rsid w:val="002610A6"/>
    <w:rsid w:val="00261EA1"/>
    <w:rsid w:val="0026740E"/>
    <w:rsid w:val="002702C0"/>
    <w:rsid w:val="0027293D"/>
    <w:rsid w:val="0027468A"/>
    <w:rsid w:val="002764C8"/>
    <w:rsid w:val="00276CB7"/>
    <w:rsid w:val="00276E31"/>
    <w:rsid w:val="002838BB"/>
    <w:rsid w:val="0028724F"/>
    <w:rsid w:val="00287654"/>
    <w:rsid w:val="00287FB7"/>
    <w:rsid w:val="0029230A"/>
    <w:rsid w:val="0029361F"/>
    <w:rsid w:val="0029369D"/>
    <w:rsid w:val="00293DF5"/>
    <w:rsid w:val="00296EFB"/>
    <w:rsid w:val="002A2867"/>
    <w:rsid w:val="002A46B5"/>
    <w:rsid w:val="002A5160"/>
    <w:rsid w:val="002A573E"/>
    <w:rsid w:val="002A5ADD"/>
    <w:rsid w:val="002A7668"/>
    <w:rsid w:val="002A78E9"/>
    <w:rsid w:val="002B03EA"/>
    <w:rsid w:val="002B0F44"/>
    <w:rsid w:val="002B1993"/>
    <w:rsid w:val="002B35CC"/>
    <w:rsid w:val="002B7A4C"/>
    <w:rsid w:val="002B7BA0"/>
    <w:rsid w:val="002C087B"/>
    <w:rsid w:val="002C2022"/>
    <w:rsid w:val="002C2802"/>
    <w:rsid w:val="002C5F38"/>
    <w:rsid w:val="002C6A71"/>
    <w:rsid w:val="002C6A93"/>
    <w:rsid w:val="002D0C17"/>
    <w:rsid w:val="002D149E"/>
    <w:rsid w:val="002D1BFA"/>
    <w:rsid w:val="002D24F7"/>
    <w:rsid w:val="002D28E1"/>
    <w:rsid w:val="002D70EF"/>
    <w:rsid w:val="002E71B6"/>
    <w:rsid w:val="002F0870"/>
    <w:rsid w:val="002F102B"/>
    <w:rsid w:val="002F1DCF"/>
    <w:rsid w:val="002F2DCC"/>
    <w:rsid w:val="002F3141"/>
    <w:rsid w:val="002F43BA"/>
    <w:rsid w:val="002F6F63"/>
    <w:rsid w:val="002F6F8D"/>
    <w:rsid w:val="002F71B7"/>
    <w:rsid w:val="002F73C3"/>
    <w:rsid w:val="002F7E00"/>
    <w:rsid w:val="00301DFE"/>
    <w:rsid w:val="003022D1"/>
    <w:rsid w:val="0030235C"/>
    <w:rsid w:val="0030322A"/>
    <w:rsid w:val="00310FCB"/>
    <w:rsid w:val="003145FE"/>
    <w:rsid w:val="003150DE"/>
    <w:rsid w:val="00315496"/>
    <w:rsid w:val="00316419"/>
    <w:rsid w:val="0031677E"/>
    <w:rsid w:val="00320C78"/>
    <w:rsid w:val="003213A0"/>
    <w:rsid w:val="00323358"/>
    <w:rsid w:val="0032347D"/>
    <w:rsid w:val="0032634F"/>
    <w:rsid w:val="00326A05"/>
    <w:rsid w:val="00327251"/>
    <w:rsid w:val="0032777F"/>
    <w:rsid w:val="00333A1B"/>
    <w:rsid w:val="003345E0"/>
    <w:rsid w:val="00336728"/>
    <w:rsid w:val="00336DF7"/>
    <w:rsid w:val="0033776E"/>
    <w:rsid w:val="00344BFE"/>
    <w:rsid w:val="0034596E"/>
    <w:rsid w:val="00347DE1"/>
    <w:rsid w:val="00350199"/>
    <w:rsid w:val="0035363B"/>
    <w:rsid w:val="003537CB"/>
    <w:rsid w:val="003538BA"/>
    <w:rsid w:val="003554AE"/>
    <w:rsid w:val="00356574"/>
    <w:rsid w:val="003573B4"/>
    <w:rsid w:val="003575AE"/>
    <w:rsid w:val="00361493"/>
    <w:rsid w:val="003629BD"/>
    <w:rsid w:val="0036495C"/>
    <w:rsid w:val="00364DD6"/>
    <w:rsid w:val="00365FCB"/>
    <w:rsid w:val="003675E1"/>
    <w:rsid w:val="00367D80"/>
    <w:rsid w:val="003702A3"/>
    <w:rsid w:val="003738DC"/>
    <w:rsid w:val="003739B5"/>
    <w:rsid w:val="00373A68"/>
    <w:rsid w:val="00374AF1"/>
    <w:rsid w:val="00375331"/>
    <w:rsid w:val="00376688"/>
    <w:rsid w:val="00377C2B"/>
    <w:rsid w:val="00380BE1"/>
    <w:rsid w:val="00381783"/>
    <w:rsid w:val="00385FD0"/>
    <w:rsid w:val="00386151"/>
    <w:rsid w:val="003875C9"/>
    <w:rsid w:val="003908E8"/>
    <w:rsid w:val="00395544"/>
    <w:rsid w:val="003A0DB4"/>
    <w:rsid w:val="003A2AEA"/>
    <w:rsid w:val="003A3C87"/>
    <w:rsid w:val="003A4E65"/>
    <w:rsid w:val="003A5601"/>
    <w:rsid w:val="003A6C7A"/>
    <w:rsid w:val="003A7D0F"/>
    <w:rsid w:val="003B117C"/>
    <w:rsid w:val="003B1EC0"/>
    <w:rsid w:val="003C12BD"/>
    <w:rsid w:val="003C1E0A"/>
    <w:rsid w:val="003C4C7B"/>
    <w:rsid w:val="003C5E65"/>
    <w:rsid w:val="003C7029"/>
    <w:rsid w:val="003C7261"/>
    <w:rsid w:val="003C7C49"/>
    <w:rsid w:val="003D0CCA"/>
    <w:rsid w:val="003D0F52"/>
    <w:rsid w:val="003D1D44"/>
    <w:rsid w:val="003D531D"/>
    <w:rsid w:val="003D5B4D"/>
    <w:rsid w:val="003E29D5"/>
    <w:rsid w:val="003E3945"/>
    <w:rsid w:val="003E4780"/>
    <w:rsid w:val="003E489D"/>
    <w:rsid w:val="003E55C5"/>
    <w:rsid w:val="003E7CA0"/>
    <w:rsid w:val="003F1FF1"/>
    <w:rsid w:val="003F22E3"/>
    <w:rsid w:val="003F59EF"/>
    <w:rsid w:val="003F6900"/>
    <w:rsid w:val="003F690E"/>
    <w:rsid w:val="00404889"/>
    <w:rsid w:val="004049AB"/>
    <w:rsid w:val="0040602B"/>
    <w:rsid w:val="004062EB"/>
    <w:rsid w:val="0041158A"/>
    <w:rsid w:val="00412DA6"/>
    <w:rsid w:val="00413533"/>
    <w:rsid w:val="004156D1"/>
    <w:rsid w:val="00421A1E"/>
    <w:rsid w:val="00424348"/>
    <w:rsid w:val="00424F2E"/>
    <w:rsid w:val="004256C6"/>
    <w:rsid w:val="00425998"/>
    <w:rsid w:val="00425D08"/>
    <w:rsid w:val="0042639F"/>
    <w:rsid w:val="00432E75"/>
    <w:rsid w:val="00434450"/>
    <w:rsid w:val="00435150"/>
    <w:rsid w:val="004353C1"/>
    <w:rsid w:val="004362A4"/>
    <w:rsid w:val="00437AA4"/>
    <w:rsid w:val="00440105"/>
    <w:rsid w:val="00442132"/>
    <w:rsid w:val="004426C8"/>
    <w:rsid w:val="0044447F"/>
    <w:rsid w:val="00452700"/>
    <w:rsid w:val="00455666"/>
    <w:rsid w:val="0045782D"/>
    <w:rsid w:val="00457D72"/>
    <w:rsid w:val="00461693"/>
    <w:rsid w:val="004626FC"/>
    <w:rsid w:val="00462A1D"/>
    <w:rsid w:val="00462A90"/>
    <w:rsid w:val="004630FF"/>
    <w:rsid w:val="0046429F"/>
    <w:rsid w:val="004651F9"/>
    <w:rsid w:val="0046707E"/>
    <w:rsid w:val="0046782B"/>
    <w:rsid w:val="0047125A"/>
    <w:rsid w:val="004714E2"/>
    <w:rsid w:val="00475ADD"/>
    <w:rsid w:val="0047775B"/>
    <w:rsid w:val="00477C8F"/>
    <w:rsid w:val="00477F4F"/>
    <w:rsid w:val="00482B89"/>
    <w:rsid w:val="00483619"/>
    <w:rsid w:val="004844D7"/>
    <w:rsid w:val="00484A43"/>
    <w:rsid w:val="004875C6"/>
    <w:rsid w:val="00487FCA"/>
    <w:rsid w:val="00491C0C"/>
    <w:rsid w:val="004922EE"/>
    <w:rsid w:val="00492B3A"/>
    <w:rsid w:val="00495A50"/>
    <w:rsid w:val="004973D7"/>
    <w:rsid w:val="00497951"/>
    <w:rsid w:val="004A0449"/>
    <w:rsid w:val="004A2783"/>
    <w:rsid w:val="004A4CEB"/>
    <w:rsid w:val="004A5C0D"/>
    <w:rsid w:val="004A62B1"/>
    <w:rsid w:val="004B0C28"/>
    <w:rsid w:val="004B1553"/>
    <w:rsid w:val="004B3207"/>
    <w:rsid w:val="004B76A0"/>
    <w:rsid w:val="004C0791"/>
    <w:rsid w:val="004C2D8E"/>
    <w:rsid w:val="004C2E2C"/>
    <w:rsid w:val="004C3164"/>
    <w:rsid w:val="004C3895"/>
    <w:rsid w:val="004C3948"/>
    <w:rsid w:val="004C5A31"/>
    <w:rsid w:val="004C628C"/>
    <w:rsid w:val="004D0A93"/>
    <w:rsid w:val="004D3EF8"/>
    <w:rsid w:val="004D4D6B"/>
    <w:rsid w:val="004D5324"/>
    <w:rsid w:val="004D5D07"/>
    <w:rsid w:val="004E0095"/>
    <w:rsid w:val="004E07BD"/>
    <w:rsid w:val="004E1DCF"/>
    <w:rsid w:val="004E1DD2"/>
    <w:rsid w:val="004E22D4"/>
    <w:rsid w:val="004E2489"/>
    <w:rsid w:val="004E7405"/>
    <w:rsid w:val="004F066D"/>
    <w:rsid w:val="004F13DB"/>
    <w:rsid w:val="004F1F2E"/>
    <w:rsid w:val="004F42D7"/>
    <w:rsid w:val="004F65E3"/>
    <w:rsid w:val="004F6696"/>
    <w:rsid w:val="004F76E3"/>
    <w:rsid w:val="00501730"/>
    <w:rsid w:val="00502C08"/>
    <w:rsid w:val="00504764"/>
    <w:rsid w:val="005065C5"/>
    <w:rsid w:val="00507756"/>
    <w:rsid w:val="00510DBC"/>
    <w:rsid w:val="00511472"/>
    <w:rsid w:val="0051544B"/>
    <w:rsid w:val="005157E6"/>
    <w:rsid w:val="0051594D"/>
    <w:rsid w:val="00517731"/>
    <w:rsid w:val="00521086"/>
    <w:rsid w:val="00521A8A"/>
    <w:rsid w:val="00521EA4"/>
    <w:rsid w:val="00526327"/>
    <w:rsid w:val="00526ADE"/>
    <w:rsid w:val="00526CD7"/>
    <w:rsid w:val="0053242B"/>
    <w:rsid w:val="005347E4"/>
    <w:rsid w:val="00536043"/>
    <w:rsid w:val="00536F46"/>
    <w:rsid w:val="005448E9"/>
    <w:rsid w:val="005468C7"/>
    <w:rsid w:val="00547BF9"/>
    <w:rsid w:val="0055154E"/>
    <w:rsid w:val="0055289A"/>
    <w:rsid w:val="00553222"/>
    <w:rsid w:val="005563D2"/>
    <w:rsid w:val="005619DB"/>
    <w:rsid w:val="00562522"/>
    <w:rsid w:val="005649EF"/>
    <w:rsid w:val="00566A01"/>
    <w:rsid w:val="0057017E"/>
    <w:rsid w:val="00571665"/>
    <w:rsid w:val="0057228E"/>
    <w:rsid w:val="005727E0"/>
    <w:rsid w:val="00573E7D"/>
    <w:rsid w:val="00575097"/>
    <w:rsid w:val="005750CB"/>
    <w:rsid w:val="00575A39"/>
    <w:rsid w:val="005762BF"/>
    <w:rsid w:val="00582FD4"/>
    <w:rsid w:val="0058363C"/>
    <w:rsid w:val="0058590E"/>
    <w:rsid w:val="00585C6D"/>
    <w:rsid w:val="00586BE0"/>
    <w:rsid w:val="0059214E"/>
    <w:rsid w:val="00594103"/>
    <w:rsid w:val="005945F3"/>
    <w:rsid w:val="00595683"/>
    <w:rsid w:val="005956B8"/>
    <w:rsid w:val="005967F7"/>
    <w:rsid w:val="005A0053"/>
    <w:rsid w:val="005A2AB1"/>
    <w:rsid w:val="005A36FE"/>
    <w:rsid w:val="005A4F59"/>
    <w:rsid w:val="005A7023"/>
    <w:rsid w:val="005A7253"/>
    <w:rsid w:val="005A7C84"/>
    <w:rsid w:val="005B13B9"/>
    <w:rsid w:val="005B201B"/>
    <w:rsid w:val="005B3E71"/>
    <w:rsid w:val="005B520B"/>
    <w:rsid w:val="005B575E"/>
    <w:rsid w:val="005C030C"/>
    <w:rsid w:val="005C272F"/>
    <w:rsid w:val="005C31C6"/>
    <w:rsid w:val="005C31F0"/>
    <w:rsid w:val="005C3378"/>
    <w:rsid w:val="005C4029"/>
    <w:rsid w:val="005C52DE"/>
    <w:rsid w:val="005C60C5"/>
    <w:rsid w:val="005C7CA8"/>
    <w:rsid w:val="005D0FC0"/>
    <w:rsid w:val="005D1973"/>
    <w:rsid w:val="005D3BDB"/>
    <w:rsid w:val="005D42E9"/>
    <w:rsid w:val="005D66F8"/>
    <w:rsid w:val="005D716B"/>
    <w:rsid w:val="005D7AC0"/>
    <w:rsid w:val="005E0DA0"/>
    <w:rsid w:val="005E2E76"/>
    <w:rsid w:val="005E39A9"/>
    <w:rsid w:val="005E4394"/>
    <w:rsid w:val="005E54A7"/>
    <w:rsid w:val="005E6492"/>
    <w:rsid w:val="005E6EA4"/>
    <w:rsid w:val="005E73FA"/>
    <w:rsid w:val="005F004E"/>
    <w:rsid w:val="005F11CC"/>
    <w:rsid w:val="005F3905"/>
    <w:rsid w:val="005F3B38"/>
    <w:rsid w:val="005F5294"/>
    <w:rsid w:val="005F5AE0"/>
    <w:rsid w:val="005F6D59"/>
    <w:rsid w:val="005F7375"/>
    <w:rsid w:val="005F7A50"/>
    <w:rsid w:val="00600D02"/>
    <w:rsid w:val="0060193C"/>
    <w:rsid w:val="00602037"/>
    <w:rsid w:val="0060275F"/>
    <w:rsid w:val="0060494B"/>
    <w:rsid w:val="00605FB2"/>
    <w:rsid w:val="00607E39"/>
    <w:rsid w:val="00611F18"/>
    <w:rsid w:val="00613792"/>
    <w:rsid w:val="006140D8"/>
    <w:rsid w:val="006204E8"/>
    <w:rsid w:val="0062366B"/>
    <w:rsid w:val="006239ED"/>
    <w:rsid w:val="00624139"/>
    <w:rsid w:val="00624774"/>
    <w:rsid w:val="0062496D"/>
    <w:rsid w:val="00624D5A"/>
    <w:rsid w:val="0063214D"/>
    <w:rsid w:val="00635E7C"/>
    <w:rsid w:val="006364CC"/>
    <w:rsid w:val="00637C6B"/>
    <w:rsid w:val="00640525"/>
    <w:rsid w:val="00640F30"/>
    <w:rsid w:val="00641031"/>
    <w:rsid w:val="006417C5"/>
    <w:rsid w:val="00642295"/>
    <w:rsid w:val="00643A70"/>
    <w:rsid w:val="00644357"/>
    <w:rsid w:val="00645185"/>
    <w:rsid w:val="006459ED"/>
    <w:rsid w:val="00647B82"/>
    <w:rsid w:val="00650E36"/>
    <w:rsid w:val="006517B2"/>
    <w:rsid w:val="00652A26"/>
    <w:rsid w:val="00653973"/>
    <w:rsid w:val="00653B70"/>
    <w:rsid w:val="006547F2"/>
    <w:rsid w:val="00656AB3"/>
    <w:rsid w:val="00660F6C"/>
    <w:rsid w:val="00661D7D"/>
    <w:rsid w:val="00666F71"/>
    <w:rsid w:val="00667AA1"/>
    <w:rsid w:val="00667EEE"/>
    <w:rsid w:val="00670DF9"/>
    <w:rsid w:val="006711AA"/>
    <w:rsid w:val="006712D8"/>
    <w:rsid w:val="00673898"/>
    <w:rsid w:val="00676134"/>
    <w:rsid w:val="006765D2"/>
    <w:rsid w:val="0067726E"/>
    <w:rsid w:val="00680102"/>
    <w:rsid w:val="00680F28"/>
    <w:rsid w:val="006824C7"/>
    <w:rsid w:val="00682834"/>
    <w:rsid w:val="0068589C"/>
    <w:rsid w:val="00686247"/>
    <w:rsid w:val="0069087D"/>
    <w:rsid w:val="00691453"/>
    <w:rsid w:val="00693AD9"/>
    <w:rsid w:val="00695763"/>
    <w:rsid w:val="00697632"/>
    <w:rsid w:val="00697928"/>
    <w:rsid w:val="006A009A"/>
    <w:rsid w:val="006A094C"/>
    <w:rsid w:val="006A1B22"/>
    <w:rsid w:val="006A3049"/>
    <w:rsid w:val="006A5931"/>
    <w:rsid w:val="006B0511"/>
    <w:rsid w:val="006B1C25"/>
    <w:rsid w:val="006B5744"/>
    <w:rsid w:val="006B6FF7"/>
    <w:rsid w:val="006C0381"/>
    <w:rsid w:val="006C4CA2"/>
    <w:rsid w:val="006C5F8F"/>
    <w:rsid w:val="006C601F"/>
    <w:rsid w:val="006C610A"/>
    <w:rsid w:val="006C7480"/>
    <w:rsid w:val="006C7D56"/>
    <w:rsid w:val="006D03F2"/>
    <w:rsid w:val="006D057F"/>
    <w:rsid w:val="006D24A0"/>
    <w:rsid w:val="006D481E"/>
    <w:rsid w:val="006D5A84"/>
    <w:rsid w:val="006D6F95"/>
    <w:rsid w:val="006D7D60"/>
    <w:rsid w:val="006D7DFB"/>
    <w:rsid w:val="006D7F7D"/>
    <w:rsid w:val="006E0002"/>
    <w:rsid w:val="006E0B95"/>
    <w:rsid w:val="006E0C62"/>
    <w:rsid w:val="006E249E"/>
    <w:rsid w:val="006E2FF8"/>
    <w:rsid w:val="006E3DB3"/>
    <w:rsid w:val="006E402F"/>
    <w:rsid w:val="006E51D9"/>
    <w:rsid w:val="006E609E"/>
    <w:rsid w:val="006E73C9"/>
    <w:rsid w:val="006E73F7"/>
    <w:rsid w:val="006E7D8E"/>
    <w:rsid w:val="006F0F9C"/>
    <w:rsid w:val="006F1864"/>
    <w:rsid w:val="006F327C"/>
    <w:rsid w:val="006F4A37"/>
    <w:rsid w:val="006F4F9C"/>
    <w:rsid w:val="006F6389"/>
    <w:rsid w:val="006F649F"/>
    <w:rsid w:val="006F7168"/>
    <w:rsid w:val="007019F6"/>
    <w:rsid w:val="007024CF"/>
    <w:rsid w:val="007047FE"/>
    <w:rsid w:val="00704923"/>
    <w:rsid w:val="00706D86"/>
    <w:rsid w:val="007106A8"/>
    <w:rsid w:val="00712086"/>
    <w:rsid w:val="00715B14"/>
    <w:rsid w:val="007174EF"/>
    <w:rsid w:val="00717E75"/>
    <w:rsid w:val="00722CDA"/>
    <w:rsid w:val="00724B95"/>
    <w:rsid w:val="00724D9E"/>
    <w:rsid w:val="00725014"/>
    <w:rsid w:val="00725C35"/>
    <w:rsid w:val="007261D5"/>
    <w:rsid w:val="00726329"/>
    <w:rsid w:val="007306CA"/>
    <w:rsid w:val="007312F3"/>
    <w:rsid w:val="00731F7E"/>
    <w:rsid w:val="00732AA6"/>
    <w:rsid w:val="007352D6"/>
    <w:rsid w:val="007364A6"/>
    <w:rsid w:val="00736DDA"/>
    <w:rsid w:val="00743AF9"/>
    <w:rsid w:val="007443A8"/>
    <w:rsid w:val="00744882"/>
    <w:rsid w:val="0074773E"/>
    <w:rsid w:val="00750BC1"/>
    <w:rsid w:val="00750CBC"/>
    <w:rsid w:val="00753DBE"/>
    <w:rsid w:val="00756B5D"/>
    <w:rsid w:val="00756CD9"/>
    <w:rsid w:val="007610EB"/>
    <w:rsid w:val="00761534"/>
    <w:rsid w:val="007629CC"/>
    <w:rsid w:val="00762F3D"/>
    <w:rsid w:val="00763516"/>
    <w:rsid w:val="007635C9"/>
    <w:rsid w:val="007647CE"/>
    <w:rsid w:val="0076698A"/>
    <w:rsid w:val="00770674"/>
    <w:rsid w:val="007733C1"/>
    <w:rsid w:val="007754F1"/>
    <w:rsid w:val="00782A38"/>
    <w:rsid w:val="00784436"/>
    <w:rsid w:val="00793858"/>
    <w:rsid w:val="00794704"/>
    <w:rsid w:val="007956AB"/>
    <w:rsid w:val="00797914"/>
    <w:rsid w:val="00797A52"/>
    <w:rsid w:val="007A10EC"/>
    <w:rsid w:val="007A24B4"/>
    <w:rsid w:val="007A550C"/>
    <w:rsid w:val="007B05AE"/>
    <w:rsid w:val="007B2967"/>
    <w:rsid w:val="007B3634"/>
    <w:rsid w:val="007B5FCA"/>
    <w:rsid w:val="007B792C"/>
    <w:rsid w:val="007C14F2"/>
    <w:rsid w:val="007C2B7A"/>
    <w:rsid w:val="007C3934"/>
    <w:rsid w:val="007C3D50"/>
    <w:rsid w:val="007C53CC"/>
    <w:rsid w:val="007D2763"/>
    <w:rsid w:val="007D2A23"/>
    <w:rsid w:val="007D2FF7"/>
    <w:rsid w:val="007D56E3"/>
    <w:rsid w:val="007D5889"/>
    <w:rsid w:val="007E51F3"/>
    <w:rsid w:val="007E58E0"/>
    <w:rsid w:val="007F056C"/>
    <w:rsid w:val="007F107E"/>
    <w:rsid w:val="007F1EF7"/>
    <w:rsid w:val="007F308A"/>
    <w:rsid w:val="007F338C"/>
    <w:rsid w:val="007F393A"/>
    <w:rsid w:val="007F51E4"/>
    <w:rsid w:val="007F5DFC"/>
    <w:rsid w:val="007F6777"/>
    <w:rsid w:val="007F7690"/>
    <w:rsid w:val="00800979"/>
    <w:rsid w:val="00803D38"/>
    <w:rsid w:val="00806754"/>
    <w:rsid w:val="008104C4"/>
    <w:rsid w:val="008121A2"/>
    <w:rsid w:val="008132C0"/>
    <w:rsid w:val="00813A09"/>
    <w:rsid w:val="00814B08"/>
    <w:rsid w:val="0081716B"/>
    <w:rsid w:val="00822D9D"/>
    <w:rsid w:val="00823582"/>
    <w:rsid w:val="0082698E"/>
    <w:rsid w:val="00831DDF"/>
    <w:rsid w:val="00832747"/>
    <w:rsid w:val="00834694"/>
    <w:rsid w:val="00834C49"/>
    <w:rsid w:val="00840A4F"/>
    <w:rsid w:val="008410AC"/>
    <w:rsid w:val="00844A20"/>
    <w:rsid w:val="0084645D"/>
    <w:rsid w:val="00846827"/>
    <w:rsid w:val="00847E74"/>
    <w:rsid w:val="00850339"/>
    <w:rsid w:val="00850849"/>
    <w:rsid w:val="00856A47"/>
    <w:rsid w:val="008612EB"/>
    <w:rsid w:val="00862B97"/>
    <w:rsid w:val="00863211"/>
    <w:rsid w:val="008647F5"/>
    <w:rsid w:val="00864AD8"/>
    <w:rsid w:val="00865D71"/>
    <w:rsid w:val="008665D8"/>
    <w:rsid w:val="00866E71"/>
    <w:rsid w:val="00867D7F"/>
    <w:rsid w:val="00876BB7"/>
    <w:rsid w:val="008773DC"/>
    <w:rsid w:val="00881839"/>
    <w:rsid w:val="00883AE2"/>
    <w:rsid w:val="00886511"/>
    <w:rsid w:val="00886961"/>
    <w:rsid w:val="0088728B"/>
    <w:rsid w:val="00892133"/>
    <w:rsid w:val="0089259C"/>
    <w:rsid w:val="0089307D"/>
    <w:rsid w:val="008961E2"/>
    <w:rsid w:val="00896CB3"/>
    <w:rsid w:val="00897768"/>
    <w:rsid w:val="008A00B5"/>
    <w:rsid w:val="008A35CF"/>
    <w:rsid w:val="008A41C1"/>
    <w:rsid w:val="008A69CE"/>
    <w:rsid w:val="008B03A0"/>
    <w:rsid w:val="008B27A5"/>
    <w:rsid w:val="008B2989"/>
    <w:rsid w:val="008B4518"/>
    <w:rsid w:val="008B551E"/>
    <w:rsid w:val="008B751D"/>
    <w:rsid w:val="008B7BCA"/>
    <w:rsid w:val="008C15BE"/>
    <w:rsid w:val="008C15E2"/>
    <w:rsid w:val="008C5AF3"/>
    <w:rsid w:val="008C6B9B"/>
    <w:rsid w:val="008C7CA5"/>
    <w:rsid w:val="008D0844"/>
    <w:rsid w:val="008D3044"/>
    <w:rsid w:val="008D51E0"/>
    <w:rsid w:val="008D5403"/>
    <w:rsid w:val="008D66F4"/>
    <w:rsid w:val="008D6E2F"/>
    <w:rsid w:val="008D75CC"/>
    <w:rsid w:val="008D7EEC"/>
    <w:rsid w:val="008E3E50"/>
    <w:rsid w:val="008E3E6D"/>
    <w:rsid w:val="008E5D57"/>
    <w:rsid w:val="008E650F"/>
    <w:rsid w:val="008F1A21"/>
    <w:rsid w:val="008F1F7A"/>
    <w:rsid w:val="008F4F6D"/>
    <w:rsid w:val="008F55EC"/>
    <w:rsid w:val="008F6178"/>
    <w:rsid w:val="008F64C8"/>
    <w:rsid w:val="0090262C"/>
    <w:rsid w:val="00903B40"/>
    <w:rsid w:val="00905410"/>
    <w:rsid w:val="00913774"/>
    <w:rsid w:val="0091527B"/>
    <w:rsid w:val="0092009B"/>
    <w:rsid w:val="00926A31"/>
    <w:rsid w:val="009277E0"/>
    <w:rsid w:val="00930C0C"/>
    <w:rsid w:val="00931B49"/>
    <w:rsid w:val="00934CDE"/>
    <w:rsid w:val="0093589B"/>
    <w:rsid w:val="00935F88"/>
    <w:rsid w:val="0093791D"/>
    <w:rsid w:val="00941D34"/>
    <w:rsid w:val="00943AFC"/>
    <w:rsid w:val="00945D87"/>
    <w:rsid w:val="00946986"/>
    <w:rsid w:val="00950B4F"/>
    <w:rsid w:val="009511E6"/>
    <w:rsid w:val="009513F9"/>
    <w:rsid w:val="00952B02"/>
    <w:rsid w:val="0095513E"/>
    <w:rsid w:val="00955962"/>
    <w:rsid w:val="00960E00"/>
    <w:rsid w:val="0096117A"/>
    <w:rsid w:val="00962E58"/>
    <w:rsid w:val="009635F7"/>
    <w:rsid w:val="0096471D"/>
    <w:rsid w:val="009648A7"/>
    <w:rsid w:val="00965564"/>
    <w:rsid w:val="009671D7"/>
    <w:rsid w:val="00967670"/>
    <w:rsid w:val="00972001"/>
    <w:rsid w:val="00972641"/>
    <w:rsid w:val="0097401F"/>
    <w:rsid w:val="009746AC"/>
    <w:rsid w:val="00975C0E"/>
    <w:rsid w:val="00977765"/>
    <w:rsid w:val="0098068A"/>
    <w:rsid w:val="00983075"/>
    <w:rsid w:val="00983100"/>
    <w:rsid w:val="00983B3F"/>
    <w:rsid w:val="00985BE2"/>
    <w:rsid w:val="00987285"/>
    <w:rsid w:val="009900F0"/>
    <w:rsid w:val="009903DD"/>
    <w:rsid w:val="009940DF"/>
    <w:rsid w:val="00994BF0"/>
    <w:rsid w:val="00995CE7"/>
    <w:rsid w:val="009961E7"/>
    <w:rsid w:val="009976A7"/>
    <w:rsid w:val="009A2DC8"/>
    <w:rsid w:val="009A4459"/>
    <w:rsid w:val="009A4A5C"/>
    <w:rsid w:val="009A649D"/>
    <w:rsid w:val="009A6AB2"/>
    <w:rsid w:val="009A6D74"/>
    <w:rsid w:val="009B4674"/>
    <w:rsid w:val="009B4CFA"/>
    <w:rsid w:val="009B5987"/>
    <w:rsid w:val="009B61CB"/>
    <w:rsid w:val="009B64D9"/>
    <w:rsid w:val="009B695C"/>
    <w:rsid w:val="009B7270"/>
    <w:rsid w:val="009C00F5"/>
    <w:rsid w:val="009C01B8"/>
    <w:rsid w:val="009C0430"/>
    <w:rsid w:val="009C30FF"/>
    <w:rsid w:val="009C33EA"/>
    <w:rsid w:val="009C431B"/>
    <w:rsid w:val="009C7CF0"/>
    <w:rsid w:val="009D4600"/>
    <w:rsid w:val="009D544E"/>
    <w:rsid w:val="009D63D7"/>
    <w:rsid w:val="009D7875"/>
    <w:rsid w:val="009E0676"/>
    <w:rsid w:val="009E412A"/>
    <w:rsid w:val="009E4464"/>
    <w:rsid w:val="009E4BE3"/>
    <w:rsid w:val="009E61D7"/>
    <w:rsid w:val="009F09E0"/>
    <w:rsid w:val="009F3612"/>
    <w:rsid w:val="009F3AB5"/>
    <w:rsid w:val="009F54D8"/>
    <w:rsid w:val="009F55F8"/>
    <w:rsid w:val="009F5B4D"/>
    <w:rsid w:val="009F70D6"/>
    <w:rsid w:val="00A073BE"/>
    <w:rsid w:val="00A074F8"/>
    <w:rsid w:val="00A10BDB"/>
    <w:rsid w:val="00A17E5B"/>
    <w:rsid w:val="00A200CB"/>
    <w:rsid w:val="00A216A5"/>
    <w:rsid w:val="00A216A9"/>
    <w:rsid w:val="00A22901"/>
    <w:rsid w:val="00A250BA"/>
    <w:rsid w:val="00A26BF1"/>
    <w:rsid w:val="00A279D7"/>
    <w:rsid w:val="00A311E7"/>
    <w:rsid w:val="00A33816"/>
    <w:rsid w:val="00A3389B"/>
    <w:rsid w:val="00A37681"/>
    <w:rsid w:val="00A37D7E"/>
    <w:rsid w:val="00A4085E"/>
    <w:rsid w:val="00A40A4E"/>
    <w:rsid w:val="00A418F4"/>
    <w:rsid w:val="00A41D7B"/>
    <w:rsid w:val="00A41DDC"/>
    <w:rsid w:val="00A427E2"/>
    <w:rsid w:val="00A46B27"/>
    <w:rsid w:val="00A46D13"/>
    <w:rsid w:val="00A51F7B"/>
    <w:rsid w:val="00A52527"/>
    <w:rsid w:val="00A5271D"/>
    <w:rsid w:val="00A538BA"/>
    <w:rsid w:val="00A572B0"/>
    <w:rsid w:val="00A60A31"/>
    <w:rsid w:val="00A61703"/>
    <w:rsid w:val="00A63DA5"/>
    <w:rsid w:val="00A644FF"/>
    <w:rsid w:val="00A64D2F"/>
    <w:rsid w:val="00A65C6D"/>
    <w:rsid w:val="00A70DA4"/>
    <w:rsid w:val="00A70DFC"/>
    <w:rsid w:val="00A71CCD"/>
    <w:rsid w:val="00A73E9B"/>
    <w:rsid w:val="00A7482D"/>
    <w:rsid w:val="00A7550D"/>
    <w:rsid w:val="00A76526"/>
    <w:rsid w:val="00A76690"/>
    <w:rsid w:val="00A76754"/>
    <w:rsid w:val="00A76896"/>
    <w:rsid w:val="00A76D79"/>
    <w:rsid w:val="00A819FA"/>
    <w:rsid w:val="00A82F39"/>
    <w:rsid w:val="00A83B72"/>
    <w:rsid w:val="00A85133"/>
    <w:rsid w:val="00A91017"/>
    <w:rsid w:val="00A91639"/>
    <w:rsid w:val="00A94428"/>
    <w:rsid w:val="00A95725"/>
    <w:rsid w:val="00A95AEB"/>
    <w:rsid w:val="00A9603F"/>
    <w:rsid w:val="00AA279F"/>
    <w:rsid w:val="00AA7E43"/>
    <w:rsid w:val="00AB16FA"/>
    <w:rsid w:val="00AB522D"/>
    <w:rsid w:val="00AB7A02"/>
    <w:rsid w:val="00AC724B"/>
    <w:rsid w:val="00AC7472"/>
    <w:rsid w:val="00AD1ED1"/>
    <w:rsid w:val="00AD275A"/>
    <w:rsid w:val="00AD3408"/>
    <w:rsid w:val="00AD59E9"/>
    <w:rsid w:val="00AD621C"/>
    <w:rsid w:val="00AD7BD4"/>
    <w:rsid w:val="00AE575C"/>
    <w:rsid w:val="00AE5F0F"/>
    <w:rsid w:val="00AE64F1"/>
    <w:rsid w:val="00AE67A7"/>
    <w:rsid w:val="00AE7D66"/>
    <w:rsid w:val="00AF10EF"/>
    <w:rsid w:val="00AF145C"/>
    <w:rsid w:val="00AF1F44"/>
    <w:rsid w:val="00AF601F"/>
    <w:rsid w:val="00AF646E"/>
    <w:rsid w:val="00B00DE6"/>
    <w:rsid w:val="00B0638C"/>
    <w:rsid w:val="00B06E05"/>
    <w:rsid w:val="00B13D33"/>
    <w:rsid w:val="00B151E9"/>
    <w:rsid w:val="00B17303"/>
    <w:rsid w:val="00B176A0"/>
    <w:rsid w:val="00B207CA"/>
    <w:rsid w:val="00B20E26"/>
    <w:rsid w:val="00B2125B"/>
    <w:rsid w:val="00B21EAB"/>
    <w:rsid w:val="00B227EA"/>
    <w:rsid w:val="00B2306F"/>
    <w:rsid w:val="00B233D1"/>
    <w:rsid w:val="00B23AEB"/>
    <w:rsid w:val="00B246BE"/>
    <w:rsid w:val="00B24D27"/>
    <w:rsid w:val="00B264D7"/>
    <w:rsid w:val="00B3183E"/>
    <w:rsid w:val="00B31FC8"/>
    <w:rsid w:val="00B31FCA"/>
    <w:rsid w:val="00B374CB"/>
    <w:rsid w:val="00B37A5F"/>
    <w:rsid w:val="00B41E1D"/>
    <w:rsid w:val="00B458CA"/>
    <w:rsid w:val="00B5346A"/>
    <w:rsid w:val="00B536B3"/>
    <w:rsid w:val="00B53FCE"/>
    <w:rsid w:val="00B55698"/>
    <w:rsid w:val="00B559D2"/>
    <w:rsid w:val="00B57148"/>
    <w:rsid w:val="00B60296"/>
    <w:rsid w:val="00B61A1B"/>
    <w:rsid w:val="00B628EA"/>
    <w:rsid w:val="00B62D34"/>
    <w:rsid w:val="00B644D4"/>
    <w:rsid w:val="00B64AF1"/>
    <w:rsid w:val="00B65061"/>
    <w:rsid w:val="00B65422"/>
    <w:rsid w:val="00B65EB8"/>
    <w:rsid w:val="00B66EA8"/>
    <w:rsid w:val="00B67499"/>
    <w:rsid w:val="00B72D95"/>
    <w:rsid w:val="00B76AC0"/>
    <w:rsid w:val="00B76C1D"/>
    <w:rsid w:val="00B7791F"/>
    <w:rsid w:val="00B80002"/>
    <w:rsid w:val="00B81A9C"/>
    <w:rsid w:val="00B82A1D"/>
    <w:rsid w:val="00B83504"/>
    <w:rsid w:val="00B8391F"/>
    <w:rsid w:val="00B84E42"/>
    <w:rsid w:val="00B96BE3"/>
    <w:rsid w:val="00BA08A9"/>
    <w:rsid w:val="00BA2FDF"/>
    <w:rsid w:val="00BA3B29"/>
    <w:rsid w:val="00BA3E15"/>
    <w:rsid w:val="00BA644A"/>
    <w:rsid w:val="00BB08E4"/>
    <w:rsid w:val="00BB4476"/>
    <w:rsid w:val="00BB4AFE"/>
    <w:rsid w:val="00BB4E1C"/>
    <w:rsid w:val="00BB6B2B"/>
    <w:rsid w:val="00BB6C35"/>
    <w:rsid w:val="00BC08A7"/>
    <w:rsid w:val="00BC1E91"/>
    <w:rsid w:val="00BC6457"/>
    <w:rsid w:val="00BC75EA"/>
    <w:rsid w:val="00BD27C7"/>
    <w:rsid w:val="00BD4D2A"/>
    <w:rsid w:val="00BD52D7"/>
    <w:rsid w:val="00BD54E7"/>
    <w:rsid w:val="00BD5DA1"/>
    <w:rsid w:val="00BD5F0E"/>
    <w:rsid w:val="00BD672C"/>
    <w:rsid w:val="00BD79EA"/>
    <w:rsid w:val="00BE027F"/>
    <w:rsid w:val="00BE0F3C"/>
    <w:rsid w:val="00BE1831"/>
    <w:rsid w:val="00BE285D"/>
    <w:rsid w:val="00BE3400"/>
    <w:rsid w:val="00BE4401"/>
    <w:rsid w:val="00BE634E"/>
    <w:rsid w:val="00BF57B3"/>
    <w:rsid w:val="00BF6D7E"/>
    <w:rsid w:val="00BF73B0"/>
    <w:rsid w:val="00C0197E"/>
    <w:rsid w:val="00C04876"/>
    <w:rsid w:val="00C04CD7"/>
    <w:rsid w:val="00C04EF8"/>
    <w:rsid w:val="00C067AE"/>
    <w:rsid w:val="00C06A41"/>
    <w:rsid w:val="00C06B26"/>
    <w:rsid w:val="00C10172"/>
    <w:rsid w:val="00C14E4C"/>
    <w:rsid w:val="00C15332"/>
    <w:rsid w:val="00C1627B"/>
    <w:rsid w:val="00C17187"/>
    <w:rsid w:val="00C17E8E"/>
    <w:rsid w:val="00C17FDE"/>
    <w:rsid w:val="00C20224"/>
    <w:rsid w:val="00C211F9"/>
    <w:rsid w:val="00C24857"/>
    <w:rsid w:val="00C30A83"/>
    <w:rsid w:val="00C30C12"/>
    <w:rsid w:val="00C339D9"/>
    <w:rsid w:val="00C33D82"/>
    <w:rsid w:val="00C376FC"/>
    <w:rsid w:val="00C41CF3"/>
    <w:rsid w:val="00C43F20"/>
    <w:rsid w:val="00C44ED9"/>
    <w:rsid w:val="00C46A22"/>
    <w:rsid w:val="00C47EF9"/>
    <w:rsid w:val="00C514E6"/>
    <w:rsid w:val="00C57A1A"/>
    <w:rsid w:val="00C61B13"/>
    <w:rsid w:val="00C632AB"/>
    <w:rsid w:val="00C660B8"/>
    <w:rsid w:val="00C67DB2"/>
    <w:rsid w:val="00C717E0"/>
    <w:rsid w:val="00C7253A"/>
    <w:rsid w:val="00C74266"/>
    <w:rsid w:val="00C759C9"/>
    <w:rsid w:val="00C77CAF"/>
    <w:rsid w:val="00C77F0F"/>
    <w:rsid w:val="00C80157"/>
    <w:rsid w:val="00C83A7E"/>
    <w:rsid w:val="00C852E3"/>
    <w:rsid w:val="00C85742"/>
    <w:rsid w:val="00C879ED"/>
    <w:rsid w:val="00C87B84"/>
    <w:rsid w:val="00C95F27"/>
    <w:rsid w:val="00C96283"/>
    <w:rsid w:val="00CA03B3"/>
    <w:rsid w:val="00CA0E42"/>
    <w:rsid w:val="00CA16AB"/>
    <w:rsid w:val="00CA55B4"/>
    <w:rsid w:val="00CA7A35"/>
    <w:rsid w:val="00CB06D6"/>
    <w:rsid w:val="00CB09FF"/>
    <w:rsid w:val="00CB1503"/>
    <w:rsid w:val="00CB1D23"/>
    <w:rsid w:val="00CB215D"/>
    <w:rsid w:val="00CB2CA9"/>
    <w:rsid w:val="00CB4AD2"/>
    <w:rsid w:val="00CB7B18"/>
    <w:rsid w:val="00CB7B93"/>
    <w:rsid w:val="00CB7F70"/>
    <w:rsid w:val="00CC0447"/>
    <w:rsid w:val="00CC1C67"/>
    <w:rsid w:val="00CC2EB5"/>
    <w:rsid w:val="00CC3DBB"/>
    <w:rsid w:val="00CC3E46"/>
    <w:rsid w:val="00CC46AB"/>
    <w:rsid w:val="00CC538C"/>
    <w:rsid w:val="00CC6FCE"/>
    <w:rsid w:val="00CC77FD"/>
    <w:rsid w:val="00CC7903"/>
    <w:rsid w:val="00CC7F4A"/>
    <w:rsid w:val="00CC7FE2"/>
    <w:rsid w:val="00CD439F"/>
    <w:rsid w:val="00CD463C"/>
    <w:rsid w:val="00CD47AF"/>
    <w:rsid w:val="00CD4DFB"/>
    <w:rsid w:val="00CD6EDC"/>
    <w:rsid w:val="00CD7A3B"/>
    <w:rsid w:val="00CE0D5C"/>
    <w:rsid w:val="00CE4F77"/>
    <w:rsid w:val="00CE55CE"/>
    <w:rsid w:val="00CE70E4"/>
    <w:rsid w:val="00CE7556"/>
    <w:rsid w:val="00CE7E5E"/>
    <w:rsid w:val="00CF6B41"/>
    <w:rsid w:val="00CF768A"/>
    <w:rsid w:val="00D00302"/>
    <w:rsid w:val="00D02E7C"/>
    <w:rsid w:val="00D0333D"/>
    <w:rsid w:val="00D03914"/>
    <w:rsid w:val="00D03A71"/>
    <w:rsid w:val="00D06AE5"/>
    <w:rsid w:val="00D06AF9"/>
    <w:rsid w:val="00D06FA2"/>
    <w:rsid w:val="00D103C2"/>
    <w:rsid w:val="00D10E75"/>
    <w:rsid w:val="00D12DD4"/>
    <w:rsid w:val="00D13719"/>
    <w:rsid w:val="00D15354"/>
    <w:rsid w:val="00D166A2"/>
    <w:rsid w:val="00D169B1"/>
    <w:rsid w:val="00D17D91"/>
    <w:rsid w:val="00D20294"/>
    <w:rsid w:val="00D22274"/>
    <w:rsid w:val="00D22AC5"/>
    <w:rsid w:val="00D26E4B"/>
    <w:rsid w:val="00D27A6A"/>
    <w:rsid w:val="00D304BE"/>
    <w:rsid w:val="00D31922"/>
    <w:rsid w:val="00D35A77"/>
    <w:rsid w:val="00D3734D"/>
    <w:rsid w:val="00D42B1F"/>
    <w:rsid w:val="00D435C6"/>
    <w:rsid w:val="00D45414"/>
    <w:rsid w:val="00D50245"/>
    <w:rsid w:val="00D521A2"/>
    <w:rsid w:val="00D544C2"/>
    <w:rsid w:val="00D5752D"/>
    <w:rsid w:val="00D63E1D"/>
    <w:rsid w:val="00D651CE"/>
    <w:rsid w:val="00D66B29"/>
    <w:rsid w:val="00D67F00"/>
    <w:rsid w:val="00D70F59"/>
    <w:rsid w:val="00D71799"/>
    <w:rsid w:val="00D723DA"/>
    <w:rsid w:val="00D76D47"/>
    <w:rsid w:val="00D8111E"/>
    <w:rsid w:val="00D8237E"/>
    <w:rsid w:val="00D839CE"/>
    <w:rsid w:val="00D84E41"/>
    <w:rsid w:val="00D85055"/>
    <w:rsid w:val="00D85E1F"/>
    <w:rsid w:val="00D8797D"/>
    <w:rsid w:val="00D90651"/>
    <w:rsid w:val="00D90BD4"/>
    <w:rsid w:val="00D90E3F"/>
    <w:rsid w:val="00D94CFD"/>
    <w:rsid w:val="00DA2B13"/>
    <w:rsid w:val="00DA6AB5"/>
    <w:rsid w:val="00DA7466"/>
    <w:rsid w:val="00DB2A78"/>
    <w:rsid w:val="00DB4EE6"/>
    <w:rsid w:val="00DB52EE"/>
    <w:rsid w:val="00DC2573"/>
    <w:rsid w:val="00DC26BA"/>
    <w:rsid w:val="00DC295F"/>
    <w:rsid w:val="00DC3231"/>
    <w:rsid w:val="00DC6A48"/>
    <w:rsid w:val="00DD0B9E"/>
    <w:rsid w:val="00DD0FC6"/>
    <w:rsid w:val="00DD2951"/>
    <w:rsid w:val="00DD5D2B"/>
    <w:rsid w:val="00DD6549"/>
    <w:rsid w:val="00DD6E39"/>
    <w:rsid w:val="00DE0C35"/>
    <w:rsid w:val="00DE1D77"/>
    <w:rsid w:val="00DE4AF1"/>
    <w:rsid w:val="00DE73F9"/>
    <w:rsid w:val="00DF3CA7"/>
    <w:rsid w:val="00DF4497"/>
    <w:rsid w:val="00DF47D7"/>
    <w:rsid w:val="00DF5204"/>
    <w:rsid w:val="00DF57D6"/>
    <w:rsid w:val="00E016DA"/>
    <w:rsid w:val="00E05CB1"/>
    <w:rsid w:val="00E10D48"/>
    <w:rsid w:val="00E11C89"/>
    <w:rsid w:val="00E14A02"/>
    <w:rsid w:val="00E159F8"/>
    <w:rsid w:val="00E17B2F"/>
    <w:rsid w:val="00E2166B"/>
    <w:rsid w:val="00E26AEC"/>
    <w:rsid w:val="00E26F36"/>
    <w:rsid w:val="00E27301"/>
    <w:rsid w:val="00E30299"/>
    <w:rsid w:val="00E31939"/>
    <w:rsid w:val="00E31C48"/>
    <w:rsid w:val="00E31C8B"/>
    <w:rsid w:val="00E32E4D"/>
    <w:rsid w:val="00E34EA7"/>
    <w:rsid w:val="00E34F1A"/>
    <w:rsid w:val="00E3624F"/>
    <w:rsid w:val="00E40B91"/>
    <w:rsid w:val="00E41C82"/>
    <w:rsid w:val="00E43582"/>
    <w:rsid w:val="00E440F2"/>
    <w:rsid w:val="00E44186"/>
    <w:rsid w:val="00E44BF4"/>
    <w:rsid w:val="00E45EE0"/>
    <w:rsid w:val="00E46B51"/>
    <w:rsid w:val="00E47275"/>
    <w:rsid w:val="00E511CB"/>
    <w:rsid w:val="00E51599"/>
    <w:rsid w:val="00E53675"/>
    <w:rsid w:val="00E5446E"/>
    <w:rsid w:val="00E549B9"/>
    <w:rsid w:val="00E55B2E"/>
    <w:rsid w:val="00E572AB"/>
    <w:rsid w:val="00E57511"/>
    <w:rsid w:val="00E603FE"/>
    <w:rsid w:val="00E6106A"/>
    <w:rsid w:val="00E6140F"/>
    <w:rsid w:val="00E61DD8"/>
    <w:rsid w:val="00E6411E"/>
    <w:rsid w:val="00E7063E"/>
    <w:rsid w:val="00E74522"/>
    <w:rsid w:val="00E76508"/>
    <w:rsid w:val="00E769AF"/>
    <w:rsid w:val="00E774BD"/>
    <w:rsid w:val="00E80781"/>
    <w:rsid w:val="00E8136E"/>
    <w:rsid w:val="00E81F88"/>
    <w:rsid w:val="00E902BA"/>
    <w:rsid w:val="00E9140A"/>
    <w:rsid w:val="00E9191F"/>
    <w:rsid w:val="00E91A99"/>
    <w:rsid w:val="00E92518"/>
    <w:rsid w:val="00E93C6B"/>
    <w:rsid w:val="00E9512A"/>
    <w:rsid w:val="00E95AB7"/>
    <w:rsid w:val="00E9646E"/>
    <w:rsid w:val="00EA3648"/>
    <w:rsid w:val="00EA37CE"/>
    <w:rsid w:val="00EA3E24"/>
    <w:rsid w:val="00EA4B8D"/>
    <w:rsid w:val="00EA6759"/>
    <w:rsid w:val="00EB001C"/>
    <w:rsid w:val="00EB2737"/>
    <w:rsid w:val="00EC0265"/>
    <w:rsid w:val="00EC0CC5"/>
    <w:rsid w:val="00EC1404"/>
    <w:rsid w:val="00EC2DEA"/>
    <w:rsid w:val="00EC3481"/>
    <w:rsid w:val="00EC4213"/>
    <w:rsid w:val="00EC4904"/>
    <w:rsid w:val="00EC4F40"/>
    <w:rsid w:val="00EC69C8"/>
    <w:rsid w:val="00EC6CB0"/>
    <w:rsid w:val="00ED204E"/>
    <w:rsid w:val="00ED20D9"/>
    <w:rsid w:val="00ED26AE"/>
    <w:rsid w:val="00ED4F9E"/>
    <w:rsid w:val="00ED6C4B"/>
    <w:rsid w:val="00ED7D53"/>
    <w:rsid w:val="00EE0E92"/>
    <w:rsid w:val="00EE1AA7"/>
    <w:rsid w:val="00EE35BD"/>
    <w:rsid w:val="00EE4AC1"/>
    <w:rsid w:val="00EF0871"/>
    <w:rsid w:val="00EF0DF8"/>
    <w:rsid w:val="00EF10F6"/>
    <w:rsid w:val="00EF2157"/>
    <w:rsid w:val="00EF27D4"/>
    <w:rsid w:val="00EF6254"/>
    <w:rsid w:val="00EF62A6"/>
    <w:rsid w:val="00EF6D98"/>
    <w:rsid w:val="00EF6E8B"/>
    <w:rsid w:val="00EF77EA"/>
    <w:rsid w:val="00F00B2F"/>
    <w:rsid w:val="00F01311"/>
    <w:rsid w:val="00F02BCE"/>
    <w:rsid w:val="00F038BA"/>
    <w:rsid w:val="00F139BA"/>
    <w:rsid w:val="00F139E4"/>
    <w:rsid w:val="00F13A23"/>
    <w:rsid w:val="00F15252"/>
    <w:rsid w:val="00F17C58"/>
    <w:rsid w:val="00F21212"/>
    <w:rsid w:val="00F2409A"/>
    <w:rsid w:val="00F2518B"/>
    <w:rsid w:val="00F26E36"/>
    <w:rsid w:val="00F275D8"/>
    <w:rsid w:val="00F30334"/>
    <w:rsid w:val="00F31B88"/>
    <w:rsid w:val="00F31BDC"/>
    <w:rsid w:val="00F342DB"/>
    <w:rsid w:val="00F36F17"/>
    <w:rsid w:val="00F37C17"/>
    <w:rsid w:val="00F37EBA"/>
    <w:rsid w:val="00F40F0E"/>
    <w:rsid w:val="00F427E3"/>
    <w:rsid w:val="00F431F5"/>
    <w:rsid w:val="00F47EC6"/>
    <w:rsid w:val="00F51861"/>
    <w:rsid w:val="00F525FE"/>
    <w:rsid w:val="00F52F75"/>
    <w:rsid w:val="00F550C4"/>
    <w:rsid w:val="00F651AC"/>
    <w:rsid w:val="00F65858"/>
    <w:rsid w:val="00F66997"/>
    <w:rsid w:val="00F67681"/>
    <w:rsid w:val="00F677B9"/>
    <w:rsid w:val="00F7132C"/>
    <w:rsid w:val="00F71CA3"/>
    <w:rsid w:val="00F75BED"/>
    <w:rsid w:val="00F75FC4"/>
    <w:rsid w:val="00F7664E"/>
    <w:rsid w:val="00F829E1"/>
    <w:rsid w:val="00F8415F"/>
    <w:rsid w:val="00F86D49"/>
    <w:rsid w:val="00F87493"/>
    <w:rsid w:val="00F87626"/>
    <w:rsid w:val="00F917A4"/>
    <w:rsid w:val="00F93334"/>
    <w:rsid w:val="00F947C0"/>
    <w:rsid w:val="00F9638C"/>
    <w:rsid w:val="00F97273"/>
    <w:rsid w:val="00F977CC"/>
    <w:rsid w:val="00F977FD"/>
    <w:rsid w:val="00F97E30"/>
    <w:rsid w:val="00FA0429"/>
    <w:rsid w:val="00FA11E1"/>
    <w:rsid w:val="00FA18A3"/>
    <w:rsid w:val="00FA6E79"/>
    <w:rsid w:val="00FA723A"/>
    <w:rsid w:val="00FA73C4"/>
    <w:rsid w:val="00FA7B63"/>
    <w:rsid w:val="00FB14E8"/>
    <w:rsid w:val="00FB3034"/>
    <w:rsid w:val="00FB3E39"/>
    <w:rsid w:val="00FB45A7"/>
    <w:rsid w:val="00FB5BEA"/>
    <w:rsid w:val="00FC0D26"/>
    <w:rsid w:val="00FC1342"/>
    <w:rsid w:val="00FC1599"/>
    <w:rsid w:val="00FC4E69"/>
    <w:rsid w:val="00FC5A0F"/>
    <w:rsid w:val="00FC5B44"/>
    <w:rsid w:val="00FC71A4"/>
    <w:rsid w:val="00FC7E70"/>
    <w:rsid w:val="00FD0753"/>
    <w:rsid w:val="00FD1605"/>
    <w:rsid w:val="00FD2CFC"/>
    <w:rsid w:val="00FD7389"/>
    <w:rsid w:val="00FE1C95"/>
    <w:rsid w:val="00FF0168"/>
    <w:rsid w:val="00FF1CA6"/>
    <w:rsid w:val="00FF2A27"/>
    <w:rsid w:val="00FF3DFF"/>
    <w:rsid w:val="00FF6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EC2B4"/>
  <w15:docId w15:val="{69FCDF62-E4B3-4ED8-975D-EC82DB12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526C7"/>
    <w:rPr>
      <w:sz w:val="24"/>
      <w:szCs w:val="24"/>
    </w:rPr>
  </w:style>
  <w:style w:type="paragraph" w:styleId="Antrat1">
    <w:name w:val="heading 1"/>
    <w:basedOn w:val="prastasis"/>
    <w:next w:val="prastasis"/>
    <w:link w:val="Antrat1Diagrama"/>
    <w:qFormat/>
    <w:rsid w:val="0093791D"/>
    <w:pPr>
      <w:keepNext/>
      <w:jc w:val="right"/>
      <w:outlineLvl w:val="0"/>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05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0526C7"/>
    <w:rPr>
      <w:rFonts w:ascii="Courier New" w:hAnsi="Courier New" w:cs="Courier New"/>
    </w:rPr>
  </w:style>
  <w:style w:type="paragraph" w:styleId="Pagrindinistekstas">
    <w:name w:val="Body Text"/>
    <w:basedOn w:val="prastasis"/>
    <w:link w:val="PagrindinistekstasDiagrama"/>
    <w:uiPriority w:val="99"/>
    <w:rsid w:val="000526C7"/>
    <w:pPr>
      <w:jc w:val="both"/>
    </w:pPr>
    <w:rPr>
      <w:lang w:eastAsia="en-US"/>
    </w:rPr>
  </w:style>
  <w:style w:type="character" w:customStyle="1" w:styleId="PagrindinistekstasDiagrama">
    <w:name w:val="Pagrindinis tekstas Diagrama"/>
    <w:link w:val="Pagrindinistekstas"/>
    <w:rsid w:val="000526C7"/>
    <w:rPr>
      <w:sz w:val="24"/>
      <w:szCs w:val="24"/>
      <w:lang w:eastAsia="en-US"/>
    </w:rPr>
  </w:style>
  <w:style w:type="paragraph" w:styleId="Antrats">
    <w:name w:val="header"/>
    <w:basedOn w:val="prastasis"/>
    <w:link w:val="AntratsDiagrama"/>
    <w:uiPriority w:val="99"/>
    <w:rsid w:val="000526C7"/>
    <w:pPr>
      <w:tabs>
        <w:tab w:val="center" w:pos="4819"/>
        <w:tab w:val="right" w:pos="9638"/>
      </w:tabs>
    </w:pPr>
    <w:rPr>
      <w:lang w:eastAsia="en-US"/>
    </w:rPr>
  </w:style>
  <w:style w:type="character" w:customStyle="1" w:styleId="AntratsDiagrama">
    <w:name w:val="Antraštės Diagrama"/>
    <w:link w:val="Antrats"/>
    <w:uiPriority w:val="99"/>
    <w:rsid w:val="000526C7"/>
    <w:rPr>
      <w:sz w:val="24"/>
      <w:szCs w:val="24"/>
      <w:lang w:eastAsia="en-US"/>
    </w:rPr>
  </w:style>
  <w:style w:type="paragraph" w:styleId="Porat">
    <w:name w:val="footer"/>
    <w:basedOn w:val="prastasis"/>
    <w:link w:val="PoratDiagrama"/>
    <w:uiPriority w:val="99"/>
    <w:rsid w:val="000526C7"/>
    <w:pPr>
      <w:tabs>
        <w:tab w:val="center" w:pos="4819"/>
        <w:tab w:val="right" w:pos="9638"/>
      </w:tabs>
    </w:pPr>
  </w:style>
  <w:style w:type="character" w:customStyle="1" w:styleId="PoratDiagrama">
    <w:name w:val="Poraštė Diagrama"/>
    <w:link w:val="Porat"/>
    <w:uiPriority w:val="99"/>
    <w:rsid w:val="000526C7"/>
    <w:rPr>
      <w:sz w:val="24"/>
      <w:szCs w:val="24"/>
    </w:rPr>
  </w:style>
  <w:style w:type="character" w:styleId="Puslapionumeris">
    <w:name w:val="page number"/>
    <w:basedOn w:val="Numatytasispastraiposriftas"/>
    <w:uiPriority w:val="99"/>
    <w:rsid w:val="000526C7"/>
  </w:style>
  <w:style w:type="paragraph" w:styleId="Pagrindiniotekstotrauka2">
    <w:name w:val="Body Text Indent 2"/>
    <w:basedOn w:val="prastasis"/>
    <w:link w:val="Pagrindiniotekstotrauka2Diagrama"/>
    <w:uiPriority w:val="99"/>
    <w:unhideWhenUsed/>
    <w:rsid w:val="00AD59E9"/>
    <w:pPr>
      <w:spacing w:after="120" w:line="480" w:lineRule="auto"/>
      <w:ind w:left="283"/>
    </w:pPr>
  </w:style>
  <w:style w:type="character" w:customStyle="1" w:styleId="Pagrindiniotekstotrauka2Diagrama">
    <w:name w:val="Pagrindinio teksto įtrauka 2 Diagrama"/>
    <w:link w:val="Pagrindiniotekstotrauka2"/>
    <w:uiPriority w:val="99"/>
    <w:rsid w:val="00AD59E9"/>
    <w:rPr>
      <w:sz w:val="24"/>
      <w:szCs w:val="24"/>
    </w:rPr>
  </w:style>
  <w:style w:type="paragraph" w:styleId="Debesliotekstas">
    <w:name w:val="Balloon Text"/>
    <w:basedOn w:val="prastasis"/>
    <w:semiHidden/>
    <w:rsid w:val="00691453"/>
    <w:rPr>
      <w:rFonts w:ascii="Tahoma" w:hAnsi="Tahoma" w:cs="Tahoma"/>
      <w:sz w:val="16"/>
      <w:szCs w:val="16"/>
    </w:rPr>
  </w:style>
  <w:style w:type="character" w:styleId="Hipersaitas">
    <w:name w:val="Hyperlink"/>
    <w:rsid w:val="000F2E01"/>
    <w:rPr>
      <w:color w:val="0000FF"/>
      <w:u w:val="single"/>
    </w:rPr>
  </w:style>
  <w:style w:type="character" w:customStyle="1" w:styleId="Antrat1Diagrama">
    <w:name w:val="Antraštė 1 Diagrama"/>
    <w:link w:val="Antrat1"/>
    <w:rsid w:val="0093791D"/>
    <w:rPr>
      <w:b/>
      <w:bCs/>
      <w:sz w:val="24"/>
      <w:szCs w:val="24"/>
      <w:lang w:eastAsia="en-US"/>
    </w:rPr>
  </w:style>
  <w:style w:type="paragraph" w:styleId="Betarp">
    <w:name w:val="No Spacing"/>
    <w:uiPriority w:val="1"/>
    <w:qFormat/>
    <w:rsid w:val="00536043"/>
    <w:rPr>
      <w:sz w:val="24"/>
      <w:szCs w:val="24"/>
    </w:rPr>
  </w:style>
  <w:style w:type="character" w:styleId="Komentaronuoroda">
    <w:name w:val="annotation reference"/>
    <w:uiPriority w:val="99"/>
    <w:unhideWhenUsed/>
    <w:rsid w:val="0030322A"/>
    <w:rPr>
      <w:sz w:val="16"/>
      <w:szCs w:val="16"/>
    </w:rPr>
  </w:style>
  <w:style w:type="paragraph" w:styleId="Komentarotekstas">
    <w:name w:val="annotation text"/>
    <w:basedOn w:val="prastasis"/>
    <w:link w:val="KomentarotekstasDiagrama"/>
    <w:uiPriority w:val="99"/>
    <w:unhideWhenUsed/>
    <w:rsid w:val="0030322A"/>
    <w:rPr>
      <w:sz w:val="20"/>
      <w:szCs w:val="20"/>
    </w:rPr>
  </w:style>
  <w:style w:type="character" w:customStyle="1" w:styleId="KomentarotekstasDiagrama">
    <w:name w:val="Komentaro tekstas Diagrama"/>
    <w:basedOn w:val="Numatytasispastraiposriftas"/>
    <w:link w:val="Komentarotekstas"/>
    <w:uiPriority w:val="99"/>
    <w:rsid w:val="0030322A"/>
  </w:style>
  <w:style w:type="paragraph" w:styleId="Komentarotema">
    <w:name w:val="annotation subject"/>
    <w:basedOn w:val="Komentarotekstas"/>
    <w:next w:val="Komentarotekstas"/>
    <w:link w:val="KomentarotemaDiagrama"/>
    <w:uiPriority w:val="99"/>
    <w:semiHidden/>
    <w:unhideWhenUsed/>
    <w:rsid w:val="0030322A"/>
    <w:rPr>
      <w:b/>
      <w:bCs/>
    </w:rPr>
  </w:style>
  <w:style w:type="character" w:customStyle="1" w:styleId="KomentarotemaDiagrama">
    <w:name w:val="Komentaro tema Diagrama"/>
    <w:link w:val="Komentarotema"/>
    <w:uiPriority w:val="99"/>
    <w:semiHidden/>
    <w:rsid w:val="0030322A"/>
    <w:rPr>
      <w:b/>
      <w:bCs/>
    </w:rPr>
  </w:style>
  <w:style w:type="paragraph" w:styleId="Sraopastraipa">
    <w:name w:val="List Paragraph"/>
    <w:aliases w:val="Bullet EY,List Paragraph2,ERP-List Paragraph,List Paragraph11,Normal bullet 2,Paragraph,List L1,List Paragraph (numbered (a)),References,WB List Paragraph,Akapit z listą,Dot pt,F5 List Paragraph,List Paragraph1,Recommendation"/>
    <w:basedOn w:val="prastasis"/>
    <w:link w:val="SraopastraipaDiagrama"/>
    <w:uiPriority w:val="34"/>
    <w:qFormat/>
    <w:rsid w:val="002D70EF"/>
    <w:pPr>
      <w:ind w:left="720"/>
      <w:contextualSpacing/>
    </w:pPr>
  </w:style>
  <w:style w:type="paragraph" w:styleId="prastasiniatinklio">
    <w:name w:val="Normal (Web)"/>
    <w:basedOn w:val="prastasis"/>
    <w:uiPriority w:val="99"/>
    <w:unhideWhenUsed/>
    <w:rsid w:val="00AA279F"/>
    <w:pPr>
      <w:spacing w:after="300" w:line="300" w:lineRule="atLeast"/>
    </w:pPr>
  </w:style>
  <w:style w:type="paragraph" w:customStyle="1" w:styleId="Default">
    <w:name w:val="Default"/>
    <w:rsid w:val="00762F3D"/>
    <w:pPr>
      <w:autoSpaceDE w:val="0"/>
      <w:autoSpaceDN w:val="0"/>
      <w:adjustRightInd w:val="0"/>
    </w:pPr>
    <w:rPr>
      <w:color w:val="000000"/>
      <w:sz w:val="24"/>
      <w:szCs w:val="24"/>
    </w:rPr>
  </w:style>
  <w:style w:type="character" w:customStyle="1" w:styleId="SraopastraipaDiagrama">
    <w:name w:val="Sąrašo pastraipa Diagrama"/>
    <w:aliases w:val="Bullet EY Diagrama,List Paragraph2 Diagrama,ERP-List Paragraph Diagrama,List Paragraph11 Diagrama,Normal bullet 2 Diagrama,Paragraph Diagrama,List L1 Diagrama,List Paragraph (numbered (a)) Diagrama,References Diagrama"/>
    <w:link w:val="Sraopastraipa"/>
    <w:qFormat/>
    <w:locked/>
    <w:rsid w:val="009671D7"/>
    <w:rPr>
      <w:sz w:val="24"/>
      <w:szCs w:val="24"/>
    </w:rPr>
  </w:style>
  <w:style w:type="table" w:styleId="Lentelstinklelis">
    <w:name w:val="Table Grid"/>
    <w:basedOn w:val="prastojilentel"/>
    <w:uiPriority w:val="39"/>
    <w:rsid w:val="004556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Numatytasispastraiposriftas"/>
    <w:link w:val="Style12"/>
    <w:rsid w:val="008B03A0"/>
    <w:rPr>
      <w:color w:val="1A1A1A"/>
      <w:sz w:val="24"/>
      <w:szCs w:val="24"/>
      <w:shd w:val="clear" w:color="auto" w:fill="FFFFFF"/>
      <w:lang w:bidi="lt-LT"/>
    </w:rPr>
  </w:style>
  <w:style w:type="paragraph" w:customStyle="1" w:styleId="Style12">
    <w:name w:val="Style 12"/>
    <w:basedOn w:val="prastasis"/>
    <w:link w:val="CharStyle13"/>
    <w:rsid w:val="008B03A0"/>
    <w:pPr>
      <w:widowControl w:val="0"/>
      <w:shd w:val="clear" w:color="auto" w:fill="FFFFFF"/>
      <w:spacing w:before="900" w:line="1138" w:lineRule="exact"/>
      <w:jc w:val="both"/>
    </w:pPr>
    <w:rPr>
      <w:color w:val="1A1A1A"/>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07758">
      <w:bodyDiv w:val="1"/>
      <w:marLeft w:val="0"/>
      <w:marRight w:val="0"/>
      <w:marTop w:val="0"/>
      <w:marBottom w:val="0"/>
      <w:divBdr>
        <w:top w:val="none" w:sz="0" w:space="0" w:color="auto"/>
        <w:left w:val="none" w:sz="0" w:space="0" w:color="auto"/>
        <w:bottom w:val="none" w:sz="0" w:space="0" w:color="auto"/>
        <w:right w:val="none" w:sz="0" w:space="0" w:color="auto"/>
      </w:divBdr>
    </w:div>
    <w:div w:id="295718937">
      <w:bodyDiv w:val="1"/>
      <w:marLeft w:val="0"/>
      <w:marRight w:val="0"/>
      <w:marTop w:val="0"/>
      <w:marBottom w:val="0"/>
      <w:divBdr>
        <w:top w:val="none" w:sz="0" w:space="0" w:color="auto"/>
        <w:left w:val="none" w:sz="0" w:space="0" w:color="auto"/>
        <w:bottom w:val="none" w:sz="0" w:space="0" w:color="auto"/>
        <w:right w:val="none" w:sz="0" w:space="0" w:color="auto"/>
      </w:divBdr>
    </w:div>
    <w:div w:id="416750084">
      <w:bodyDiv w:val="1"/>
      <w:marLeft w:val="0"/>
      <w:marRight w:val="0"/>
      <w:marTop w:val="0"/>
      <w:marBottom w:val="0"/>
      <w:divBdr>
        <w:top w:val="none" w:sz="0" w:space="0" w:color="auto"/>
        <w:left w:val="none" w:sz="0" w:space="0" w:color="auto"/>
        <w:bottom w:val="none" w:sz="0" w:space="0" w:color="auto"/>
        <w:right w:val="none" w:sz="0" w:space="0" w:color="auto"/>
      </w:divBdr>
    </w:div>
    <w:div w:id="445197784">
      <w:bodyDiv w:val="1"/>
      <w:marLeft w:val="0"/>
      <w:marRight w:val="0"/>
      <w:marTop w:val="0"/>
      <w:marBottom w:val="0"/>
      <w:divBdr>
        <w:top w:val="none" w:sz="0" w:space="0" w:color="auto"/>
        <w:left w:val="none" w:sz="0" w:space="0" w:color="auto"/>
        <w:bottom w:val="none" w:sz="0" w:space="0" w:color="auto"/>
        <w:right w:val="none" w:sz="0" w:space="0" w:color="auto"/>
      </w:divBdr>
    </w:div>
    <w:div w:id="744566896">
      <w:bodyDiv w:val="1"/>
      <w:marLeft w:val="0"/>
      <w:marRight w:val="0"/>
      <w:marTop w:val="0"/>
      <w:marBottom w:val="0"/>
      <w:divBdr>
        <w:top w:val="none" w:sz="0" w:space="0" w:color="auto"/>
        <w:left w:val="none" w:sz="0" w:space="0" w:color="auto"/>
        <w:bottom w:val="none" w:sz="0" w:space="0" w:color="auto"/>
        <w:right w:val="none" w:sz="0" w:space="0" w:color="auto"/>
      </w:divBdr>
    </w:div>
    <w:div w:id="747002687">
      <w:bodyDiv w:val="1"/>
      <w:marLeft w:val="0"/>
      <w:marRight w:val="0"/>
      <w:marTop w:val="0"/>
      <w:marBottom w:val="0"/>
      <w:divBdr>
        <w:top w:val="none" w:sz="0" w:space="0" w:color="auto"/>
        <w:left w:val="none" w:sz="0" w:space="0" w:color="auto"/>
        <w:bottom w:val="none" w:sz="0" w:space="0" w:color="auto"/>
        <w:right w:val="none" w:sz="0" w:space="0" w:color="auto"/>
      </w:divBdr>
    </w:div>
    <w:div w:id="847716016">
      <w:bodyDiv w:val="1"/>
      <w:marLeft w:val="0"/>
      <w:marRight w:val="0"/>
      <w:marTop w:val="0"/>
      <w:marBottom w:val="0"/>
      <w:divBdr>
        <w:top w:val="none" w:sz="0" w:space="0" w:color="auto"/>
        <w:left w:val="none" w:sz="0" w:space="0" w:color="auto"/>
        <w:bottom w:val="none" w:sz="0" w:space="0" w:color="auto"/>
        <w:right w:val="none" w:sz="0" w:space="0" w:color="auto"/>
      </w:divBdr>
    </w:div>
    <w:div w:id="1087506942">
      <w:bodyDiv w:val="1"/>
      <w:marLeft w:val="0"/>
      <w:marRight w:val="0"/>
      <w:marTop w:val="0"/>
      <w:marBottom w:val="0"/>
      <w:divBdr>
        <w:top w:val="none" w:sz="0" w:space="0" w:color="auto"/>
        <w:left w:val="none" w:sz="0" w:space="0" w:color="auto"/>
        <w:bottom w:val="none" w:sz="0" w:space="0" w:color="auto"/>
        <w:right w:val="none" w:sz="0" w:space="0" w:color="auto"/>
      </w:divBdr>
    </w:div>
    <w:div w:id="1357197951">
      <w:bodyDiv w:val="1"/>
      <w:marLeft w:val="0"/>
      <w:marRight w:val="0"/>
      <w:marTop w:val="0"/>
      <w:marBottom w:val="0"/>
      <w:divBdr>
        <w:top w:val="none" w:sz="0" w:space="0" w:color="auto"/>
        <w:left w:val="none" w:sz="0" w:space="0" w:color="auto"/>
        <w:bottom w:val="none" w:sz="0" w:space="0" w:color="auto"/>
        <w:right w:val="none" w:sz="0" w:space="0" w:color="auto"/>
      </w:divBdr>
    </w:div>
    <w:div w:id="1375812733">
      <w:bodyDiv w:val="1"/>
      <w:marLeft w:val="0"/>
      <w:marRight w:val="0"/>
      <w:marTop w:val="0"/>
      <w:marBottom w:val="0"/>
      <w:divBdr>
        <w:top w:val="none" w:sz="0" w:space="0" w:color="auto"/>
        <w:left w:val="none" w:sz="0" w:space="0" w:color="auto"/>
        <w:bottom w:val="none" w:sz="0" w:space="0" w:color="auto"/>
        <w:right w:val="none" w:sz="0" w:space="0" w:color="auto"/>
      </w:divBdr>
    </w:div>
    <w:div w:id="1382099795">
      <w:bodyDiv w:val="1"/>
      <w:marLeft w:val="0"/>
      <w:marRight w:val="0"/>
      <w:marTop w:val="0"/>
      <w:marBottom w:val="0"/>
      <w:divBdr>
        <w:top w:val="none" w:sz="0" w:space="0" w:color="auto"/>
        <w:left w:val="none" w:sz="0" w:space="0" w:color="auto"/>
        <w:bottom w:val="none" w:sz="0" w:space="0" w:color="auto"/>
        <w:right w:val="none" w:sz="0" w:space="0" w:color="auto"/>
      </w:divBdr>
      <w:divsChild>
        <w:div w:id="949817804">
          <w:marLeft w:val="0"/>
          <w:marRight w:val="0"/>
          <w:marTop w:val="45"/>
          <w:marBottom w:val="45"/>
          <w:divBdr>
            <w:top w:val="none" w:sz="0" w:space="0" w:color="auto"/>
            <w:left w:val="none" w:sz="0" w:space="0" w:color="auto"/>
            <w:bottom w:val="none" w:sz="0" w:space="0" w:color="auto"/>
            <w:right w:val="none" w:sz="0" w:space="0" w:color="auto"/>
          </w:divBdr>
          <w:divsChild>
            <w:div w:id="1132527747">
              <w:marLeft w:val="0"/>
              <w:marRight w:val="0"/>
              <w:marTop w:val="0"/>
              <w:marBottom w:val="0"/>
              <w:divBdr>
                <w:top w:val="none" w:sz="0" w:space="0" w:color="auto"/>
                <w:left w:val="none" w:sz="0" w:space="0" w:color="auto"/>
                <w:bottom w:val="none" w:sz="0" w:space="0" w:color="auto"/>
                <w:right w:val="none" w:sz="0" w:space="0" w:color="auto"/>
              </w:divBdr>
              <w:divsChild>
                <w:div w:id="2030132552">
                  <w:marLeft w:val="0"/>
                  <w:marRight w:val="0"/>
                  <w:marTop w:val="0"/>
                  <w:marBottom w:val="0"/>
                  <w:divBdr>
                    <w:top w:val="none" w:sz="0" w:space="0" w:color="auto"/>
                    <w:left w:val="none" w:sz="0" w:space="0" w:color="auto"/>
                    <w:bottom w:val="none" w:sz="0" w:space="0" w:color="auto"/>
                    <w:right w:val="none" w:sz="0" w:space="0" w:color="auto"/>
                  </w:divBdr>
                  <w:divsChild>
                    <w:div w:id="643045771">
                      <w:marLeft w:val="0"/>
                      <w:marRight w:val="0"/>
                      <w:marTop w:val="45"/>
                      <w:marBottom w:val="45"/>
                      <w:divBdr>
                        <w:top w:val="none" w:sz="0" w:space="0" w:color="auto"/>
                        <w:left w:val="none" w:sz="0" w:space="0" w:color="auto"/>
                        <w:bottom w:val="none" w:sz="0" w:space="0" w:color="auto"/>
                        <w:right w:val="none" w:sz="0" w:space="0" w:color="auto"/>
                      </w:divBdr>
                      <w:divsChild>
                        <w:div w:id="9873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581250">
      <w:bodyDiv w:val="1"/>
      <w:marLeft w:val="0"/>
      <w:marRight w:val="0"/>
      <w:marTop w:val="0"/>
      <w:marBottom w:val="0"/>
      <w:divBdr>
        <w:top w:val="none" w:sz="0" w:space="0" w:color="auto"/>
        <w:left w:val="none" w:sz="0" w:space="0" w:color="auto"/>
        <w:bottom w:val="none" w:sz="0" w:space="0" w:color="auto"/>
        <w:right w:val="none" w:sz="0" w:space="0" w:color="auto"/>
      </w:divBdr>
    </w:div>
    <w:div w:id="190679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D9B7A8-FC3B-470D-BE32-F42F2B9EC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17023</Words>
  <Characters>9704</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26674</CharactersWithSpaces>
  <SharedDoc>false</SharedDoc>
  <HLinks>
    <vt:vector size="6" baseType="variant">
      <vt:variant>
        <vt:i4>6553616</vt:i4>
      </vt:variant>
      <vt:variant>
        <vt:i4>0</vt:i4>
      </vt:variant>
      <vt:variant>
        <vt:i4>0</vt:i4>
      </vt:variant>
      <vt:variant>
        <vt:i4>5</vt:i4>
      </vt:variant>
      <vt:variant>
        <vt:lpwstr>mailto:inga.barauskaite@socmin.lt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2019-04-08T05:35:00Z</dcterms:created>
  <dc:creator>install</dc:creator>
  <cp:lastModifiedBy>Aušra Gratulevičienė</cp:lastModifiedBy>
  <cp:lastPrinted>2019-01-29T07:05:00Z</cp:lastPrinted>
  <dcterms:modified xsi:type="dcterms:W3CDTF">2019-04-25T12:21:00Z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