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7B5" w:rsidRDefault="009B17B5">
      <w:pPr>
        <w:tabs>
          <w:tab w:val="center" w:pos="4680"/>
          <w:tab w:val="right" w:pos="9360"/>
        </w:tabs>
        <w:rPr>
          <w:rFonts w:ascii="Calibri" w:eastAsia="Calibri" w:hAnsi="Calibri"/>
          <w:sz w:val="22"/>
          <w:szCs w:val="22"/>
        </w:rPr>
      </w:pPr>
    </w:p>
    <w:p w:rsidR="009B17B5" w:rsidRDefault="009B17B5">
      <w:pPr>
        <w:ind w:firstLine="5680"/>
        <w:jc w:val="both"/>
        <w:rPr>
          <w:rFonts w:eastAsia="Calibri"/>
          <w:szCs w:val="24"/>
          <w:lang w:eastAsia="lt-LT"/>
        </w:rPr>
      </w:pPr>
    </w:p>
    <w:p w:rsidR="00A512A6" w:rsidRPr="00B057CC" w:rsidRDefault="00A512A6" w:rsidP="00A512A6">
      <w:pPr>
        <w:ind w:left="6532" w:firstLine="284"/>
        <w:rPr>
          <w:rFonts w:eastAsia="Calibri"/>
          <w:b/>
          <w:szCs w:val="24"/>
          <w:lang w:eastAsia="lt-LT"/>
        </w:rPr>
      </w:pPr>
      <w:r w:rsidRPr="00B057CC">
        <w:rPr>
          <w:rFonts w:eastAsia="Calibri"/>
          <w:b/>
          <w:szCs w:val="24"/>
          <w:lang w:eastAsia="lt-LT"/>
        </w:rPr>
        <w:t xml:space="preserve">Projekto </w:t>
      </w:r>
    </w:p>
    <w:p w:rsidR="00A512A6" w:rsidRPr="00B057CC" w:rsidRDefault="00A512A6" w:rsidP="00A512A6">
      <w:pPr>
        <w:ind w:left="6532"/>
        <w:rPr>
          <w:b/>
          <w:szCs w:val="24"/>
          <w:lang w:eastAsia="lt-LT"/>
        </w:rPr>
      </w:pPr>
      <w:r w:rsidRPr="00B057CC">
        <w:rPr>
          <w:b/>
          <w:szCs w:val="24"/>
          <w:lang w:eastAsia="lt-LT"/>
        </w:rPr>
        <w:t xml:space="preserve">     lyginamasis variantas</w:t>
      </w:r>
    </w:p>
    <w:p w:rsidR="00A512A6" w:rsidRPr="00B057CC" w:rsidRDefault="00A512A6" w:rsidP="00A512A6">
      <w:pPr>
        <w:ind w:left="6248" w:firstLine="284"/>
        <w:rPr>
          <w:b/>
          <w:szCs w:val="24"/>
          <w:lang w:eastAsia="lt-LT"/>
        </w:rPr>
      </w:pPr>
    </w:p>
    <w:p w:rsidR="00804B2D" w:rsidRDefault="00804B2D" w:rsidP="00804B2D">
      <w:pPr>
        <w:rPr>
          <w:sz w:val="10"/>
          <w:szCs w:val="10"/>
        </w:rPr>
      </w:pPr>
    </w:p>
    <w:p w:rsidR="00804B2D" w:rsidRDefault="00804B2D" w:rsidP="00804B2D">
      <w:pPr>
        <w:jc w:val="center"/>
        <w:rPr>
          <w:rFonts w:eastAsia="Calibri"/>
          <w:b/>
          <w:bCs/>
          <w:kern w:val="36"/>
          <w:szCs w:val="24"/>
          <w:lang w:eastAsia="lt-LT"/>
        </w:rPr>
      </w:pPr>
      <w:r>
        <w:rPr>
          <w:rFonts w:eastAsia="Calibri"/>
          <w:b/>
          <w:bCs/>
          <w:kern w:val="36"/>
          <w:szCs w:val="24"/>
          <w:lang w:eastAsia="lt-LT"/>
        </w:rPr>
        <w:t>LIETUVOS RESPUBLIKOS VYRIAUSYBĖ</w:t>
      </w:r>
    </w:p>
    <w:p w:rsidR="00804B2D" w:rsidRDefault="00804B2D" w:rsidP="00804B2D">
      <w:pPr>
        <w:rPr>
          <w:sz w:val="8"/>
          <w:szCs w:val="8"/>
        </w:rPr>
      </w:pPr>
    </w:p>
    <w:p w:rsidR="00804B2D" w:rsidRDefault="00804B2D" w:rsidP="00804B2D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b/>
          <w:bCs/>
          <w:caps/>
          <w:szCs w:val="24"/>
          <w:lang w:eastAsia="lt-LT"/>
        </w:rPr>
        <w:t>nutarimas</w:t>
      </w:r>
    </w:p>
    <w:p w:rsidR="00804B2D" w:rsidRDefault="00804B2D" w:rsidP="00804B2D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b/>
          <w:bCs/>
          <w:caps/>
          <w:szCs w:val="24"/>
          <w:lang w:eastAsia="lt-LT"/>
        </w:rPr>
        <w:t xml:space="preserve">Dėl </w:t>
      </w:r>
      <w:r>
        <w:rPr>
          <w:rFonts w:eastAsia="Calibri"/>
          <w:b/>
          <w:bCs/>
          <w:szCs w:val="24"/>
          <w:lang w:eastAsia="lt-LT"/>
        </w:rPr>
        <w:t>LIETUVOS RESPUBLIKOS VYRIAUSYBĖS 1993 M. LAPKRIČIO 3 D. NUTARIMO NR. 822 „DĖL KLAIPĖDOS VALSTYBINIO JŪRŲ UOSTO ŽEMĖS, UOSTO AKVATORIJOS IR UOSTO REZERVINIŲ TERITORIJŲ RIBŲ PATVIRTINIMO“ PAKEITIMO</w:t>
      </w:r>
    </w:p>
    <w:p w:rsidR="00804B2D" w:rsidRDefault="00804B2D" w:rsidP="00804B2D">
      <w:pPr>
        <w:rPr>
          <w:sz w:val="8"/>
          <w:szCs w:val="8"/>
        </w:rPr>
      </w:pPr>
    </w:p>
    <w:p w:rsidR="00804B2D" w:rsidRDefault="00804B2D" w:rsidP="00804B2D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2018 m.                                 </w:t>
      </w:r>
      <w:r w:rsidR="00224654">
        <w:rPr>
          <w:rFonts w:eastAsia="Calibri"/>
          <w:szCs w:val="24"/>
          <w:lang w:eastAsia="lt-LT"/>
        </w:rPr>
        <w:t>d.</w:t>
      </w:r>
      <w:r>
        <w:rPr>
          <w:rFonts w:eastAsia="Calibri"/>
          <w:szCs w:val="24"/>
          <w:lang w:eastAsia="lt-LT"/>
        </w:rPr>
        <w:t xml:space="preserve"> Nr.</w:t>
      </w:r>
    </w:p>
    <w:p w:rsidR="00804B2D" w:rsidRDefault="00804B2D" w:rsidP="00804B2D">
      <w:pPr>
        <w:rPr>
          <w:sz w:val="8"/>
          <w:szCs w:val="8"/>
        </w:rPr>
      </w:pPr>
    </w:p>
    <w:p w:rsidR="00804B2D" w:rsidRDefault="00804B2D" w:rsidP="00804B2D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Vilnius</w:t>
      </w:r>
    </w:p>
    <w:p w:rsidR="00804B2D" w:rsidRDefault="00804B2D" w:rsidP="00804B2D">
      <w:pPr>
        <w:rPr>
          <w:sz w:val="8"/>
          <w:szCs w:val="8"/>
        </w:rPr>
      </w:pPr>
    </w:p>
    <w:p w:rsidR="00804B2D" w:rsidRDefault="00804B2D" w:rsidP="00804B2D">
      <w:pPr>
        <w:ind w:firstLine="720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Lietuvos Respublikos Vyriausybė</w:t>
      </w:r>
      <w:r>
        <w:rPr>
          <w:rFonts w:eastAsia="Calibri"/>
          <w:spacing w:val="100"/>
          <w:szCs w:val="24"/>
          <w:lang w:eastAsia="lt-LT"/>
        </w:rPr>
        <w:t xml:space="preserve"> nutari</w:t>
      </w:r>
      <w:r>
        <w:rPr>
          <w:rFonts w:eastAsia="Calibri"/>
          <w:szCs w:val="24"/>
          <w:lang w:eastAsia="lt-LT"/>
        </w:rPr>
        <w:t>a:</w:t>
      </w:r>
    </w:p>
    <w:p w:rsidR="00804B2D" w:rsidRDefault="00804B2D" w:rsidP="00804B2D">
      <w:pPr>
        <w:pStyle w:val="Sraopastraipa"/>
        <w:numPr>
          <w:ilvl w:val="0"/>
          <w:numId w:val="1"/>
        </w:numPr>
        <w:tabs>
          <w:tab w:val="left" w:pos="993"/>
        </w:tabs>
        <w:ind w:left="-142" w:firstLine="851"/>
        <w:jc w:val="both"/>
        <w:rPr>
          <w:rFonts w:eastAsia="Calibri"/>
          <w:szCs w:val="24"/>
          <w:lang w:eastAsia="lt-LT"/>
        </w:rPr>
      </w:pPr>
      <w:r w:rsidRPr="00F11017">
        <w:rPr>
          <w:rFonts w:eastAsia="Calibri"/>
          <w:szCs w:val="24"/>
          <w:lang w:eastAsia="lt-LT"/>
        </w:rPr>
        <w:t>Pakeisti Klaipėdos valstybinio jūrų uosto žemės, uosto akvatorijos ir uosto rezervinių teritorijų, reikalingų Klaipėdos valstybiniam jūrų uostui plėsti, sąrašą, patvirtintą Lietuvos Respublikos Vyriausybės 1993 m. lapkričio 3 d. nutarimu Nr. 822 „Dėl Klaipėdos valstybinio jūrų uosto žemės, uosto akvatorijos ir uosto rezervini</w:t>
      </w:r>
      <w:r>
        <w:rPr>
          <w:rFonts w:eastAsia="Calibri"/>
          <w:szCs w:val="24"/>
          <w:lang w:eastAsia="lt-LT"/>
        </w:rPr>
        <w:t>ų teritorijų ribų patvirtinimo“:</w:t>
      </w:r>
    </w:p>
    <w:p w:rsidR="00804B2D" w:rsidRDefault="00804B2D" w:rsidP="00804B2D">
      <w:pPr>
        <w:pStyle w:val="Sraopastraipa"/>
        <w:numPr>
          <w:ilvl w:val="1"/>
          <w:numId w:val="1"/>
        </w:numPr>
        <w:tabs>
          <w:tab w:val="left" w:pos="993"/>
        </w:tabs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 Pakeisti </w:t>
      </w:r>
      <w:r w:rsidRPr="00F11017">
        <w:rPr>
          <w:rFonts w:eastAsia="Calibri"/>
          <w:szCs w:val="24"/>
          <w:lang w:eastAsia="lt-LT"/>
        </w:rPr>
        <w:t xml:space="preserve"> I skyrių </w:t>
      </w:r>
      <w:r>
        <w:rPr>
          <w:rFonts w:eastAsia="Calibri"/>
          <w:szCs w:val="24"/>
          <w:lang w:eastAsia="lt-LT"/>
        </w:rPr>
        <w:t>„Uosto žemė“</w:t>
      </w:r>
      <w:r w:rsidRPr="00F11017">
        <w:rPr>
          <w:rFonts w:eastAsia="Calibri"/>
          <w:szCs w:val="24"/>
          <w:lang w:eastAsia="lt-LT"/>
        </w:rPr>
        <w:t xml:space="preserve">: </w:t>
      </w:r>
    </w:p>
    <w:p w:rsidR="00804B2D" w:rsidRPr="00F11017" w:rsidRDefault="00804B2D" w:rsidP="00804B2D">
      <w:pPr>
        <w:pStyle w:val="Sraopastraipa"/>
        <w:tabs>
          <w:tab w:val="left" w:pos="993"/>
        </w:tabs>
        <w:ind w:left="1080" w:hanging="37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1.1.1. Papildyti 22 punktu:</w:t>
      </w:r>
    </w:p>
    <w:tbl>
      <w:tblPr>
        <w:tblW w:w="9624" w:type="dxa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843"/>
        <w:gridCol w:w="2551"/>
        <w:gridCol w:w="4660"/>
      </w:tblGrid>
      <w:tr w:rsidR="00804B2D" w:rsidTr="006954AE">
        <w:trPr>
          <w:trHeight w:val="23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B2D" w:rsidRPr="00804B2D" w:rsidRDefault="00804B2D" w:rsidP="006954AE">
            <w:pPr>
              <w:jc w:val="center"/>
              <w:rPr>
                <w:b/>
                <w:szCs w:val="24"/>
                <w:lang w:eastAsia="lt-LT"/>
              </w:rPr>
            </w:pPr>
            <w:r w:rsidRPr="00804B2D">
              <w:rPr>
                <w:szCs w:val="24"/>
                <w:lang w:eastAsia="lt-LT"/>
              </w:rPr>
              <w:t>„</w:t>
            </w:r>
            <w:r w:rsidRPr="00804B2D">
              <w:rPr>
                <w:b/>
                <w:szCs w:val="24"/>
                <w:lang w:eastAsia="lt-LT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B2D" w:rsidRPr="00804B2D" w:rsidRDefault="00804B2D" w:rsidP="006954AE">
            <w:pPr>
              <w:jc w:val="center"/>
              <w:rPr>
                <w:b/>
                <w:szCs w:val="24"/>
                <w:lang w:eastAsia="lt-LT"/>
              </w:rPr>
            </w:pPr>
            <w:r w:rsidRPr="00804B2D">
              <w:rPr>
                <w:b/>
                <w:bCs/>
                <w:szCs w:val="24"/>
                <w:lang w:eastAsia="lt-LT"/>
              </w:rPr>
              <w:t>2101/0006:497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B2D" w:rsidRPr="00804B2D" w:rsidRDefault="00804B2D" w:rsidP="006954AE">
            <w:pPr>
              <w:jc w:val="center"/>
              <w:rPr>
                <w:b/>
                <w:szCs w:val="24"/>
                <w:lang w:eastAsia="lt-LT"/>
              </w:rPr>
            </w:pPr>
            <w:r w:rsidRPr="00804B2D">
              <w:rPr>
                <w:b/>
                <w:bCs/>
                <w:szCs w:val="24"/>
                <w:lang w:eastAsia="lt-LT"/>
              </w:rPr>
              <w:t xml:space="preserve">2,6289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B2D" w:rsidRPr="00804B2D" w:rsidRDefault="00804B2D" w:rsidP="006954AE">
            <w:pPr>
              <w:jc w:val="center"/>
              <w:rPr>
                <w:b/>
                <w:szCs w:val="24"/>
                <w:lang w:eastAsia="lt-LT"/>
              </w:rPr>
            </w:pPr>
            <w:r w:rsidRPr="00804B2D">
              <w:rPr>
                <w:b/>
                <w:szCs w:val="24"/>
                <w:lang w:eastAsia="lt-LT"/>
              </w:rPr>
              <w:t>Klaipėdos valstybinio jūrų uosto direkcija“.</w:t>
            </w:r>
          </w:p>
        </w:tc>
      </w:tr>
    </w:tbl>
    <w:p w:rsidR="00804B2D" w:rsidRDefault="00804B2D" w:rsidP="00804B2D">
      <w:pPr>
        <w:tabs>
          <w:tab w:val="left" w:pos="993"/>
        </w:tabs>
        <w:ind w:left="720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1.1.2. Papildyti 23 punktu:</w:t>
      </w:r>
    </w:p>
    <w:tbl>
      <w:tblPr>
        <w:tblW w:w="9624" w:type="dxa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843"/>
        <w:gridCol w:w="2551"/>
        <w:gridCol w:w="4660"/>
      </w:tblGrid>
      <w:tr w:rsidR="00804B2D" w:rsidRPr="00B6118A" w:rsidTr="006954AE">
        <w:trPr>
          <w:trHeight w:val="23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B2D" w:rsidRPr="00804B2D" w:rsidRDefault="00804B2D" w:rsidP="006954AE">
            <w:pPr>
              <w:jc w:val="center"/>
              <w:rPr>
                <w:b/>
                <w:szCs w:val="24"/>
                <w:lang w:eastAsia="lt-LT"/>
              </w:rPr>
            </w:pPr>
            <w:r w:rsidRPr="00804B2D">
              <w:rPr>
                <w:szCs w:val="24"/>
                <w:lang w:eastAsia="lt-LT"/>
              </w:rPr>
              <w:t>„</w:t>
            </w:r>
            <w:r w:rsidRPr="00804B2D">
              <w:rPr>
                <w:b/>
                <w:szCs w:val="24"/>
                <w:lang w:eastAsia="lt-LT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B2D" w:rsidRPr="00804B2D" w:rsidRDefault="00804B2D" w:rsidP="006954A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804B2D">
              <w:rPr>
                <w:b/>
                <w:bCs/>
                <w:szCs w:val="24"/>
                <w:lang w:eastAsia="lt-LT"/>
              </w:rPr>
              <w:t>2101/0006:474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B2D" w:rsidRPr="00804B2D" w:rsidRDefault="00804B2D" w:rsidP="006954A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804B2D">
              <w:rPr>
                <w:b/>
                <w:bCs/>
                <w:szCs w:val="24"/>
                <w:lang w:eastAsia="lt-LT"/>
              </w:rPr>
              <w:t xml:space="preserve">0,4419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B2D" w:rsidRPr="00804B2D" w:rsidRDefault="00804B2D" w:rsidP="006954AE">
            <w:pPr>
              <w:jc w:val="center"/>
              <w:rPr>
                <w:b/>
                <w:szCs w:val="24"/>
                <w:lang w:eastAsia="lt-LT"/>
              </w:rPr>
            </w:pPr>
            <w:r w:rsidRPr="00804B2D">
              <w:rPr>
                <w:b/>
                <w:szCs w:val="24"/>
                <w:lang w:eastAsia="lt-LT"/>
              </w:rPr>
              <w:t>Klaipėdos valstybinio jūrų uosto direkcija</w:t>
            </w:r>
            <w:r w:rsidRPr="00804B2D">
              <w:rPr>
                <w:szCs w:val="24"/>
                <w:lang w:eastAsia="lt-LT"/>
              </w:rPr>
              <w:t>“.</w:t>
            </w:r>
          </w:p>
        </w:tc>
      </w:tr>
    </w:tbl>
    <w:p w:rsidR="00A279E3" w:rsidRDefault="00A279E3" w:rsidP="00804B2D">
      <w:pPr>
        <w:tabs>
          <w:tab w:val="left" w:pos="993"/>
        </w:tabs>
        <w:ind w:left="720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1.1.3. Papildyti 24 punktu:</w:t>
      </w:r>
    </w:p>
    <w:tbl>
      <w:tblPr>
        <w:tblW w:w="9624" w:type="dxa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2552"/>
        <w:gridCol w:w="4662"/>
      </w:tblGrid>
      <w:tr w:rsidR="00A279E3" w:rsidRPr="00EF7DCF" w:rsidTr="00B9755F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9E3" w:rsidRPr="00A279E3" w:rsidRDefault="00A279E3" w:rsidP="006D70F7">
            <w:pPr>
              <w:jc w:val="center"/>
              <w:rPr>
                <w:b/>
                <w:szCs w:val="24"/>
                <w:lang w:eastAsia="lt-LT"/>
              </w:rPr>
            </w:pPr>
            <w:r w:rsidRPr="00A279E3">
              <w:rPr>
                <w:b/>
                <w:szCs w:val="24"/>
                <w:lang w:eastAsia="lt-LT"/>
              </w:rPr>
              <w:t>„24.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9E3" w:rsidRPr="00A279E3" w:rsidRDefault="00A279E3" w:rsidP="006D70F7">
            <w:pPr>
              <w:jc w:val="center"/>
              <w:rPr>
                <w:b/>
                <w:szCs w:val="24"/>
                <w:lang w:eastAsia="lt-LT"/>
              </w:rPr>
            </w:pPr>
            <w:r w:rsidRPr="00A279E3">
              <w:rPr>
                <w:b/>
                <w:szCs w:val="24"/>
                <w:lang w:eastAsia="lt-LT"/>
              </w:rPr>
              <w:t>2101/0008:535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9E3" w:rsidRPr="00A279E3" w:rsidRDefault="00A279E3" w:rsidP="006D70F7">
            <w:pPr>
              <w:jc w:val="center"/>
              <w:rPr>
                <w:b/>
                <w:szCs w:val="24"/>
                <w:lang w:eastAsia="lt-LT"/>
              </w:rPr>
            </w:pPr>
            <w:r w:rsidRPr="00A279E3">
              <w:rPr>
                <w:b/>
                <w:szCs w:val="24"/>
                <w:lang w:eastAsia="lt-LT"/>
              </w:rPr>
              <w:t>0,2454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9E3" w:rsidRPr="00A279E3" w:rsidRDefault="00A279E3" w:rsidP="006D70F7">
            <w:pPr>
              <w:jc w:val="center"/>
              <w:rPr>
                <w:szCs w:val="24"/>
                <w:lang w:eastAsia="lt-LT"/>
              </w:rPr>
            </w:pPr>
            <w:r w:rsidRPr="00A279E3">
              <w:rPr>
                <w:b/>
                <w:szCs w:val="24"/>
                <w:lang w:eastAsia="lt-LT"/>
              </w:rPr>
              <w:t>Klaipėdos valstybinio jūrų uosto direkcija</w:t>
            </w:r>
            <w:r w:rsidRPr="00A279E3">
              <w:rPr>
                <w:szCs w:val="24"/>
                <w:lang w:eastAsia="lt-LT"/>
              </w:rPr>
              <w:t>“.</w:t>
            </w:r>
          </w:p>
        </w:tc>
      </w:tr>
    </w:tbl>
    <w:p w:rsidR="00804B2D" w:rsidRDefault="004169E3" w:rsidP="00804B2D">
      <w:pPr>
        <w:tabs>
          <w:tab w:val="left" w:pos="993"/>
        </w:tabs>
        <w:ind w:left="720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1.1.4</w:t>
      </w:r>
      <w:r w:rsidR="00804B2D">
        <w:rPr>
          <w:rFonts w:eastAsia="Calibri"/>
          <w:szCs w:val="24"/>
          <w:lang w:eastAsia="lt-LT"/>
        </w:rPr>
        <w:t>. Pakeisti paskutiniąją eilutę ir ją išdėstyti taip:</w:t>
      </w:r>
    </w:p>
    <w:tbl>
      <w:tblPr>
        <w:tblW w:w="9624" w:type="dxa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843"/>
        <w:gridCol w:w="2551"/>
        <w:gridCol w:w="4660"/>
      </w:tblGrid>
      <w:tr w:rsidR="00804B2D" w:rsidRPr="00B6118A" w:rsidTr="006954AE">
        <w:trPr>
          <w:trHeight w:val="23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4B2D" w:rsidRPr="00B6118A" w:rsidRDefault="00804B2D" w:rsidP="006954AE">
            <w:pPr>
              <w:ind w:right="113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04B2D" w:rsidRPr="00B6118A" w:rsidRDefault="00804B2D" w:rsidP="006954AE">
            <w:pPr>
              <w:ind w:right="11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r w:rsidRPr="00B6118A">
              <w:rPr>
                <w:szCs w:val="24"/>
                <w:lang w:eastAsia="lt-LT"/>
              </w:rPr>
              <w:t>Iš viso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B2D" w:rsidRPr="00B6118A" w:rsidRDefault="00804B2D" w:rsidP="00A279E3">
            <w:pPr>
              <w:jc w:val="center"/>
              <w:rPr>
                <w:szCs w:val="24"/>
                <w:lang w:eastAsia="lt-LT"/>
              </w:rPr>
            </w:pPr>
            <w:r w:rsidRPr="001F2F37">
              <w:rPr>
                <w:strike/>
                <w:szCs w:val="24"/>
                <w:lang w:eastAsia="lt-LT"/>
              </w:rPr>
              <w:t>553,7387</w:t>
            </w:r>
            <w:r>
              <w:rPr>
                <w:szCs w:val="24"/>
                <w:lang w:eastAsia="lt-LT"/>
              </w:rPr>
              <w:t xml:space="preserve">  </w:t>
            </w:r>
            <w:r w:rsidR="00A279E3" w:rsidRPr="00A279E3">
              <w:rPr>
                <w:b/>
                <w:szCs w:val="24"/>
                <w:lang w:eastAsia="lt-LT"/>
              </w:rPr>
              <w:t>557,0549</w:t>
            </w:r>
            <w:r w:rsidRPr="00F11017">
              <w:rPr>
                <w:szCs w:val="24"/>
                <w:lang w:eastAsia="lt-LT"/>
              </w:rPr>
              <w:t>“.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B2D" w:rsidRPr="00B6118A" w:rsidRDefault="00804B2D" w:rsidP="006954AE">
            <w:pPr>
              <w:jc w:val="center"/>
              <w:rPr>
                <w:szCs w:val="24"/>
                <w:lang w:eastAsia="lt-LT"/>
              </w:rPr>
            </w:pPr>
          </w:p>
        </w:tc>
      </w:tr>
    </w:tbl>
    <w:p w:rsidR="00804B2D" w:rsidRDefault="00804B2D" w:rsidP="00804B2D">
      <w:pPr>
        <w:pStyle w:val="Sraopastraipa"/>
        <w:numPr>
          <w:ilvl w:val="0"/>
          <w:numId w:val="1"/>
        </w:numPr>
        <w:tabs>
          <w:tab w:val="left" w:pos="993"/>
        </w:tabs>
        <w:ind w:left="-142" w:firstLine="851"/>
        <w:jc w:val="both"/>
        <w:rPr>
          <w:rFonts w:eastAsia="Calibri"/>
          <w:szCs w:val="24"/>
          <w:lang w:eastAsia="lt-LT"/>
        </w:rPr>
      </w:pPr>
      <w:r w:rsidRPr="003C44AA">
        <w:rPr>
          <w:rFonts w:eastAsia="Calibri"/>
          <w:szCs w:val="24"/>
          <w:lang w:eastAsia="lt-LT"/>
        </w:rPr>
        <w:t>Nustatyti, kad</w:t>
      </w:r>
      <w:r>
        <w:rPr>
          <w:rFonts w:eastAsia="Calibri"/>
          <w:szCs w:val="24"/>
          <w:lang w:eastAsia="lt-LT"/>
        </w:rPr>
        <w:t>,</w:t>
      </w:r>
      <w:r w:rsidRPr="003C44AA">
        <w:rPr>
          <w:rFonts w:eastAsia="Calibri"/>
          <w:szCs w:val="24"/>
          <w:lang w:eastAsia="lt-LT"/>
        </w:rPr>
        <w:t xml:space="preserve"> perdavus šio nutarimo </w:t>
      </w:r>
      <w:r w:rsidR="00A279E3">
        <w:rPr>
          <w:rFonts w:eastAsia="Calibri"/>
          <w:szCs w:val="24"/>
          <w:lang w:eastAsia="lt-LT"/>
        </w:rPr>
        <w:t>1.1.1–1.1.3</w:t>
      </w:r>
      <w:r>
        <w:rPr>
          <w:rFonts w:eastAsia="Calibri"/>
          <w:szCs w:val="24"/>
          <w:lang w:eastAsia="lt-LT"/>
        </w:rPr>
        <w:t xml:space="preserve"> </w:t>
      </w:r>
      <w:r w:rsidRPr="003C44AA">
        <w:rPr>
          <w:rFonts w:eastAsia="Calibri"/>
          <w:szCs w:val="24"/>
          <w:lang w:eastAsia="lt-LT"/>
        </w:rPr>
        <w:t>papunkčiuose nurodytą turtą, valstybės įmonės Klaipėdos valstybinio jūrų uosto direkcijos turto vertės padidėjimas</w:t>
      </w:r>
      <w:r>
        <w:rPr>
          <w:rFonts w:eastAsia="Calibri"/>
          <w:szCs w:val="24"/>
          <w:lang w:eastAsia="lt-LT"/>
        </w:rPr>
        <w:t xml:space="preserve"> turi būti</w:t>
      </w:r>
      <w:r w:rsidRPr="003C44AA">
        <w:rPr>
          <w:rFonts w:eastAsia="Calibri"/>
          <w:szCs w:val="24"/>
          <w:lang w:eastAsia="lt-LT"/>
        </w:rPr>
        <w:t xml:space="preserve"> registruojamas turtą, kuris pagal įstatymus gali būti tik valstybės nuosavybė, atitinkančio kapitalo dalyje.</w:t>
      </w:r>
    </w:p>
    <w:p w:rsidR="00804B2D" w:rsidRPr="003542D0" w:rsidRDefault="00804B2D" w:rsidP="00804B2D">
      <w:pPr>
        <w:pStyle w:val="Sraopastraipa"/>
        <w:numPr>
          <w:ilvl w:val="0"/>
          <w:numId w:val="1"/>
        </w:numPr>
        <w:tabs>
          <w:tab w:val="left" w:pos="993"/>
        </w:tabs>
        <w:ind w:left="-142" w:firstLine="851"/>
        <w:jc w:val="both"/>
        <w:rPr>
          <w:rFonts w:eastAsia="Calibri"/>
          <w:szCs w:val="24"/>
          <w:lang w:eastAsia="lt-LT"/>
        </w:rPr>
      </w:pPr>
      <w:r w:rsidRPr="003542D0">
        <w:rPr>
          <w:rFonts w:eastAsia="Calibri"/>
          <w:szCs w:val="24"/>
          <w:lang w:eastAsia="lt-LT"/>
        </w:rPr>
        <w:t>Įgalioti Nacionalinės ž</w:t>
      </w:r>
      <w:bookmarkStart w:id="0" w:name="_GoBack"/>
      <w:bookmarkEnd w:id="0"/>
      <w:r w:rsidRPr="003542D0">
        <w:rPr>
          <w:rFonts w:eastAsia="Calibri"/>
          <w:szCs w:val="24"/>
          <w:lang w:eastAsia="lt-LT"/>
        </w:rPr>
        <w:t xml:space="preserve">emės tarnybos prie Žemės ūkio ministerijos </w:t>
      </w:r>
      <w:r>
        <w:rPr>
          <w:rFonts w:eastAsia="Calibri"/>
          <w:szCs w:val="24"/>
          <w:lang w:eastAsia="lt-LT"/>
        </w:rPr>
        <w:t>Klaipėdos</w:t>
      </w:r>
      <w:r w:rsidRPr="003542D0">
        <w:rPr>
          <w:rFonts w:eastAsia="Calibri"/>
          <w:szCs w:val="24"/>
          <w:lang w:eastAsia="lt-LT"/>
        </w:rPr>
        <w:t xml:space="preserve"> miesto </w:t>
      </w:r>
      <w:r>
        <w:rPr>
          <w:rFonts w:eastAsia="Calibri"/>
          <w:szCs w:val="24"/>
          <w:lang w:eastAsia="lt-LT"/>
        </w:rPr>
        <w:t xml:space="preserve">ir Neringos </w:t>
      </w:r>
      <w:r w:rsidRPr="003542D0">
        <w:rPr>
          <w:rFonts w:eastAsia="Calibri"/>
          <w:szCs w:val="24"/>
          <w:lang w:eastAsia="lt-LT"/>
        </w:rPr>
        <w:t xml:space="preserve">skyriaus vedėją pasirašyti </w:t>
      </w:r>
      <w:r w:rsidRPr="003C44AA">
        <w:rPr>
          <w:rFonts w:eastAsia="Calibri"/>
          <w:szCs w:val="24"/>
          <w:lang w:eastAsia="lt-LT"/>
        </w:rPr>
        <w:t xml:space="preserve">šio nutarimo </w:t>
      </w:r>
      <w:r w:rsidR="00A279E3">
        <w:rPr>
          <w:rFonts w:eastAsia="Calibri"/>
          <w:szCs w:val="24"/>
          <w:lang w:eastAsia="lt-LT"/>
        </w:rPr>
        <w:t>1.1.1–</w:t>
      </w:r>
      <w:r w:rsidR="0052798E">
        <w:rPr>
          <w:rFonts w:eastAsia="Calibri"/>
          <w:szCs w:val="24"/>
          <w:lang w:eastAsia="lt-LT"/>
        </w:rPr>
        <w:t>1.1.3</w:t>
      </w:r>
      <w:r>
        <w:rPr>
          <w:rFonts w:eastAsia="Calibri"/>
          <w:szCs w:val="24"/>
          <w:lang w:eastAsia="lt-LT"/>
        </w:rPr>
        <w:t xml:space="preserve"> </w:t>
      </w:r>
      <w:r w:rsidRPr="003C44AA">
        <w:rPr>
          <w:rFonts w:eastAsia="Calibri"/>
          <w:szCs w:val="24"/>
          <w:lang w:eastAsia="lt-LT"/>
        </w:rPr>
        <w:t xml:space="preserve">papunkčiuose </w:t>
      </w:r>
      <w:r w:rsidRPr="003542D0">
        <w:rPr>
          <w:rFonts w:eastAsia="Calibri"/>
          <w:szCs w:val="24"/>
          <w:lang w:eastAsia="lt-LT"/>
        </w:rPr>
        <w:t xml:space="preserve">nurodyto </w:t>
      </w:r>
      <w:r>
        <w:rPr>
          <w:rFonts w:eastAsia="Calibri"/>
          <w:szCs w:val="24"/>
          <w:lang w:eastAsia="lt-LT"/>
        </w:rPr>
        <w:t>turto</w:t>
      </w:r>
      <w:r w:rsidRPr="003542D0">
        <w:rPr>
          <w:rFonts w:eastAsia="Calibri"/>
          <w:szCs w:val="24"/>
          <w:lang w:eastAsia="lt-LT"/>
        </w:rPr>
        <w:t xml:space="preserve"> perdavimo–</w:t>
      </w:r>
      <w:r>
        <w:rPr>
          <w:rFonts w:eastAsia="Calibri"/>
          <w:szCs w:val="24"/>
          <w:lang w:eastAsia="lt-LT"/>
        </w:rPr>
        <w:t>priėmimo aktą</w:t>
      </w:r>
      <w:r w:rsidRPr="003542D0">
        <w:rPr>
          <w:rFonts w:eastAsia="Calibri"/>
          <w:szCs w:val="24"/>
          <w:lang w:eastAsia="lt-LT"/>
        </w:rPr>
        <w:t>.</w:t>
      </w:r>
    </w:p>
    <w:p w:rsidR="00804B2D" w:rsidRPr="003C44AA" w:rsidRDefault="008E1917" w:rsidP="00804B2D">
      <w:pPr>
        <w:pStyle w:val="Sraopastraipa"/>
        <w:numPr>
          <w:ilvl w:val="0"/>
          <w:numId w:val="1"/>
        </w:numPr>
        <w:tabs>
          <w:tab w:val="left" w:pos="993"/>
        </w:tabs>
        <w:ind w:left="-142"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Nustatyti, kad š</w:t>
      </w:r>
      <w:r w:rsidR="00804B2D">
        <w:rPr>
          <w:rFonts w:eastAsia="Calibri"/>
          <w:szCs w:val="24"/>
          <w:lang w:eastAsia="lt-LT"/>
        </w:rPr>
        <w:t>is nutarimas įsigalioja 2018 m. gruodžio 3 d.</w:t>
      </w:r>
    </w:p>
    <w:p w:rsidR="00804B2D" w:rsidRPr="003C44AA" w:rsidRDefault="00804B2D" w:rsidP="00804B2D">
      <w:pPr>
        <w:pStyle w:val="Sraopastraipa"/>
        <w:tabs>
          <w:tab w:val="left" w:pos="993"/>
        </w:tabs>
        <w:ind w:left="709"/>
        <w:jc w:val="both"/>
        <w:rPr>
          <w:rFonts w:eastAsia="Calibri"/>
          <w:szCs w:val="24"/>
          <w:lang w:eastAsia="lt-LT"/>
        </w:rPr>
      </w:pPr>
    </w:p>
    <w:p w:rsidR="00804B2D" w:rsidRDefault="00804B2D" w:rsidP="00804B2D">
      <w:pPr>
        <w:pStyle w:val="Sraopastraipa"/>
        <w:tabs>
          <w:tab w:val="left" w:pos="993"/>
        </w:tabs>
        <w:ind w:left="709"/>
        <w:jc w:val="both"/>
        <w:rPr>
          <w:rFonts w:eastAsia="Calibri"/>
          <w:szCs w:val="24"/>
          <w:lang w:eastAsia="lt-LT"/>
        </w:rPr>
      </w:pPr>
    </w:p>
    <w:p w:rsidR="00804B2D" w:rsidRDefault="00804B2D" w:rsidP="00804B2D">
      <w:pPr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Ministras Pirmininkas</w:t>
      </w:r>
    </w:p>
    <w:p w:rsidR="00804B2D" w:rsidRDefault="00804B2D" w:rsidP="00804B2D">
      <w:pPr>
        <w:jc w:val="both"/>
        <w:rPr>
          <w:rFonts w:eastAsia="Calibri"/>
          <w:szCs w:val="24"/>
          <w:lang w:eastAsia="lt-LT"/>
        </w:rPr>
      </w:pPr>
    </w:p>
    <w:p w:rsidR="00804B2D" w:rsidRDefault="00804B2D" w:rsidP="00804B2D">
      <w:pPr>
        <w:jc w:val="both"/>
        <w:rPr>
          <w:rFonts w:eastAsia="Calibri"/>
          <w:szCs w:val="24"/>
          <w:lang w:eastAsia="lt-LT"/>
        </w:rPr>
      </w:pPr>
    </w:p>
    <w:p w:rsidR="00804B2D" w:rsidRDefault="00804B2D" w:rsidP="00804B2D">
      <w:pPr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Susisiekimo ministras</w:t>
      </w:r>
    </w:p>
    <w:p w:rsidR="00804B2D" w:rsidRDefault="00804B2D" w:rsidP="00804B2D">
      <w:pPr>
        <w:ind w:firstLine="720"/>
        <w:jc w:val="both"/>
        <w:rPr>
          <w:rFonts w:eastAsia="Calibri"/>
          <w:szCs w:val="24"/>
          <w:lang w:eastAsia="lt-LT"/>
        </w:rPr>
      </w:pPr>
    </w:p>
    <w:p w:rsidR="009B17B5" w:rsidRDefault="009B17B5">
      <w:pPr>
        <w:rPr>
          <w:rFonts w:eastAsia="Calibri"/>
          <w:szCs w:val="24"/>
          <w:lang w:eastAsia="lt-LT"/>
        </w:rPr>
      </w:pPr>
    </w:p>
    <w:sectPr w:rsidR="009B17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F0D" w:rsidRDefault="00BA7F0D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:rsidR="00BA7F0D" w:rsidRDefault="00BA7F0D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B5" w:rsidRDefault="009B17B5">
    <w:pPr>
      <w:tabs>
        <w:tab w:val="center" w:pos="4680"/>
        <w:tab w:val="right" w:pos="9360"/>
      </w:tabs>
      <w:jc w:val="center"/>
      <w:rPr>
        <w:rFonts w:ascii="Calibri" w:eastAsia="Calibri" w:hAnsi="Calibri"/>
        <w:sz w:val="22"/>
        <w:szCs w:val="22"/>
      </w:rPr>
    </w:pPr>
  </w:p>
  <w:p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F0D" w:rsidRDefault="00BA7F0D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:rsidR="00BA7F0D" w:rsidRDefault="00BA7F0D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B5" w:rsidRDefault="003C44AA">
    <w:pPr>
      <w:tabs>
        <w:tab w:val="center" w:pos="4680"/>
        <w:tab w:val="right" w:pos="9360"/>
      </w:tabs>
      <w:jc w:val="center"/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sz w:val="22"/>
        <w:szCs w:val="22"/>
      </w:rPr>
      <w:fldChar w:fldCharType="begin"/>
    </w:r>
    <w:r>
      <w:rPr>
        <w:rFonts w:ascii="Calibri" w:eastAsia="Calibri" w:hAnsi="Calibri"/>
        <w:sz w:val="22"/>
        <w:szCs w:val="22"/>
      </w:rPr>
      <w:instrText>PAGE   \* MERGEFORMAT</w:instrText>
    </w:r>
    <w:r>
      <w:rPr>
        <w:rFonts w:ascii="Calibri" w:eastAsia="Calibri" w:hAnsi="Calibri"/>
        <w:sz w:val="22"/>
        <w:szCs w:val="22"/>
      </w:rPr>
      <w:fldChar w:fldCharType="separate"/>
    </w:r>
    <w:r w:rsidR="00804B2D">
      <w:rPr>
        <w:rFonts w:ascii="Calibri" w:eastAsia="Calibri" w:hAnsi="Calibri"/>
        <w:noProof/>
        <w:sz w:val="22"/>
        <w:szCs w:val="22"/>
      </w:rPr>
      <w:t>2</w:t>
    </w:r>
    <w:r>
      <w:rPr>
        <w:rFonts w:ascii="Calibri" w:eastAsia="Calibri" w:hAnsi="Calibri"/>
        <w:sz w:val="22"/>
        <w:szCs w:val="22"/>
      </w:rPr>
      <w:fldChar w:fldCharType="end"/>
    </w:r>
  </w:p>
  <w:p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57D95"/>
    <w:multiLevelType w:val="multilevel"/>
    <w:tmpl w:val="348ADB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EC"/>
    <w:rsid w:val="0006305E"/>
    <w:rsid w:val="001F2F37"/>
    <w:rsid w:val="00224654"/>
    <w:rsid w:val="00242F8B"/>
    <w:rsid w:val="003C44AA"/>
    <w:rsid w:val="003C612F"/>
    <w:rsid w:val="004169E3"/>
    <w:rsid w:val="0052798E"/>
    <w:rsid w:val="006440A0"/>
    <w:rsid w:val="0070448A"/>
    <w:rsid w:val="00804B2D"/>
    <w:rsid w:val="008E1917"/>
    <w:rsid w:val="009B17B5"/>
    <w:rsid w:val="009C5F49"/>
    <w:rsid w:val="00A279E3"/>
    <w:rsid w:val="00A512A6"/>
    <w:rsid w:val="00B9755F"/>
    <w:rsid w:val="00BA7F0D"/>
    <w:rsid w:val="00BE3392"/>
    <w:rsid w:val="00C613DF"/>
    <w:rsid w:val="00D372EC"/>
    <w:rsid w:val="00D87D71"/>
    <w:rsid w:val="00DF7C08"/>
    <w:rsid w:val="00E02503"/>
    <w:rsid w:val="00F1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160F30-9502-4E6C-9712-30B44FDF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101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22465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9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0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F7037-CAF6-4CC1-AAA6-397990571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Microsoft</Company>
  <LinksUpToDate>false</LinksUpToDate>
  <CharactersWithSpaces>1764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2018-09-21T07:54:00Z</dcterms:created>
  <dc:creator>Ieva Viliūtė</dc:creator>
  <cp:lastModifiedBy>Jovita Razgutė</cp:lastModifiedBy>
  <cp:lastPrinted>2016-12-30T08:52:00Z</cp:lastPrinted>
  <dcterms:modified xsi:type="dcterms:W3CDTF">2018-10-16T12:39:00Z</dcterms:modified>
  <cp:revision>4</cp:revision>
  <dc:title>Projektas</dc:title>
</cp:coreProperties>
</file>