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009F" w14:textId="53F98481" w:rsidR="0066746A" w:rsidRDefault="00BC166F" w:rsidP="00074FBA">
      <w:pPr>
        <w:pStyle w:val="Title"/>
        <w:spacing w:before="0"/>
      </w:pPr>
      <w:r>
        <w:rPr>
          <w:noProof/>
          <w:lang w:eastAsia="zh-TW"/>
        </w:rPr>
        <w:drawing>
          <wp:anchor distT="0" distB="0" distL="114300" distR="114300" simplePos="0" relativeHeight="251657728" behindDoc="0" locked="0" layoutInCell="0" allowOverlap="1" wp14:anchorId="078600E4" wp14:editId="078600E5">
            <wp:simplePos x="0" y="0"/>
            <wp:positionH relativeFrom="page">
              <wp:posOffset>3776980</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300FCE" w:rsidRPr="007B540D">
        <w:t xml:space="preserve">Valstybinė energetikos </w:t>
      </w:r>
      <w:r w:rsidR="00300FCE">
        <w:t>reguliavimo taryba</w:t>
      </w:r>
    </w:p>
    <w:p w14:paraId="078600A0" w14:textId="77777777" w:rsidR="00074FBA" w:rsidRPr="00DF5DFE" w:rsidRDefault="00074FBA" w:rsidP="00074FBA">
      <w:pPr>
        <w:pStyle w:val="Title"/>
        <w:spacing w:before="0"/>
        <w:rPr>
          <w:sz w:val="16"/>
          <w:szCs w:val="16"/>
        </w:rPr>
      </w:pPr>
    </w:p>
    <w:p w14:paraId="078600A1" w14:textId="4C2DC2F1" w:rsidR="00DF5DFE" w:rsidRPr="00922CAD" w:rsidRDefault="00815090">
      <w:pPr>
        <w:pBdr>
          <w:bottom w:val="single" w:sz="4" w:space="1" w:color="auto"/>
        </w:pBdr>
        <w:jc w:val="center"/>
        <w:rPr>
          <w:b w:val="0"/>
          <w:sz w:val="18"/>
        </w:rPr>
      </w:pPr>
      <w:r>
        <w:rPr>
          <w:b w:val="0"/>
          <w:sz w:val="18"/>
        </w:rPr>
        <w:t>B</w:t>
      </w:r>
      <w:r w:rsidR="0066746A">
        <w:rPr>
          <w:b w:val="0"/>
          <w:sz w:val="18"/>
        </w:rPr>
        <w:t>iudžetinė įstaiga</w:t>
      </w:r>
      <w:r w:rsidR="00DF5DFE">
        <w:rPr>
          <w:b w:val="0"/>
          <w:color w:val="000000"/>
          <w:sz w:val="18"/>
        </w:rPr>
        <w:t xml:space="preserve">, </w:t>
      </w:r>
      <w:r w:rsidR="0046472E" w:rsidRPr="0046472E">
        <w:rPr>
          <w:b w:val="0"/>
          <w:color w:val="000000"/>
          <w:sz w:val="18"/>
        </w:rPr>
        <w:t>Verkių g. 25C</w:t>
      </w:r>
      <w:r w:rsidR="00BC166F">
        <w:rPr>
          <w:b w:val="0"/>
          <w:color w:val="000000"/>
          <w:sz w:val="18"/>
        </w:rPr>
        <w:t>-1</w:t>
      </w:r>
      <w:r w:rsidR="0046472E" w:rsidRPr="0046472E">
        <w:rPr>
          <w:b w:val="0"/>
          <w:color w:val="000000"/>
          <w:sz w:val="18"/>
        </w:rPr>
        <w:t>, LT</w:t>
      </w:r>
      <w:r w:rsidR="00FD2D26">
        <w:rPr>
          <w:b w:val="0"/>
          <w:color w:val="000000"/>
          <w:sz w:val="18"/>
        </w:rPr>
        <w:t>-</w:t>
      </w:r>
      <w:r w:rsidR="0046472E" w:rsidRPr="0046472E">
        <w:rPr>
          <w:b w:val="0"/>
          <w:color w:val="000000"/>
          <w:sz w:val="18"/>
        </w:rPr>
        <w:t>08223 Vilnius</w:t>
      </w:r>
      <w:r w:rsidR="00DF5DFE">
        <w:rPr>
          <w:b w:val="0"/>
          <w:color w:val="000000"/>
          <w:sz w:val="18"/>
        </w:rPr>
        <w:t>, tel. (8 5) 213 5166, f</w:t>
      </w:r>
      <w:r w:rsidR="00311140">
        <w:rPr>
          <w:b w:val="0"/>
          <w:color w:val="000000"/>
          <w:sz w:val="18"/>
        </w:rPr>
        <w:t>aks. (8 5) 213 5270</w:t>
      </w:r>
      <w:r w:rsidR="00DF5DFE">
        <w:rPr>
          <w:b w:val="0"/>
          <w:color w:val="000000"/>
          <w:sz w:val="18"/>
        </w:rPr>
        <w:t>,</w:t>
      </w:r>
      <w:r w:rsidR="0066746A">
        <w:rPr>
          <w:b w:val="0"/>
          <w:color w:val="000000"/>
          <w:sz w:val="18"/>
        </w:rPr>
        <w:t xml:space="preserve"> </w:t>
      </w:r>
      <w:r w:rsidR="00DF5DFE">
        <w:rPr>
          <w:b w:val="0"/>
          <w:color w:val="000000"/>
          <w:sz w:val="18"/>
        </w:rPr>
        <w:t>e</w:t>
      </w:r>
      <w:r w:rsidR="0066746A">
        <w:rPr>
          <w:b w:val="0"/>
          <w:color w:val="000000"/>
          <w:sz w:val="18"/>
        </w:rPr>
        <w:t>l. p</w:t>
      </w:r>
      <w:r w:rsidR="0066746A" w:rsidRPr="00480924">
        <w:rPr>
          <w:b w:val="0"/>
          <w:sz w:val="18"/>
        </w:rPr>
        <w:t xml:space="preserve">. </w:t>
      </w:r>
      <w:hyperlink r:id="rId12" w:history="1">
        <w:r w:rsidR="00810386" w:rsidRPr="00D45768">
          <w:rPr>
            <w:rStyle w:val="Hyperlink"/>
            <w:b w:val="0"/>
            <w:sz w:val="18"/>
          </w:rPr>
          <w:t>info@vert.lt</w:t>
        </w:r>
      </w:hyperlink>
      <w:r w:rsidR="00DF5DFE" w:rsidRPr="00922CAD">
        <w:rPr>
          <w:b w:val="0"/>
          <w:sz w:val="18"/>
        </w:rPr>
        <w:t>.</w:t>
      </w:r>
    </w:p>
    <w:p w14:paraId="078600A2" w14:textId="77777777" w:rsidR="0066746A" w:rsidRDefault="00DF5DFE">
      <w:pPr>
        <w:pBdr>
          <w:bottom w:val="single" w:sz="4" w:space="1" w:color="auto"/>
        </w:pBdr>
        <w:jc w:val="center"/>
        <w:rPr>
          <w:b w:val="0"/>
          <w:caps/>
          <w:color w:val="000000"/>
        </w:rPr>
      </w:pPr>
      <w:r>
        <w:rPr>
          <w:b w:val="0"/>
          <w:color w:val="000000"/>
          <w:sz w:val="18"/>
        </w:rPr>
        <w:t>Duomenys kaupiami ir sa</w:t>
      </w:r>
      <w:r w:rsidR="00AF2EB2">
        <w:rPr>
          <w:b w:val="0"/>
          <w:color w:val="000000"/>
          <w:sz w:val="18"/>
        </w:rPr>
        <w:t>ugomi Juridinių asmenų registre,</w:t>
      </w:r>
      <w:r>
        <w:rPr>
          <w:b w:val="0"/>
          <w:color w:val="000000"/>
          <w:sz w:val="18"/>
        </w:rPr>
        <w:t xml:space="preserve"> kodas 188706554</w:t>
      </w:r>
    </w:p>
    <w:p w14:paraId="078600A3" w14:textId="77777777" w:rsidR="0066746A" w:rsidRPr="00810386" w:rsidRDefault="0066746A">
      <w:pPr>
        <w:rPr>
          <w:b w:val="0"/>
          <w:bCs/>
          <w:caps/>
          <w:color w:val="000000"/>
        </w:rPr>
      </w:pPr>
    </w:p>
    <w:tbl>
      <w:tblPr>
        <w:tblW w:w="9633" w:type="dxa"/>
        <w:tblInd w:w="6" w:type="dxa"/>
        <w:tblLayout w:type="fixed"/>
        <w:tblCellMar>
          <w:left w:w="14" w:type="dxa"/>
          <w:right w:w="14" w:type="dxa"/>
        </w:tblCellMar>
        <w:tblLook w:val="0000" w:firstRow="0" w:lastRow="0" w:firstColumn="0" w:lastColumn="0" w:noHBand="0" w:noVBand="0"/>
      </w:tblPr>
      <w:tblGrid>
        <w:gridCol w:w="4643"/>
        <w:gridCol w:w="427"/>
        <w:gridCol w:w="1559"/>
        <w:gridCol w:w="3004"/>
      </w:tblGrid>
      <w:tr w:rsidR="0066746A" w14:paraId="078600AA" w14:textId="77777777" w:rsidTr="00090EFA">
        <w:trPr>
          <w:cantSplit/>
        </w:trPr>
        <w:tc>
          <w:tcPr>
            <w:tcW w:w="4643" w:type="dxa"/>
            <w:vMerge w:val="restart"/>
          </w:tcPr>
          <w:p w14:paraId="078600A4" w14:textId="4EF01D18" w:rsidR="0066746A" w:rsidRDefault="00C84873">
            <w:pPr>
              <w:jc w:val="left"/>
              <w:rPr>
                <w:b w:val="0"/>
                <w:color w:val="000000"/>
              </w:rPr>
            </w:pPr>
            <w:bookmarkStart w:id="0" w:name="_Hlk39573839"/>
            <w:r>
              <w:rPr>
                <w:b w:val="0"/>
                <w:color w:val="000000"/>
              </w:rPr>
              <w:t xml:space="preserve">Lietuvos Respublikos </w:t>
            </w:r>
            <w:r w:rsidR="00F04E89" w:rsidRPr="00F04E89">
              <w:rPr>
                <w:b w:val="0"/>
                <w:color w:val="000000"/>
                <w:lang w:eastAsia="ar-SA"/>
              </w:rPr>
              <w:t>t</w:t>
            </w:r>
            <w:r w:rsidR="00F04E89" w:rsidRPr="00F04E89">
              <w:rPr>
                <w:b w:val="0"/>
              </w:rPr>
              <w:t>eisingumo ministerij</w:t>
            </w:r>
            <w:r w:rsidR="00F04E89">
              <w:rPr>
                <w:b w:val="0"/>
              </w:rPr>
              <w:t>ai</w:t>
            </w:r>
          </w:p>
          <w:bookmarkEnd w:id="0"/>
          <w:p w14:paraId="078600A5" w14:textId="77777777" w:rsidR="0066746A" w:rsidRDefault="0066746A">
            <w:pPr>
              <w:jc w:val="left"/>
              <w:rPr>
                <w:b w:val="0"/>
                <w:color w:val="000000"/>
              </w:rPr>
            </w:pPr>
          </w:p>
          <w:p w14:paraId="01C1680D" w14:textId="77777777" w:rsidR="001626D5" w:rsidRDefault="001626D5">
            <w:pPr>
              <w:jc w:val="left"/>
              <w:rPr>
                <w:b w:val="0"/>
                <w:color w:val="000000"/>
              </w:rPr>
            </w:pPr>
          </w:p>
          <w:p w14:paraId="078600A6" w14:textId="418761D8" w:rsidR="001626D5" w:rsidRDefault="001626D5">
            <w:pPr>
              <w:jc w:val="left"/>
              <w:rPr>
                <w:b w:val="0"/>
                <w:color w:val="000000"/>
              </w:rPr>
            </w:pPr>
          </w:p>
        </w:tc>
        <w:tc>
          <w:tcPr>
            <w:tcW w:w="427" w:type="dxa"/>
          </w:tcPr>
          <w:p w14:paraId="078600A7" w14:textId="77777777" w:rsidR="0066746A" w:rsidRDefault="0066746A">
            <w:pPr>
              <w:jc w:val="left"/>
              <w:rPr>
                <w:b w:val="0"/>
                <w:color w:val="000000"/>
              </w:rPr>
            </w:pPr>
          </w:p>
        </w:tc>
        <w:tc>
          <w:tcPr>
            <w:tcW w:w="1559" w:type="dxa"/>
          </w:tcPr>
          <w:p w14:paraId="078600A8" w14:textId="17C64D14" w:rsidR="0066746A" w:rsidRDefault="00CA64AB" w:rsidP="00CE50F2">
            <w:pPr>
              <w:jc w:val="left"/>
              <w:rPr>
                <w:b w:val="0"/>
                <w:color w:val="000000"/>
              </w:rPr>
            </w:pPr>
            <w:r>
              <w:rPr>
                <w:b w:val="0"/>
                <w:color w:val="000000"/>
              </w:rPr>
              <w:t>2020-0</w:t>
            </w:r>
            <w:r w:rsidR="00790C23">
              <w:rPr>
                <w:b w:val="0"/>
                <w:color w:val="000000"/>
              </w:rPr>
              <w:t>8</w:t>
            </w:r>
            <w:r>
              <w:rPr>
                <w:b w:val="0"/>
                <w:color w:val="000000"/>
              </w:rPr>
              <w:t>-</w:t>
            </w:r>
          </w:p>
        </w:tc>
        <w:tc>
          <w:tcPr>
            <w:tcW w:w="3004" w:type="dxa"/>
          </w:tcPr>
          <w:p w14:paraId="078600A9" w14:textId="77777777" w:rsidR="0066746A" w:rsidRDefault="0066746A">
            <w:pPr>
              <w:jc w:val="left"/>
              <w:rPr>
                <w:b w:val="0"/>
                <w:color w:val="000000"/>
              </w:rPr>
            </w:pPr>
            <w:r>
              <w:rPr>
                <w:b w:val="0"/>
                <w:color w:val="000000"/>
              </w:rPr>
              <w:t>Nr.</w:t>
            </w:r>
            <w:r w:rsidR="00CE5B29">
              <w:rPr>
                <w:b w:val="0"/>
                <w:color w:val="000000"/>
              </w:rPr>
              <w:t xml:space="preserve"> R2</w:t>
            </w:r>
          </w:p>
        </w:tc>
      </w:tr>
      <w:tr w:rsidR="0066746A" w14:paraId="078600AF" w14:textId="77777777" w:rsidTr="00090EFA">
        <w:trPr>
          <w:cantSplit/>
        </w:trPr>
        <w:tc>
          <w:tcPr>
            <w:tcW w:w="4643" w:type="dxa"/>
            <w:vMerge/>
          </w:tcPr>
          <w:p w14:paraId="078600AB" w14:textId="77777777" w:rsidR="0066746A" w:rsidRDefault="0066746A">
            <w:pPr>
              <w:jc w:val="left"/>
              <w:rPr>
                <w:b w:val="0"/>
                <w:color w:val="000000"/>
              </w:rPr>
            </w:pPr>
          </w:p>
        </w:tc>
        <w:tc>
          <w:tcPr>
            <w:tcW w:w="427" w:type="dxa"/>
          </w:tcPr>
          <w:p w14:paraId="078600AC" w14:textId="77777777" w:rsidR="0066746A" w:rsidRDefault="0066746A">
            <w:pPr>
              <w:jc w:val="left"/>
              <w:rPr>
                <w:b w:val="0"/>
                <w:color w:val="000000"/>
              </w:rPr>
            </w:pPr>
          </w:p>
        </w:tc>
        <w:tc>
          <w:tcPr>
            <w:tcW w:w="1559" w:type="dxa"/>
          </w:tcPr>
          <w:p w14:paraId="078600AD" w14:textId="194B6948" w:rsidR="0066746A" w:rsidRDefault="001626D5" w:rsidP="00B66EBA">
            <w:pPr>
              <w:jc w:val="left"/>
              <w:rPr>
                <w:b w:val="0"/>
                <w:color w:val="000000"/>
              </w:rPr>
            </w:pPr>
            <w:r>
              <w:rPr>
                <w:b w:val="0"/>
                <w:color w:val="000000"/>
              </w:rPr>
              <w:t>2020-0</w:t>
            </w:r>
            <w:r w:rsidR="00916211">
              <w:rPr>
                <w:b w:val="0"/>
                <w:color w:val="000000"/>
              </w:rPr>
              <w:t>8</w:t>
            </w:r>
            <w:r>
              <w:rPr>
                <w:b w:val="0"/>
                <w:color w:val="000000"/>
              </w:rPr>
              <w:t>-</w:t>
            </w:r>
            <w:r w:rsidR="00916211">
              <w:rPr>
                <w:b w:val="0"/>
                <w:color w:val="000000"/>
              </w:rPr>
              <w:t>03</w:t>
            </w:r>
          </w:p>
        </w:tc>
        <w:tc>
          <w:tcPr>
            <w:tcW w:w="300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99"/>
            </w:tblGrid>
            <w:tr w:rsidR="00916211" w:rsidRPr="00916211" w14:paraId="7D667197" w14:textId="77777777" w:rsidTr="00916211">
              <w:trPr>
                <w:tblCellSpacing w:w="15" w:type="dxa"/>
              </w:trPr>
              <w:tc>
                <w:tcPr>
                  <w:tcW w:w="1939" w:type="dxa"/>
                  <w:vAlign w:val="center"/>
                  <w:hideMark/>
                </w:tcPr>
                <w:p w14:paraId="2BEB4FF0" w14:textId="5E20B207" w:rsidR="00916211" w:rsidRPr="00916211" w:rsidRDefault="001626D5" w:rsidP="00916211">
                  <w:pPr>
                    <w:jc w:val="left"/>
                    <w:rPr>
                      <w:b w:val="0"/>
                      <w:color w:val="000000"/>
                      <w:lang w:eastAsia="ar-SA"/>
                    </w:rPr>
                  </w:pPr>
                  <w:r>
                    <w:rPr>
                      <w:b w:val="0"/>
                      <w:color w:val="000000"/>
                      <w:lang w:eastAsia="ar-SA"/>
                    </w:rPr>
                    <w:t xml:space="preserve">Nr. </w:t>
                  </w:r>
                  <w:r w:rsidR="00916211" w:rsidRPr="00916211">
                    <w:rPr>
                      <w:b w:val="0"/>
                      <w:color w:val="000000"/>
                      <w:lang w:eastAsia="ar-SA"/>
                    </w:rPr>
                    <w:t>(1.8E) 2T-1156</w:t>
                  </w:r>
                </w:p>
              </w:tc>
            </w:tr>
          </w:tbl>
          <w:p w14:paraId="5FFE32EA" w14:textId="40D1A988" w:rsidR="00916211" w:rsidRDefault="00916211">
            <w:pPr>
              <w:jc w:val="left"/>
              <w:rPr>
                <w:b w:val="0"/>
                <w:color w:val="00000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16211" w:rsidRPr="00916211" w14:paraId="65B2A85D" w14:textId="77777777" w:rsidTr="00916211">
              <w:trPr>
                <w:tblCellSpacing w:w="15" w:type="dxa"/>
              </w:trPr>
              <w:tc>
                <w:tcPr>
                  <w:tcW w:w="35" w:type="dxa"/>
                  <w:vAlign w:val="center"/>
                  <w:hideMark/>
                </w:tcPr>
                <w:p w14:paraId="35F41E5D" w14:textId="77777777" w:rsidR="00916211" w:rsidRPr="00916211" w:rsidRDefault="00916211" w:rsidP="00916211">
                  <w:pPr>
                    <w:jc w:val="left"/>
                    <w:rPr>
                      <w:sz w:val="20"/>
                      <w:szCs w:val="20"/>
                      <w:lang w:eastAsia="lt-LT"/>
                    </w:rPr>
                  </w:pPr>
                </w:p>
              </w:tc>
            </w:tr>
          </w:tbl>
          <w:p w14:paraId="078600AE" w14:textId="323CC27E" w:rsidR="0066746A" w:rsidRDefault="0066746A">
            <w:pPr>
              <w:jc w:val="left"/>
              <w:rPr>
                <w:b w:val="0"/>
                <w:color w:val="000000"/>
              </w:rPr>
            </w:pPr>
          </w:p>
        </w:tc>
      </w:tr>
      <w:tr w:rsidR="0066746A" w14:paraId="078600B7" w14:textId="77777777" w:rsidTr="00775381">
        <w:trPr>
          <w:cantSplit/>
          <w:trHeight w:val="607"/>
        </w:trPr>
        <w:tc>
          <w:tcPr>
            <w:tcW w:w="9633" w:type="dxa"/>
            <w:gridSpan w:val="4"/>
          </w:tcPr>
          <w:p w14:paraId="01EAA496" w14:textId="6B5E72F5" w:rsidR="0066746A" w:rsidRDefault="00CA64AB" w:rsidP="004B0491">
            <w:pPr>
              <w:pStyle w:val="Heading1"/>
              <w:tabs>
                <w:tab w:val="left" w:pos="2595"/>
              </w:tabs>
              <w:jc w:val="both"/>
            </w:pPr>
            <w:r w:rsidRPr="00CA64AB">
              <w:t xml:space="preserve">DĖL </w:t>
            </w:r>
            <w:r w:rsidR="00916211" w:rsidRPr="00916211">
              <w:rPr>
                <w:bCs/>
              </w:rPr>
              <w:t>Lietuvos Respublikos vartotojų teisių apsaugos įstatymo Nr. I-657 12, 22, 22</w:t>
            </w:r>
            <w:r w:rsidR="00916211" w:rsidRPr="00916211">
              <w:rPr>
                <w:bCs/>
                <w:vertAlign w:val="superscript"/>
              </w:rPr>
              <w:t>2</w:t>
            </w:r>
            <w:r w:rsidR="00916211" w:rsidRPr="00916211">
              <w:rPr>
                <w:bCs/>
              </w:rPr>
              <w:t>, 22</w:t>
            </w:r>
            <w:r w:rsidR="00916211" w:rsidRPr="00916211">
              <w:rPr>
                <w:bCs/>
                <w:vertAlign w:val="superscript"/>
              </w:rPr>
              <w:t>5</w:t>
            </w:r>
            <w:r w:rsidR="00916211" w:rsidRPr="00916211">
              <w:rPr>
                <w:bCs/>
              </w:rPr>
              <w:t>, 23, 23</w:t>
            </w:r>
            <w:r w:rsidR="00916211" w:rsidRPr="00916211">
              <w:rPr>
                <w:bCs/>
                <w:vertAlign w:val="superscript"/>
              </w:rPr>
              <w:t>3</w:t>
            </w:r>
            <w:r w:rsidR="00916211" w:rsidRPr="00916211">
              <w:rPr>
                <w:bCs/>
              </w:rPr>
              <w:t>, 25, 27, 28, 29</w:t>
            </w:r>
            <w:r w:rsidR="00916211" w:rsidRPr="00916211">
              <w:rPr>
                <w:bCs/>
                <w:vertAlign w:val="superscript"/>
              </w:rPr>
              <w:t>3</w:t>
            </w:r>
            <w:r w:rsidR="00916211" w:rsidRPr="00916211">
              <w:rPr>
                <w:bCs/>
              </w:rPr>
              <w:t>, 32, 40 straipsnių pakeitimo ir įstatymo papildymo 35</w:t>
            </w:r>
            <w:r w:rsidR="00916211" w:rsidRPr="00916211">
              <w:rPr>
                <w:bCs/>
                <w:vertAlign w:val="superscript"/>
              </w:rPr>
              <w:t>1</w:t>
            </w:r>
            <w:r w:rsidR="00916211" w:rsidRPr="00916211">
              <w:rPr>
                <w:bCs/>
              </w:rPr>
              <w:t xml:space="preserve"> ir 35</w:t>
            </w:r>
            <w:r w:rsidR="00916211" w:rsidRPr="00916211">
              <w:rPr>
                <w:bCs/>
                <w:vertAlign w:val="superscript"/>
              </w:rPr>
              <w:t>2</w:t>
            </w:r>
            <w:r w:rsidR="00916211" w:rsidRPr="00916211">
              <w:rPr>
                <w:bCs/>
              </w:rPr>
              <w:t xml:space="preserve"> straipsniais įstatymo projekto</w:t>
            </w:r>
          </w:p>
          <w:p w14:paraId="078600B6" w14:textId="62340D2F" w:rsidR="00790C23" w:rsidRPr="00790C23" w:rsidRDefault="00790C23" w:rsidP="004B0491">
            <w:pPr>
              <w:ind w:firstLine="553"/>
            </w:pPr>
          </w:p>
        </w:tc>
      </w:tr>
    </w:tbl>
    <w:p w14:paraId="044BA188" w14:textId="2216EECC" w:rsidR="00F04E89" w:rsidRPr="00F04E89" w:rsidRDefault="00790C23" w:rsidP="004654F5">
      <w:pPr>
        <w:ind w:firstLine="567"/>
        <w:rPr>
          <w:b w:val="0"/>
          <w:color w:val="000000"/>
          <w:lang w:eastAsia="ar-SA"/>
        </w:rPr>
      </w:pPr>
      <w:r w:rsidRPr="00F04E89">
        <w:rPr>
          <w:b w:val="0"/>
          <w:color w:val="000000"/>
          <w:lang w:eastAsia="ar-SA"/>
        </w:rPr>
        <w:t xml:space="preserve">Valstybinė energetikos reguliavimo taryba (toliau – </w:t>
      </w:r>
      <w:r w:rsidR="00C84873" w:rsidRPr="00F04E89">
        <w:rPr>
          <w:b w:val="0"/>
          <w:color w:val="000000"/>
          <w:lang w:eastAsia="ar-SA"/>
        </w:rPr>
        <w:t>Taryba</w:t>
      </w:r>
      <w:r w:rsidRPr="00F04E89">
        <w:rPr>
          <w:b w:val="0"/>
          <w:color w:val="000000"/>
          <w:lang w:eastAsia="ar-SA"/>
        </w:rPr>
        <w:t>)</w:t>
      </w:r>
      <w:r w:rsidR="001626D5" w:rsidRPr="00F04E89">
        <w:rPr>
          <w:b w:val="0"/>
          <w:color w:val="000000"/>
          <w:lang w:eastAsia="ar-SA"/>
        </w:rPr>
        <w:t xml:space="preserve"> </w:t>
      </w:r>
      <w:r w:rsidR="00F04E89" w:rsidRPr="00F04E89">
        <w:rPr>
          <w:b w:val="0"/>
          <w:color w:val="000000"/>
          <w:lang w:eastAsia="ar-SA"/>
        </w:rPr>
        <w:t>gavo Lietuvos Respublikos t</w:t>
      </w:r>
      <w:r w:rsidR="00F04E89" w:rsidRPr="00F04E89">
        <w:rPr>
          <w:b w:val="0"/>
        </w:rPr>
        <w:t>eisingumo ministerij</w:t>
      </w:r>
      <w:r w:rsidR="00F04E89">
        <w:rPr>
          <w:b w:val="0"/>
        </w:rPr>
        <w:t>os</w:t>
      </w:r>
      <w:r w:rsidR="00F04E89" w:rsidRPr="00F04E89">
        <w:rPr>
          <w:b w:val="0"/>
        </w:rPr>
        <w:t xml:space="preserve"> parengtą ir išvadoms gauti pateiktą Lietuvos Respublikos vartotojų teisių apsaugos įstatymo Nr. I-657 12, 22, </w:t>
      </w:r>
      <w:r w:rsidR="00F04E89" w:rsidRPr="00F04E89">
        <w:rPr>
          <w:b w:val="0"/>
          <w:color w:val="000000"/>
        </w:rPr>
        <w:t>22</w:t>
      </w:r>
      <w:r w:rsidR="00F04E89" w:rsidRPr="00F04E89">
        <w:rPr>
          <w:b w:val="0"/>
          <w:color w:val="000000"/>
          <w:vertAlign w:val="superscript"/>
        </w:rPr>
        <w:t>2</w:t>
      </w:r>
      <w:r w:rsidR="00F04E89" w:rsidRPr="00F04E89">
        <w:rPr>
          <w:b w:val="0"/>
          <w:color w:val="000000"/>
        </w:rPr>
        <w:t>, 22</w:t>
      </w:r>
      <w:r w:rsidR="00F04E89" w:rsidRPr="00F04E89">
        <w:rPr>
          <w:b w:val="0"/>
          <w:color w:val="000000"/>
          <w:vertAlign w:val="superscript"/>
        </w:rPr>
        <w:t>5</w:t>
      </w:r>
      <w:r w:rsidR="00F04E89" w:rsidRPr="00F04E89">
        <w:rPr>
          <w:b w:val="0"/>
          <w:color w:val="000000"/>
        </w:rPr>
        <w:t>, 23, 23</w:t>
      </w:r>
      <w:r w:rsidR="00F04E89" w:rsidRPr="00F04E89">
        <w:rPr>
          <w:b w:val="0"/>
          <w:color w:val="000000"/>
          <w:vertAlign w:val="superscript"/>
        </w:rPr>
        <w:t>3</w:t>
      </w:r>
      <w:r w:rsidR="00F04E89" w:rsidRPr="00F04E89">
        <w:rPr>
          <w:b w:val="0"/>
          <w:color w:val="000000"/>
        </w:rPr>
        <w:t xml:space="preserve">, 25, </w:t>
      </w:r>
      <w:r w:rsidR="00F04E89" w:rsidRPr="00F04E89">
        <w:rPr>
          <w:b w:val="0"/>
        </w:rPr>
        <w:t>27, 28, 29</w:t>
      </w:r>
      <w:r w:rsidR="00F04E89" w:rsidRPr="00F04E89">
        <w:rPr>
          <w:b w:val="0"/>
          <w:vertAlign w:val="superscript"/>
        </w:rPr>
        <w:t>3</w:t>
      </w:r>
      <w:r w:rsidR="00F04E89" w:rsidRPr="00F04E89">
        <w:rPr>
          <w:b w:val="0"/>
        </w:rPr>
        <w:t>, 32, 40 straipsnių pakeitimo ir įstatymo papildymo 35</w:t>
      </w:r>
      <w:r w:rsidR="00F04E89" w:rsidRPr="00F04E89">
        <w:rPr>
          <w:b w:val="0"/>
          <w:vertAlign w:val="superscript"/>
        </w:rPr>
        <w:t>1</w:t>
      </w:r>
      <w:r w:rsidR="00F04E89" w:rsidRPr="00F04E89">
        <w:rPr>
          <w:b w:val="0"/>
          <w:color w:val="000000"/>
        </w:rPr>
        <w:t xml:space="preserve"> ir </w:t>
      </w:r>
      <w:r w:rsidR="00F04E89" w:rsidRPr="00F04E89">
        <w:rPr>
          <w:b w:val="0"/>
        </w:rPr>
        <w:t>35</w:t>
      </w:r>
      <w:r w:rsidR="00F04E89" w:rsidRPr="00F04E89">
        <w:rPr>
          <w:b w:val="0"/>
          <w:vertAlign w:val="superscript"/>
        </w:rPr>
        <w:t>2</w:t>
      </w:r>
      <w:r w:rsidR="00F04E89" w:rsidRPr="00F04E89">
        <w:rPr>
          <w:b w:val="0"/>
          <w:color w:val="000000"/>
        </w:rPr>
        <w:t xml:space="preserve"> </w:t>
      </w:r>
      <w:r w:rsidR="00F04E89" w:rsidRPr="00F04E89">
        <w:rPr>
          <w:b w:val="0"/>
        </w:rPr>
        <w:t>straipsniais įstatymo projektą (</w:t>
      </w:r>
      <w:r w:rsidR="00F04E89">
        <w:rPr>
          <w:b w:val="0"/>
        </w:rPr>
        <w:t xml:space="preserve">toliau – </w:t>
      </w:r>
      <w:r w:rsidR="00F04E89" w:rsidRPr="00F04E89">
        <w:rPr>
          <w:b w:val="0"/>
        </w:rPr>
        <w:t xml:space="preserve">Projektas). </w:t>
      </w:r>
    </w:p>
    <w:p w14:paraId="6CA41A56" w14:textId="0B2C18A2" w:rsidR="00F04E89" w:rsidRDefault="00F04E89" w:rsidP="00A06F6E">
      <w:pPr>
        <w:tabs>
          <w:tab w:val="left" w:pos="993"/>
        </w:tabs>
        <w:ind w:firstLine="567"/>
        <w:rPr>
          <w:b w:val="0"/>
        </w:rPr>
      </w:pPr>
      <w:r w:rsidRPr="00F04E89">
        <w:rPr>
          <w:b w:val="0"/>
        </w:rPr>
        <w:t xml:space="preserve">Taryba pagal kompetenciją </w:t>
      </w:r>
      <w:r w:rsidR="007529DA" w:rsidRPr="00F04E89">
        <w:rPr>
          <w:b w:val="0"/>
        </w:rPr>
        <w:t>t</w:t>
      </w:r>
      <w:r w:rsidR="007529DA">
        <w:rPr>
          <w:b w:val="0"/>
        </w:rPr>
        <w:t>ei</w:t>
      </w:r>
      <w:r w:rsidR="007529DA" w:rsidRPr="00F04E89">
        <w:rPr>
          <w:b w:val="0"/>
        </w:rPr>
        <w:t xml:space="preserve">kia </w:t>
      </w:r>
      <w:r w:rsidRPr="00F04E89">
        <w:rPr>
          <w:b w:val="0"/>
        </w:rPr>
        <w:t>pastabas ir pasiūlymus Projektui.</w:t>
      </w:r>
    </w:p>
    <w:p w14:paraId="25A663B6" w14:textId="77777777" w:rsidR="00F04E89" w:rsidRPr="00F04E89" w:rsidRDefault="00F04E89" w:rsidP="004654F5">
      <w:pPr>
        <w:pStyle w:val="ListParagraph"/>
        <w:numPr>
          <w:ilvl w:val="0"/>
          <w:numId w:val="6"/>
        </w:numPr>
        <w:tabs>
          <w:tab w:val="left" w:pos="993"/>
        </w:tabs>
        <w:ind w:left="0" w:firstLine="709"/>
        <w:rPr>
          <w:b w:val="0"/>
        </w:rPr>
      </w:pPr>
      <w:r w:rsidRPr="00F04E89">
        <w:rPr>
          <w:b w:val="0"/>
        </w:rPr>
        <w:t>Siūloma pakeisti VTAĮ 22 straipsnio 1 dalies 3 punktą  nurodant, kad Taryba nagrinėja absoliučiai visus energetikos įmonių bei geriamojo vandens tiekimo ir (ar) nuotekų tvarkymo įmonių ir vartotojų ginčus, išskyrus nurodytuosius Lietuvos Respublikos geriamojo vandens tiekimo ir nuotekų tvarkymo įstatymo 11 straipsnyje. Motyvuojama, jog pakeitimu siekiama išvengti atskirų vartojimo ginčų energetikos srityje neapėmimo ir vartotojo pareigos įrodyti, kad vartojimo ginčas patenka į nurodytų ginčų kategorijas.</w:t>
      </w:r>
    </w:p>
    <w:p w14:paraId="7B4C075E" w14:textId="77777777" w:rsidR="00F04E89" w:rsidRPr="00F04E89" w:rsidRDefault="00F04E89" w:rsidP="00A06F6E">
      <w:pPr>
        <w:tabs>
          <w:tab w:val="left" w:pos="993"/>
        </w:tabs>
        <w:ind w:firstLine="567"/>
        <w:rPr>
          <w:b w:val="0"/>
        </w:rPr>
      </w:pPr>
      <w:r w:rsidRPr="00F04E89">
        <w:rPr>
          <w:b w:val="0"/>
        </w:rPr>
        <w:t xml:space="preserve">Taryba nesutinka su siūlomu pakeitimu dėl toliau nurodytų priežasčių. </w:t>
      </w:r>
    </w:p>
    <w:p w14:paraId="2EC3A194" w14:textId="054DCF7D" w:rsidR="00F04E89" w:rsidRPr="00F04E89" w:rsidRDefault="00F04E89">
      <w:pPr>
        <w:tabs>
          <w:tab w:val="left" w:pos="993"/>
        </w:tabs>
        <w:ind w:firstLine="567"/>
        <w:rPr>
          <w:b w:val="0"/>
        </w:rPr>
      </w:pPr>
      <w:r w:rsidRPr="00F04E89">
        <w:rPr>
          <w:b w:val="0"/>
        </w:rPr>
        <w:t>Pirma, Tarybos bendroji kompetencija visuose energetikos sektoriuose yra apibrėžta Lietuvos Respublikos energetikos įstatymo 8 straipsnio 11 dalyje ir įstatymuose, reglamentuojančiais konkretų sektorių (Lietuvos Respublikos elektros energetikos įstatymo 9 straipsnio 1</w:t>
      </w:r>
      <w:r w:rsidR="00A94ABE">
        <w:rPr>
          <w:b w:val="0"/>
        </w:rPr>
        <w:t>‒</w:t>
      </w:r>
      <w:r w:rsidRPr="00F04E89">
        <w:rPr>
          <w:b w:val="0"/>
        </w:rPr>
        <w:t xml:space="preserve">3 dalys, Lietuvos Respublikos gamtinių dujų įstatymo 7 straipsnio 1 dalis, Lietuvos Respublikos šilumos ūkio įstatymas ir k.t.). Taryba veikia </w:t>
      </w:r>
      <w:r w:rsidR="00A94ABE">
        <w:rPr>
          <w:b w:val="0"/>
        </w:rPr>
        <w:t xml:space="preserve">neviršydama </w:t>
      </w:r>
      <w:r w:rsidRPr="00F04E89">
        <w:rPr>
          <w:b w:val="0"/>
        </w:rPr>
        <w:t>aiškiai apibrėžtos bendrosios kompetencijos rib</w:t>
      </w:r>
      <w:r w:rsidR="00A94ABE">
        <w:rPr>
          <w:b w:val="0"/>
        </w:rPr>
        <w:t>ų</w:t>
      </w:r>
      <w:r w:rsidRPr="00F04E89">
        <w:rPr>
          <w:b w:val="0"/>
        </w:rPr>
        <w:t xml:space="preserve">. Lietuvos Respublikos energetikos įstatymo 34 straipsnio 4 dalyje yra nustatyta, kad ne teismo tvarka Taryba nagrinėja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Atitinkamai, Taryba gali nagrinėti energetikos įmonių ginčus taip pat tik </w:t>
      </w:r>
      <w:r w:rsidR="00A94ABE">
        <w:rPr>
          <w:b w:val="0"/>
        </w:rPr>
        <w:t xml:space="preserve">neviršydama </w:t>
      </w:r>
      <w:r w:rsidRPr="00F04E89">
        <w:rPr>
          <w:b w:val="0"/>
        </w:rPr>
        <w:t>aiškiai apibrėžt</w:t>
      </w:r>
      <w:r w:rsidR="00A94ABE">
        <w:rPr>
          <w:b w:val="0"/>
        </w:rPr>
        <w:t>ų</w:t>
      </w:r>
      <w:r w:rsidRPr="00F04E89">
        <w:rPr>
          <w:b w:val="0"/>
        </w:rPr>
        <w:t xml:space="preserve"> rib</w:t>
      </w:r>
      <w:r w:rsidR="00A94ABE">
        <w:rPr>
          <w:b w:val="0"/>
        </w:rPr>
        <w:t>ų</w:t>
      </w:r>
      <w:r w:rsidRPr="00F04E89">
        <w:rPr>
          <w:b w:val="0"/>
        </w:rPr>
        <w:t>, kurias apibrėžia minėta Energetikos įstatymo nuostata ir šiuo metu VTAĮ 22 straipsnio 1 dalies 3 punkto  nuostata, kuriose išvardintos konkrečios nagrinėjamų ginčų kategorijos. Pritarus siūlymui ir VTAĮ atsisakius aiškiai apibrėžtų ginčo kategorijų, kuriose nagrinėtini vartotojų ir energetikos įmonių ginčai, VTAĮ Tarybos kompetencija būtų apibrėžta plačiau, nei Energetikos įstatyme ir nei specialiuosiuose konkrečius sektorius reglamentuojančiuose įstatymuose apibrėžta Tarybos bendroji kompetencija. Toks pakeitimas įstatymo lygmen</w:t>
      </w:r>
      <w:r w:rsidR="00A94ABE">
        <w:rPr>
          <w:b w:val="0"/>
        </w:rPr>
        <w:t>iu</w:t>
      </w:r>
      <w:r w:rsidRPr="00F04E89">
        <w:rPr>
          <w:b w:val="0"/>
        </w:rPr>
        <w:t xml:space="preserve"> vartotojams ir energetikos įmonėms suteiktų nepagrįst</w:t>
      </w:r>
      <w:r w:rsidR="00A94ABE">
        <w:rPr>
          <w:b w:val="0"/>
        </w:rPr>
        <w:t>ų</w:t>
      </w:r>
      <w:r w:rsidRPr="00F04E89">
        <w:rPr>
          <w:b w:val="0"/>
        </w:rPr>
        <w:t xml:space="preserve"> lūkesči</w:t>
      </w:r>
      <w:r w:rsidR="00A94ABE">
        <w:rPr>
          <w:b w:val="0"/>
        </w:rPr>
        <w:t>ų</w:t>
      </w:r>
      <w:r w:rsidRPr="00F04E89">
        <w:rPr>
          <w:b w:val="0"/>
        </w:rPr>
        <w:t>, kad absoliučiai bet kokio, net ir pagal savo dalyką į Tarybos bendrąją kompetenciją, apibrėžtą konkrečius sektorius reglamentuojančiuose įstatymuose, nepatenkančio vartojimo ginčo nagrinėjimas priskirtinas Tarybos kompetencijai</w:t>
      </w:r>
      <w:r w:rsidR="00A94ABE">
        <w:rPr>
          <w:b w:val="0"/>
        </w:rPr>
        <w:t>,</w:t>
      </w:r>
      <w:r w:rsidRPr="00F04E89">
        <w:rPr>
          <w:b w:val="0"/>
        </w:rPr>
        <w:t xml:space="preserve"> bei suteiktų teisinį pagrindą reikalauti, kad Taryba nagrinėtų tokį vartojimo ginčą.</w:t>
      </w:r>
    </w:p>
    <w:p w14:paraId="221A6B22" w14:textId="151DB3C7" w:rsidR="00F04E89" w:rsidRPr="00F04E89" w:rsidRDefault="00F04E89">
      <w:pPr>
        <w:tabs>
          <w:tab w:val="left" w:pos="993"/>
        </w:tabs>
        <w:ind w:firstLine="567"/>
        <w:rPr>
          <w:b w:val="0"/>
        </w:rPr>
      </w:pPr>
      <w:r w:rsidRPr="00F04E89">
        <w:rPr>
          <w:b w:val="0"/>
        </w:rPr>
        <w:lastRenderedPageBreak/>
        <w:t xml:space="preserve">Antra, atskirai atkreiptinas dėmesys į Tarybos bendrąją kompetenciją, apibrėžtą Lietuvos Respublikos geriamojo vandens tiekimo ir nuotekų tvarkymo įstatymo 9 straipsnyje: Tarybos kompetencija geriamojo vandens sektoriuje yra itin siaura ir išimtinai susijusi tik su geriamojo vandens tiekimo ir nuotekų tvarkymo paslaugų kainų nustatymu bei su tuo susijusiais klausimais, kainų taikymo kontrole ir geriamojo vandens tiekimo ir nuotekų tvarkymo licencijavimu. Atitinkamai, Tarybos kompetencija dėl vartojimo ginčų geriamojo vandens tiekimo ir nuotekų tvarkymo sektoriuje negali būti platesnė už paminėtą bendrąją kompetenciją ir apimti bet kokius ginčus minėtame sektoriuje, jei jie nenurodyti Geriamojo vandens tiekimo ir nuotekų tvarkymo įstatymo 11 straipsnyje. Taryba būtų priversta vertinti </w:t>
      </w:r>
      <w:r w:rsidR="007529DA">
        <w:rPr>
          <w:b w:val="0"/>
        </w:rPr>
        <w:t>geriamojo vandens tiekimo ir nuotekų tvarkymo įmonių</w:t>
      </w:r>
      <w:r w:rsidRPr="00F04E89">
        <w:rPr>
          <w:b w:val="0"/>
        </w:rPr>
        <w:t xml:space="preserve"> veiksmus ar neveikimą bet kokiais aspektais, kuriais pasisakyti Tarybai nesuteikta jokia kompetencija. </w:t>
      </w:r>
    </w:p>
    <w:p w14:paraId="6A8CABF3" w14:textId="1CAC2475" w:rsidR="00F04E89" w:rsidRPr="00F04E89" w:rsidRDefault="00F04E89">
      <w:pPr>
        <w:tabs>
          <w:tab w:val="left" w:pos="993"/>
        </w:tabs>
        <w:ind w:firstLine="567"/>
        <w:rPr>
          <w:b w:val="0"/>
        </w:rPr>
      </w:pPr>
      <w:r w:rsidRPr="00F04E89">
        <w:rPr>
          <w:b w:val="0"/>
        </w:rPr>
        <w:t>Taip pat pabrėžtina, kad susidarytų situacija, jog Valstybinės vartotojų teisių apsaugos tarnybos (toliau – VVTAT) ir Tarybos kompetencija yra paskirstoma priklausomai nuo vartotojo kreipimosi pobūdžio: tuo atveju, jei vartotojas teiks prašymą pagal Lietuvos Respublikos viešojo administravimo įstatymą, Taryba nebus kompetentinga jį nagrinėti vertinant Geriamojo vandens tiekimo ir nuotekų tvarkymo 9 straipsnyje numatytą kompetenciją, prašymą bus kompetentinga nagrinėti VVTAT pagal Geriamojo vandens tiekimo ir nuotekų tvarkymo 11 straipsnio 3 dalį. Tuo tarpu, jei bus pateiktas prašymas nagrinėti vartojimo ginčą analogišku klausimu, ginčą nagrinės Taryba, o ne VVTAT. Tai reikš, kad dvi skirtingos institucijos, priklausomai nuo vartotojo kreipimosi pobūdžio (prašymas ar prašymas nagrinėti vartojimo ginčą), dalinsis kompetencija ir galimai formuos skirtingas praktikas tais pačiais klausimais. Taip pat pažymėtina, kad Geriamojo vandens tiekimo ir nuotekų tvarkymo įstatymas apskritai nenumato Tarybos kompetencijos nagrinėjant vartotojų skundus geriamojo vandens ir nuotekų tvarkymo sektoriuje ir numato tokią VVTAT kompetenciją (37 straipsnio 3 dalis). Atkreiptinas dėmesys, kad VVTAT daug metų nagrinėja vartojimo ginčus, prašymus ir skundus geriamojo vandens ir nuotekų tvarkymo sektoriuje, VVTAT specialistai itin gerai išmano šį sektorių, jo problematiką, dažniausiai kylančius įmonių ir vartotojų nesutarimus bei jų sprendimo būdus, yra suformavę praktiką, todėl kompetencijos perkėlimas Tarybai šiame sektoriuje ginčų nagrinėjimo srityje laikytinas neefektyviu ir nenaudingu nei įmonėms</w:t>
      </w:r>
      <w:r w:rsidR="00A94ABE">
        <w:rPr>
          <w:b w:val="0"/>
        </w:rPr>
        <w:t>,</w:t>
      </w:r>
      <w:r w:rsidRPr="00F04E89">
        <w:rPr>
          <w:b w:val="0"/>
        </w:rPr>
        <w:t xml:space="preserve"> nei vartotojams sprendimu. Taip pat atsisakius šio pasiūlymo keisti VTAĮ, būtų išvengta ir problemos dėl kompetencijos paskirstymo priklausomai nuo vartotojo kreipimosi pobūdžio.</w:t>
      </w:r>
    </w:p>
    <w:p w14:paraId="31AD76C0" w14:textId="5A258080" w:rsidR="00F04E89" w:rsidRPr="00F04E89" w:rsidRDefault="00F04E89">
      <w:pPr>
        <w:tabs>
          <w:tab w:val="left" w:pos="993"/>
        </w:tabs>
        <w:ind w:firstLine="567"/>
        <w:rPr>
          <w:b w:val="0"/>
        </w:rPr>
      </w:pPr>
      <w:r w:rsidRPr="00F04E89">
        <w:rPr>
          <w:b w:val="0"/>
        </w:rPr>
        <w:t xml:space="preserve">Be to, toks kompetencijos išplėtimas reikštų VVTAT gaunamų nagrinėti vartojimo ginčų kiekio naštos perkėlimą Tarybai sukuriant kitas papildomas naštas, t. y. kompetencijos išplėtimas pareikalautų </w:t>
      </w:r>
      <w:r w:rsidRPr="00F82636">
        <w:rPr>
          <w:bCs/>
        </w:rPr>
        <w:t>papildomų finansinių, techninių ir personalo kaštų,</w:t>
      </w:r>
      <w:r w:rsidRPr="00F04E89">
        <w:rPr>
          <w:b w:val="0"/>
        </w:rPr>
        <w:t xml:space="preserve"> kuriais Taryba turėtų pasirūpinti išimtinai tik dėl vienos iš savo funkcijų (vartojimo ginčų nagrinėjimas geriamojo vandens tiekimo ir nuotekų tvarkymo sektoriuje), p</w:t>
      </w:r>
      <w:r w:rsidR="00A94ABE">
        <w:rPr>
          <w:b w:val="0"/>
        </w:rPr>
        <w:t>a</w:t>
      </w:r>
      <w:r w:rsidRPr="00F04E89">
        <w:rPr>
          <w:b w:val="0"/>
        </w:rPr>
        <w:t>v</w:t>
      </w:r>
      <w:r w:rsidR="00A94ABE">
        <w:rPr>
          <w:b w:val="0"/>
        </w:rPr>
        <w:t>y</w:t>
      </w:r>
      <w:r w:rsidRPr="00F04E89">
        <w:rPr>
          <w:b w:val="0"/>
        </w:rPr>
        <w:t>z</w:t>
      </w:r>
      <w:r w:rsidR="00A94ABE">
        <w:rPr>
          <w:b w:val="0"/>
        </w:rPr>
        <w:t>džiui</w:t>
      </w:r>
      <w:r w:rsidRPr="00F04E89">
        <w:rPr>
          <w:b w:val="0"/>
        </w:rPr>
        <w:t>, priimti geriamojo vandens tiekimo ir nuotekų tvarkymo sektoriaus klausimais kompetentingus specialistus, aprūpinti juos darbo priemonėmis, mokėti darbo užmokestį ir kt.</w:t>
      </w:r>
      <w:r w:rsidR="00F82636" w:rsidRPr="00F82636">
        <w:t xml:space="preserve"> </w:t>
      </w:r>
      <w:r w:rsidR="00F82636" w:rsidRPr="00F82636">
        <w:rPr>
          <w:b w:val="0"/>
        </w:rPr>
        <w:t>Atitinkamai, aiškinamajame rašte turėtų būti aptarta, kiek lėšų pareikalaus naujų funkcijų perdavimas Tarybai.</w:t>
      </w:r>
    </w:p>
    <w:p w14:paraId="66B165AF" w14:textId="77777777" w:rsidR="00F04E89" w:rsidRPr="00F04E89" w:rsidRDefault="00F04E89">
      <w:pPr>
        <w:tabs>
          <w:tab w:val="left" w:pos="993"/>
        </w:tabs>
        <w:ind w:firstLine="567"/>
        <w:rPr>
          <w:b w:val="0"/>
        </w:rPr>
      </w:pPr>
      <w:r w:rsidRPr="00F04E89">
        <w:rPr>
          <w:b w:val="0"/>
        </w:rPr>
        <w:t>Vertindama visa tai, kas išdėstyta, Taryba siūlo nekeisti šiuo metu galiojančio teisinio reglamentavimo dėl Tarybos kompetencijos nagrinėjant tiek energetikos įmonių ir vartotojų, tiek geriamojo vandens tiekimo ir nuotekų tvarkymo įmonių ir vartotojų ginčus.</w:t>
      </w:r>
    </w:p>
    <w:p w14:paraId="3DD3B050" w14:textId="2E096157" w:rsidR="00F04E89" w:rsidRPr="00F04E89" w:rsidRDefault="00F04E89" w:rsidP="004654F5">
      <w:pPr>
        <w:pStyle w:val="ListParagraph"/>
        <w:numPr>
          <w:ilvl w:val="0"/>
          <w:numId w:val="6"/>
        </w:numPr>
        <w:tabs>
          <w:tab w:val="left" w:pos="567"/>
          <w:tab w:val="left" w:pos="993"/>
        </w:tabs>
        <w:ind w:left="0" w:firstLine="709"/>
        <w:rPr>
          <w:b w:val="0"/>
        </w:rPr>
      </w:pPr>
      <w:r w:rsidRPr="00F04E89">
        <w:rPr>
          <w:b w:val="0"/>
        </w:rPr>
        <w:t>Siūloma pakeisti 22 straipsnio 1 dalies 6 punktą ir jį išdėstyti taip: „6) Valstybinė vartotojų teisių apsaugos tarnyba – ginčus kitose, šio straipsnio 1 dalies 1</w:t>
      </w:r>
      <w:r w:rsidR="00A94ABE">
        <w:rPr>
          <w:b w:val="0"/>
        </w:rPr>
        <w:t>‒</w:t>
      </w:r>
      <w:r w:rsidRPr="00F04E89">
        <w:rPr>
          <w:b w:val="0"/>
        </w:rPr>
        <w:t>4 punktuose nenurodytose, vartotojų teisių apsaugos srityse.“ Tarybai nėra suprantama nuoroda į 22 straipsnio 1 dalies 4 punktą, kadangi šiuo metu galiojančioje VTAĮ redakcijoje minėto punkto nėra, jis neteko galios nuo 2019 m. liepos 1</w:t>
      </w:r>
      <w:r w:rsidR="00A94ABE">
        <w:rPr>
          <w:b w:val="0"/>
        </w:rPr>
        <w:t> </w:t>
      </w:r>
      <w:r w:rsidRPr="00F04E89">
        <w:rPr>
          <w:b w:val="0"/>
        </w:rPr>
        <w:t xml:space="preserve">d., o Projekto pasiūlymuose nėra siūlymo minėtu punktu laikyti kitą siūlomą nuostatą, taip pat nėra siūloma ir nauja šio punkto nuostata. </w:t>
      </w:r>
    </w:p>
    <w:p w14:paraId="44B73944" w14:textId="1A056673" w:rsidR="00F04E89" w:rsidRPr="00F04E89" w:rsidRDefault="00F04E89" w:rsidP="004654F5">
      <w:pPr>
        <w:pStyle w:val="ListParagraph"/>
        <w:numPr>
          <w:ilvl w:val="0"/>
          <w:numId w:val="6"/>
        </w:numPr>
        <w:tabs>
          <w:tab w:val="left" w:pos="567"/>
          <w:tab w:val="left" w:pos="993"/>
        </w:tabs>
        <w:ind w:left="0" w:firstLine="709"/>
        <w:rPr>
          <w:b w:val="0"/>
        </w:rPr>
      </w:pPr>
      <w:r w:rsidRPr="00F04E89">
        <w:rPr>
          <w:b w:val="0"/>
        </w:rPr>
        <w:t xml:space="preserve">Dėl siūlomo VTAĮ 22 straipsnio 4 dalies pakeitimo pažymėtina, kad nėra vienareikšmiškai aišku, kokiais atvejais vartojimo ginčas turi būti nagrinėjamas neatlygintinai, o kokiais už nominalų užmokestį, taip pat kokiais kriterijais vadovaudamasi kiekviena institucija nustatys nominalų užmokestį. Siekiant išvengti skirtingos ikiteisminių ginčo nagrinėjimo institucijų praktikos siūlytina aiškiai apibrėžti, kokiais atvejais vartojimo ginčas nagrinėjamas nemokamai, o kokiais – už nominalų </w:t>
      </w:r>
      <w:r w:rsidRPr="00F04E89">
        <w:rPr>
          <w:b w:val="0"/>
        </w:rPr>
        <w:lastRenderedPageBreak/>
        <w:t>užmokestį, taip pat numatyti bendruosius kriterijus, kuriais vadovaudamasi vartojimo ginčus nagrinėjanti institucija apskaičiuoja nominalų dydį arba</w:t>
      </w:r>
      <w:r w:rsidR="00A94ABE">
        <w:rPr>
          <w:b w:val="0"/>
        </w:rPr>
        <w:t>,</w:t>
      </w:r>
      <w:r w:rsidRPr="00F04E89">
        <w:rPr>
          <w:b w:val="0"/>
        </w:rPr>
        <w:t xml:space="preserve"> siekiant išvengti vartotojų pretenzijų dėl skirtingų kiekvienos institucijos taikomų nominalių dydžių, aiškiai įtvirtinti, kad kiekviena institucija, atsižvelgdama į vartojimo ginčų nagrinėjimo konkrečiame sektoriuje specifiką, apskaičiuodama nominalų dydį, turi teisę vertinti visas būtinąsias išlaidas, patiriamas nagrinėjant vartojimo ginčus.</w:t>
      </w:r>
    </w:p>
    <w:p w14:paraId="1DCA8AB9" w14:textId="38E8089E" w:rsidR="00F04E89" w:rsidRPr="00F04E89" w:rsidRDefault="00F04E89" w:rsidP="004654F5">
      <w:pPr>
        <w:pStyle w:val="ListParagraph"/>
        <w:numPr>
          <w:ilvl w:val="0"/>
          <w:numId w:val="6"/>
        </w:numPr>
        <w:tabs>
          <w:tab w:val="left" w:pos="567"/>
          <w:tab w:val="left" w:pos="993"/>
        </w:tabs>
        <w:ind w:left="0" w:firstLine="851"/>
        <w:rPr>
          <w:b w:val="0"/>
        </w:rPr>
      </w:pPr>
      <w:r w:rsidRPr="00F04E89">
        <w:rPr>
          <w:b w:val="0"/>
        </w:rPr>
        <w:t>Siūloma pakeisti VTAĮ 23 straipsnio 3 dalies 1 punktą ir jį išdėstyti taip: „1) prašymą nagrinėti vartojimo ginčą. Prašymą pasirašo pareiškėjas ar jo atstovas. Pateikiant prašymą elektroniniu būdu, turi būti patvirtinta asmens tapatybė vartojimo ginčų neteisminio sprendimo procedūros taisyklėse nustatytais būdais;“. Siekiant teisinio aiškumo bei vienodo teisinio reglamentavimo, siūlytina atsižvelgti į Prašymų ir skundų nagrinėjimo ir asmenų aptarnavimo viešojo administravimo subjektuose taisykl</w:t>
      </w:r>
      <w:r>
        <w:rPr>
          <w:b w:val="0"/>
        </w:rPr>
        <w:t>ių</w:t>
      </w:r>
      <w:r w:rsidRPr="00F04E89">
        <w:rPr>
          <w:b w:val="0"/>
        </w:rPr>
        <w:t>, patvirtintų Lietuvos Respublikos Vyriausybės 2007 m. rugpjūčio 22 d. nutarimu Nr. 875 „Dėl Prašymų ir skundų nagrinėjimo ir asmenų aptarnavimo viešojo administravimo subjektuose taisyklių patvirtinimo“, 19 punktą, kuriame numatyta, kad prašymas raštu, atsiųstas institucijai elektroninėmis priemonėmis, turi būti pasirašytas kvalifikuotu elektroniniu parašu arba suformuotas elektroninėmis priemonėmis, kurios leidžia užtikrinti teksto vientisumą ir nepakeičiamumą</w:t>
      </w:r>
      <w:r w:rsidR="00A94ABE">
        <w:rPr>
          <w:b w:val="0"/>
        </w:rPr>
        <w:t>,</w:t>
      </w:r>
      <w:r w:rsidRPr="00F04E89">
        <w:rPr>
          <w:b w:val="0"/>
        </w:rPr>
        <w:t xml:space="preserve"> ir pakeisti VTAĮ 23 straipsnio 3 dalies 1 punktą </w:t>
      </w:r>
      <w:r w:rsidR="00A94ABE">
        <w:rPr>
          <w:b w:val="0"/>
        </w:rPr>
        <w:t>bei</w:t>
      </w:r>
      <w:r w:rsidRPr="00F04E89">
        <w:rPr>
          <w:b w:val="0"/>
        </w:rPr>
        <w:t xml:space="preserve"> jį išdėstyti taip: „1) prašymą nagrinėti vartojimo ginčą. Prašymą pasirašo pareiškėjas ar jo atstovas. Prašymas, atsiųstas institucijai elektroninėmis priemonėmis, turi būti pasirašytas kvalifikuotu elektroniniu parašu arba suformuotas elektroninėmis priemonėmis, kurios leidžia užtikrinti teksto vientisumą ir nepakeičiamumą;“. Tuo atveju</w:t>
      </w:r>
      <w:r w:rsidR="00A94ABE">
        <w:rPr>
          <w:b w:val="0"/>
        </w:rPr>
        <w:t>,</w:t>
      </w:r>
      <w:r w:rsidRPr="00F04E89">
        <w:rPr>
          <w:b w:val="0"/>
        </w:rPr>
        <w:t xml:space="preserve"> jei į šį pasiūlymą nebūtų atsižvelgta, atkreiptinas dėmesys, kad šiuo metu galiojančiose Vartojimo ginčų neteisminio sprendimo procedūros taisyklėse, patvirtintose Lietuvos Respublikos teisingumo ministro 2015 m. gruodžio 30 d. įsakymu Nr. 1R-382 „Dėl Vartojimo ginčų neteisminio sprendimo procedūros taisyklių patvirtinimo“</w:t>
      </w:r>
      <w:r w:rsidR="00A94ABE">
        <w:rPr>
          <w:b w:val="0"/>
        </w:rPr>
        <w:t>,</w:t>
      </w:r>
      <w:r w:rsidRPr="00F04E89">
        <w:rPr>
          <w:b w:val="0"/>
        </w:rPr>
        <w:t xml:space="preserve"> nėra nustatyta jokių būdų, kuriais turėtų būti patvirtinta asmens tapatybė, todėl neaišku, kaip konkrečiai turėtų vykti asmens tapatybės patvirtinimas: ar asmens tapatybė laikytina patvirtin</w:t>
      </w:r>
      <w:r w:rsidR="00A94ABE">
        <w:rPr>
          <w:b w:val="0"/>
        </w:rPr>
        <w:t>t</w:t>
      </w:r>
      <w:r w:rsidRPr="00F04E89">
        <w:rPr>
          <w:b w:val="0"/>
        </w:rPr>
        <w:t>a pateikus tinkamai pasirašytą prašymą, ar turi būti pateikta asmens dokumento kopija</w:t>
      </w:r>
      <w:r w:rsidR="00A94ABE">
        <w:rPr>
          <w:b w:val="0"/>
        </w:rPr>
        <w:t>,</w:t>
      </w:r>
      <w:r w:rsidRPr="00F04E89">
        <w:rPr>
          <w:b w:val="0"/>
        </w:rPr>
        <w:t xml:space="preserve"> ar kt.</w:t>
      </w:r>
    </w:p>
    <w:p w14:paraId="5C5ECEE1" w14:textId="77777777" w:rsidR="00F04E89" w:rsidRPr="00F04E89" w:rsidRDefault="00F04E89" w:rsidP="004654F5">
      <w:pPr>
        <w:pStyle w:val="ListParagraph"/>
        <w:numPr>
          <w:ilvl w:val="0"/>
          <w:numId w:val="6"/>
        </w:numPr>
        <w:tabs>
          <w:tab w:val="left" w:pos="567"/>
          <w:tab w:val="left" w:pos="993"/>
        </w:tabs>
        <w:ind w:left="0" w:firstLine="709"/>
        <w:rPr>
          <w:b w:val="0"/>
        </w:rPr>
      </w:pPr>
      <w:r w:rsidRPr="00F04E89">
        <w:rPr>
          <w:b w:val="0"/>
        </w:rPr>
        <w:t>Nėra aišku, kodėl keičiant 23 straipsnio 3 dalies 6 punktą atsisakoma reikalavimo pateikti dokumentus, patvirtinančius, kad vartotojų asociacija įregistruota Juridinių asmenų registre ir kad jos steigimo dokumentuose nurodytas veiklos tikslas – vartotojų teisių ir teisėtų interesų atstovavimas ir gynimas, kopijas, jeigu vartotojui atstovauja vartotojų asociacija.</w:t>
      </w:r>
    </w:p>
    <w:p w14:paraId="1F5239D0" w14:textId="77777777" w:rsidR="00F04E89" w:rsidRPr="00F04E89" w:rsidRDefault="00F04E89" w:rsidP="004654F5">
      <w:pPr>
        <w:pStyle w:val="ListParagraph"/>
        <w:numPr>
          <w:ilvl w:val="0"/>
          <w:numId w:val="6"/>
        </w:numPr>
        <w:tabs>
          <w:tab w:val="left" w:pos="567"/>
          <w:tab w:val="left" w:pos="993"/>
        </w:tabs>
        <w:ind w:left="0" w:firstLine="709"/>
        <w:rPr>
          <w:b w:val="0"/>
        </w:rPr>
      </w:pPr>
      <w:r w:rsidRPr="00F04E89">
        <w:rPr>
          <w:b w:val="0"/>
        </w:rPr>
        <w:t>Siūloma papildyti VTAĮ 27 straipsnį nauja 5 dalimi. Atkreiptinas dėmesys, kad šiuo metu galiojančiose Vartojimo ginčų neteisminio sprendimo procedūros taisyklėse nėra nustatyta tvarka, kaip turi būti nustatomos vartojimo ginčus nagrinėjančios institucijos ginčo nagrinėjimo išlaidos.</w:t>
      </w:r>
    </w:p>
    <w:p w14:paraId="3080AAF8" w14:textId="77777777" w:rsidR="00F04E89" w:rsidRPr="00F04E89" w:rsidRDefault="00F04E89" w:rsidP="00A06F6E">
      <w:pPr>
        <w:tabs>
          <w:tab w:val="left" w:pos="993"/>
        </w:tabs>
        <w:ind w:firstLine="709"/>
        <w:rPr>
          <w:b w:val="0"/>
        </w:rPr>
      </w:pPr>
    </w:p>
    <w:p w14:paraId="285FC832" w14:textId="77777777" w:rsidR="00F04E89" w:rsidRPr="00F04E89" w:rsidRDefault="00F04E89" w:rsidP="00F04E89">
      <w:pPr>
        <w:tabs>
          <w:tab w:val="left" w:pos="993"/>
        </w:tabs>
        <w:spacing w:line="276" w:lineRule="auto"/>
        <w:ind w:firstLine="567"/>
        <w:rPr>
          <w:b w:val="0"/>
        </w:rPr>
      </w:pPr>
    </w:p>
    <w:p w14:paraId="1688A492" w14:textId="77777777" w:rsidR="00F04E89" w:rsidRPr="00F04E89" w:rsidRDefault="00F04E89" w:rsidP="00F04E89">
      <w:pPr>
        <w:tabs>
          <w:tab w:val="left" w:pos="993"/>
        </w:tabs>
        <w:spacing w:line="276" w:lineRule="auto"/>
        <w:ind w:firstLine="567"/>
        <w:rPr>
          <w:b w:val="0"/>
        </w:rPr>
      </w:pPr>
    </w:p>
    <w:p w14:paraId="078600BE" w14:textId="1874126F" w:rsidR="0066746A" w:rsidRPr="00F04E89" w:rsidRDefault="0066746A" w:rsidP="00F04E89">
      <w:pPr>
        <w:tabs>
          <w:tab w:val="left" w:pos="993"/>
        </w:tabs>
        <w:spacing w:line="276" w:lineRule="auto"/>
        <w:ind w:firstLine="567"/>
        <w:rPr>
          <w:b w:val="0"/>
        </w:rPr>
      </w:pPr>
    </w:p>
    <w:p w14:paraId="37F3F84D" w14:textId="77777777" w:rsidR="002332D4" w:rsidRPr="00F04E89" w:rsidRDefault="002332D4" w:rsidP="00F04E89">
      <w:pPr>
        <w:tabs>
          <w:tab w:val="left" w:pos="993"/>
        </w:tabs>
        <w:spacing w:line="276" w:lineRule="auto"/>
        <w:ind w:firstLine="567"/>
        <w:rPr>
          <w:b w:val="0"/>
        </w:rPr>
      </w:pPr>
    </w:p>
    <w:p w14:paraId="40625BC7" w14:textId="6901A348" w:rsidR="007636DF" w:rsidRPr="00F04E89" w:rsidRDefault="007636DF" w:rsidP="00F04E89">
      <w:pPr>
        <w:tabs>
          <w:tab w:val="left" w:pos="993"/>
          <w:tab w:val="left" w:pos="8364"/>
        </w:tabs>
        <w:spacing w:line="276" w:lineRule="auto"/>
        <w:jc w:val="left"/>
        <w:rPr>
          <w:b w:val="0"/>
        </w:rPr>
      </w:pPr>
      <w:r w:rsidRPr="00F04E89">
        <w:rPr>
          <w:b w:val="0"/>
        </w:rPr>
        <w:t>Tarybos pirminink</w:t>
      </w:r>
      <w:r w:rsidR="00C84873" w:rsidRPr="00F04E89">
        <w:rPr>
          <w:b w:val="0"/>
        </w:rPr>
        <w:t>ė</w:t>
      </w:r>
      <w:r w:rsidR="00C84873" w:rsidRPr="00F04E89">
        <w:rPr>
          <w:b w:val="0"/>
        </w:rPr>
        <w:tab/>
        <w:t>Inga Žilienė</w:t>
      </w:r>
    </w:p>
    <w:p w14:paraId="36B4F69C" w14:textId="576596A3" w:rsidR="00477385" w:rsidRPr="00F04E89" w:rsidRDefault="00477385" w:rsidP="00F04E89">
      <w:pPr>
        <w:tabs>
          <w:tab w:val="left" w:pos="993"/>
        </w:tabs>
        <w:spacing w:line="276" w:lineRule="auto"/>
        <w:ind w:firstLine="567"/>
        <w:rPr>
          <w:b w:val="0"/>
        </w:rPr>
      </w:pPr>
    </w:p>
    <w:p w14:paraId="6F50CE7E" w14:textId="33080548" w:rsidR="00477385" w:rsidRPr="00F04E89" w:rsidRDefault="00477385" w:rsidP="00F04E89">
      <w:pPr>
        <w:tabs>
          <w:tab w:val="left" w:pos="993"/>
        </w:tabs>
        <w:spacing w:line="276" w:lineRule="auto"/>
        <w:ind w:firstLine="567"/>
        <w:rPr>
          <w:b w:val="0"/>
        </w:rPr>
      </w:pPr>
    </w:p>
    <w:p w14:paraId="3A131D9F" w14:textId="77777777" w:rsidR="004B0491" w:rsidRPr="00F04E89" w:rsidRDefault="004B0491" w:rsidP="00F04E89">
      <w:pPr>
        <w:tabs>
          <w:tab w:val="left" w:pos="993"/>
        </w:tabs>
        <w:spacing w:line="276" w:lineRule="auto"/>
        <w:ind w:firstLine="567"/>
        <w:rPr>
          <w:b w:val="0"/>
        </w:rPr>
      </w:pPr>
    </w:p>
    <w:p w14:paraId="6C5F8490" w14:textId="276D79FB" w:rsidR="00DD7245" w:rsidRPr="00F04E89" w:rsidRDefault="00DD7245" w:rsidP="00F04E89">
      <w:pPr>
        <w:tabs>
          <w:tab w:val="left" w:pos="993"/>
        </w:tabs>
        <w:spacing w:line="276" w:lineRule="auto"/>
        <w:ind w:firstLine="567"/>
        <w:rPr>
          <w:b w:val="0"/>
        </w:rPr>
      </w:pPr>
    </w:p>
    <w:p w14:paraId="2DED5ACA" w14:textId="05C0D19A" w:rsidR="00DD7245" w:rsidRPr="00F04E89" w:rsidRDefault="00DD7245" w:rsidP="00F04E89">
      <w:pPr>
        <w:tabs>
          <w:tab w:val="left" w:pos="993"/>
        </w:tabs>
        <w:spacing w:line="276" w:lineRule="auto"/>
        <w:ind w:firstLine="567"/>
        <w:rPr>
          <w:b w:val="0"/>
        </w:rPr>
      </w:pPr>
    </w:p>
    <w:p w14:paraId="339378D2" w14:textId="77777777" w:rsidR="00F04E89" w:rsidRDefault="00F04E89" w:rsidP="00F04E89">
      <w:pPr>
        <w:pStyle w:val="ListParagraph"/>
        <w:numPr>
          <w:ilvl w:val="0"/>
          <w:numId w:val="7"/>
        </w:numPr>
        <w:tabs>
          <w:tab w:val="left" w:pos="7215"/>
        </w:tabs>
        <w:jc w:val="left"/>
        <w:rPr>
          <w:rStyle w:val="Hyperlink"/>
          <w:bCs/>
          <w:color w:val="auto"/>
        </w:rPr>
      </w:pPr>
      <w:r>
        <w:rPr>
          <w:b w:val="0"/>
          <w:bCs/>
        </w:rPr>
        <w:t xml:space="preserve">V. Matijaškienė, tel. (8 5) 213 3441, el. p. </w:t>
      </w:r>
      <w:hyperlink r:id="rId13" w:history="1">
        <w:r w:rsidRPr="00510A24">
          <w:rPr>
            <w:rStyle w:val="Hyperlink"/>
            <w:b w:val="0"/>
            <w:bCs/>
            <w:color w:val="auto"/>
            <w:u w:val="none"/>
          </w:rPr>
          <w:t>ana.matijaskiene@vert.lt</w:t>
        </w:r>
      </w:hyperlink>
      <w:r w:rsidRPr="00510A24">
        <w:rPr>
          <w:rStyle w:val="Hyperlink"/>
          <w:b w:val="0"/>
          <w:bCs/>
          <w:color w:val="auto"/>
          <w:u w:val="none"/>
        </w:rPr>
        <w:tab/>
      </w:r>
    </w:p>
    <w:p w14:paraId="6B605678" w14:textId="7DE2FBF1" w:rsidR="005D0917" w:rsidRPr="00810386" w:rsidRDefault="005D0917" w:rsidP="005D0917">
      <w:pPr>
        <w:spacing w:line="276" w:lineRule="auto"/>
        <w:jc w:val="right"/>
        <w:rPr>
          <w:b w:val="0"/>
          <w:bCs/>
          <w:color w:val="000000"/>
        </w:rPr>
      </w:pPr>
      <w:r>
        <w:rPr>
          <w:noProof/>
        </w:rPr>
        <w:drawing>
          <wp:inline distT="0" distB="0" distL="0" distR="0" wp14:anchorId="6FD435CA" wp14:editId="3B208A2F">
            <wp:extent cx="1590040" cy="633730"/>
            <wp:effectExtent l="0" t="0" r="0" b="0"/>
            <wp:docPr id="3" name="Picture 3" descr="C:\Users\i.cerepokiene\Desktop\iso_big.png"/>
            <wp:cNvGraphicFramePr/>
            <a:graphic xmlns:a="http://schemas.openxmlformats.org/drawingml/2006/main">
              <a:graphicData uri="http://schemas.openxmlformats.org/drawingml/2006/picture">
                <pic:pic xmlns:pic="http://schemas.openxmlformats.org/drawingml/2006/picture">
                  <pic:nvPicPr>
                    <pic:cNvPr id="3" name="Picture 3" descr="C:\Users\i.cerepokiene\Desktop\iso_big.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040" cy="633730"/>
                    </a:xfrm>
                    <a:prstGeom prst="rect">
                      <a:avLst/>
                    </a:prstGeom>
                    <a:noFill/>
                    <a:ln>
                      <a:noFill/>
                    </a:ln>
                  </pic:spPr>
                </pic:pic>
              </a:graphicData>
            </a:graphic>
          </wp:inline>
        </w:drawing>
      </w:r>
      <w:r>
        <w:rPr>
          <w:b w:val="0"/>
          <w:bCs/>
          <w:color w:val="000000"/>
        </w:rPr>
        <w:t xml:space="preserve">   </w:t>
      </w:r>
      <w:r>
        <w:rPr>
          <w:rFonts w:ascii="Calibri" w:hAnsi="Calibri"/>
          <w:noProof/>
          <w:color w:val="000000"/>
          <w:sz w:val="21"/>
          <w:szCs w:val="21"/>
          <w:lang w:eastAsia="lt-LT"/>
        </w:rPr>
        <w:drawing>
          <wp:inline distT="0" distB="0" distL="0" distR="0" wp14:anchorId="07E837A1" wp14:editId="72AABE54">
            <wp:extent cx="839295" cy="633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9295" cy="633600"/>
                    </a:xfrm>
                    <a:prstGeom prst="rect">
                      <a:avLst/>
                    </a:prstGeom>
                  </pic:spPr>
                </pic:pic>
              </a:graphicData>
            </a:graphic>
          </wp:inline>
        </w:drawing>
      </w:r>
    </w:p>
    <w:sectPr w:rsidR="005D0917" w:rsidRPr="00810386" w:rsidSect="00210FB6">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pgNumType w:start="1"/>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C343B" w14:textId="77777777" w:rsidR="00171A8C" w:rsidRDefault="00171A8C">
      <w:r>
        <w:separator/>
      </w:r>
    </w:p>
  </w:endnote>
  <w:endnote w:type="continuationSeparator" w:id="0">
    <w:p w14:paraId="0F3E8A07" w14:textId="77777777" w:rsidR="00171A8C" w:rsidRDefault="0017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00EC" w14:textId="77777777" w:rsidR="003C0A3E" w:rsidRDefault="003C0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8600ED" w14:textId="77777777" w:rsidR="003C0A3E" w:rsidRDefault="003C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B958" w14:textId="77777777" w:rsidR="005D0917" w:rsidRPr="00A53453" w:rsidRDefault="005D0917" w:rsidP="00A53453">
    <w:pPr>
      <w:pStyle w:val="Footer"/>
      <w:jc w:val="center"/>
      <w:rPr>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00EE" w14:textId="3F096E4E" w:rsidR="003C0A3E" w:rsidRPr="005D0917" w:rsidRDefault="003C0A3E" w:rsidP="005D0917">
    <w:pPr>
      <w:pStyle w:val="Footer"/>
      <w:jc w:val="center"/>
      <w:rPr>
        <w:b w:val="0"/>
        <w:bCs/>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256F0" w14:textId="77777777" w:rsidR="00171A8C" w:rsidRDefault="00171A8C">
      <w:r>
        <w:separator/>
      </w:r>
    </w:p>
  </w:footnote>
  <w:footnote w:type="continuationSeparator" w:id="0">
    <w:p w14:paraId="7EB7AC5F" w14:textId="77777777" w:rsidR="00171A8C" w:rsidRDefault="0017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933727"/>
      <w:docPartObj>
        <w:docPartGallery w:val="Page Numbers (Top of Page)"/>
        <w:docPartUnique/>
      </w:docPartObj>
    </w:sdtPr>
    <w:sdtEndPr>
      <w:rPr>
        <w:b w:val="0"/>
        <w:bCs/>
      </w:rPr>
    </w:sdtEndPr>
    <w:sdtContent>
      <w:p w14:paraId="5B9E9A26" w14:textId="643F2CD2" w:rsidR="005D0917" w:rsidRPr="005D0917" w:rsidRDefault="005D0917" w:rsidP="005D0917">
        <w:pPr>
          <w:pStyle w:val="Header"/>
          <w:jc w:val="center"/>
          <w:rPr>
            <w:b w:val="0"/>
            <w:bCs/>
          </w:rPr>
        </w:pPr>
        <w:r w:rsidRPr="005D0917">
          <w:rPr>
            <w:b w:val="0"/>
            <w:bCs/>
          </w:rPr>
          <w:fldChar w:fldCharType="begin"/>
        </w:r>
        <w:r w:rsidRPr="005D0917">
          <w:rPr>
            <w:b w:val="0"/>
            <w:bCs/>
          </w:rPr>
          <w:instrText>PAGE   \* MERGEFORMAT</w:instrText>
        </w:r>
        <w:r w:rsidRPr="005D0917">
          <w:rPr>
            <w:b w:val="0"/>
            <w:bCs/>
          </w:rPr>
          <w:fldChar w:fldCharType="separate"/>
        </w:r>
        <w:r w:rsidRPr="005D0917">
          <w:rPr>
            <w:b w:val="0"/>
            <w:bCs/>
          </w:rPr>
          <w:t>2</w:t>
        </w:r>
        <w:r w:rsidRPr="005D0917">
          <w:rPr>
            <w:b w:val="0"/>
            <w:bC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25DE" w14:textId="77777777" w:rsidR="005D0917" w:rsidRPr="005D0917" w:rsidRDefault="005D0917" w:rsidP="005D0917">
    <w:pPr>
      <w:pStyle w:val="Header"/>
      <w:jc w:val="center"/>
      <w:rPr>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B11FF"/>
    <w:multiLevelType w:val="hybridMultilevel"/>
    <w:tmpl w:val="AA52A272"/>
    <w:lvl w:ilvl="0" w:tplc="2F5AF64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0435C7E"/>
    <w:multiLevelType w:val="hybridMultilevel"/>
    <w:tmpl w:val="8D3CB35E"/>
    <w:lvl w:ilvl="0" w:tplc="1E5866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A595EDF"/>
    <w:multiLevelType w:val="hybridMultilevel"/>
    <w:tmpl w:val="390E28B4"/>
    <w:lvl w:ilvl="0" w:tplc="8BF6FDC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2897F45"/>
    <w:multiLevelType w:val="hybridMultilevel"/>
    <w:tmpl w:val="966AFF8C"/>
    <w:lvl w:ilvl="0" w:tplc="6C3A8C26">
      <w:start w:val="1"/>
      <w:numFmt w:val="upperLetter"/>
      <w:lvlText w:val="%1."/>
      <w:lvlJc w:val="left"/>
      <w:pPr>
        <w:ind w:left="720" w:hanging="360"/>
      </w:pPr>
      <w:rPr>
        <w:b w:val="0"/>
        <w:bCs w:val="0"/>
        <w:strike w:val="0"/>
        <w:dstrike w:val="0"/>
        <w:color w:val="000000"/>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87F2568"/>
    <w:multiLevelType w:val="multilevel"/>
    <w:tmpl w:val="5F2C7C2C"/>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756F6B1B"/>
    <w:multiLevelType w:val="hybridMultilevel"/>
    <w:tmpl w:val="1EBEAE6E"/>
    <w:lvl w:ilvl="0" w:tplc="82D00F1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 w15:restartNumberingAfterBreak="0">
    <w:nsid w:val="78ED60FB"/>
    <w:multiLevelType w:val="multilevel"/>
    <w:tmpl w:val="84A416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6F"/>
    <w:rsid w:val="00000A36"/>
    <w:rsid w:val="00010C98"/>
    <w:rsid w:val="000133F3"/>
    <w:rsid w:val="00015EB9"/>
    <w:rsid w:val="0002384D"/>
    <w:rsid w:val="00024F4A"/>
    <w:rsid w:val="00037007"/>
    <w:rsid w:val="000479FD"/>
    <w:rsid w:val="00066C85"/>
    <w:rsid w:val="00074FBA"/>
    <w:rsid w:val="00082869"/>
    <w:rsid w:val="00090EFA"/>
    <w:rsid w:val="00092D93"/>
    <w:rsid w:val="000945AF"/>
    <w:rsid w:val="000A3A31"/>
    <w:rsid w:val="000A75E2"/>
    <w:rsid w:val="000C2147"/>
    <w:rsid w:val="000C3BE9"/>
    <w:rsid w:val="000F283B"/>
    <w:rsid w:val="000F43A6"/>
    <w:rsid w:val="000F556B"/>
    <w:rsid w:val="00100D27"/>
    <w:rsid w:val="001119E7"/>
    <w:rsid w:val="0011603E"/>
    <w:rsid w:val="001213E7"/>
    <w:rsid w:val="00130221"/>
    <w:rsid w:val="00133E74"/>
    <w:rsid w:val="00146466"/>
    <w:rsid w:val="001544E9"/>
    <w:rsid w:val="001626D5"/>
    <w:rsid w:val="0016741A"/>
    <w:rsid w:val="00171A8C"/>
    <w:rsid w:val="00192490"/>
    <w:rsid w:val="00192BFE"/>
    <w:rsid w:val="001A253D"/>
    <w:rsid w:val="001A2EA4"/>
    <w:rsid w:val="001A6F21"/>
    <w:rsid w:val="001B7E35"/>
    <w:rsid w:val="001D126B"/>
    <w:rsid w:val="001D3E5A"/>
    <w:rsid w:val="001E5A68"/>
    <w:rsid w:val="001E65BD"/>
    <w:rsid w:val="001F5467"/>
    <w:rsid w:val="001F5718"/>
    <w:rsid w:val="00210BA4"/>
    <w:rsid w:val="00210FB6"/>
    <w:rsid w:val="00213AC5"/>
    <w:rsid w:val="002260FE"/>
    <w:rsid w:val="00232BF5"/>
    <w:rsid w:val="002332D4"/>
    <w:rsid w:val="00236B4A"/>
    <w:rsid w:val="00247CB5"/>
    <w:rsid w:val="00266727"/>
    <w:rsid w:val="002670D4"/>
    <w:rsid w:val="00267558"/>
    <w:rsid w:val="00275912"/>
    <w:rsid w:val="002772F5"/>
    <w:rsid w:val="002779E8"/>
    <w:rsid w:val="00280F75"/>
    <w:rsid w:val="00297D3F"/>
    <w:rsid w:val="002A1679"/>
    <w:rsid w:val="002A33A4"/>
    <w:rsid w:val="002A7585"/>
    <w:rsid w:val="002B50A4"/>
    <w:rsid w:val="002B6C1D"/>
    <w:rsid w:val="002D253B"/>
    <w:rsid w:val="002D3E55"/>
    <w:rsid w:val="002F60E8"/>
    <w:rsid w:val="002F7693"/>
    <w:rsid w:val="00300FCE"/>
    <w:rsid w:val="00305BDA"/>
    <w:rsid w:val="0030682C"/>
    <w:rsid w:val="00311140"/>
    <w:rsid w:val="00312B5A"/>
    <w:rsid w:val="00317778"/>
    <w:rsid w:val="00323EED"/>
    <w:rsid w:val="00326EE0"/>
    <w:rsid w:val="003345DC"/>
    <w:rsid w:val="00350647"/>
    <w:rsid w:val="00355763"/>
    <w:rsid w:val="00355F1A"/>
    <w:rsid w:val="003906BC"/>
    <w:rsid w:val="003A475C"/>
    <w:rsid w:val="003B3FEB"/>
    <w:rsid w:val="003C0A3E"/>
    <w:rsid w:val="003C0CC5"/>
    <w:rsid w:val="003C2A7F"/>
    <w:rsid w:val="003F2CC0"/>
    <w:rsid w:val="003F4AA1"/>
    <w:rsid w:val="003F63F3"/>
    <w:rsid w:val="0040482F"/>
    <w:rsid w:val="00411031"/>
    <w:rsid w:val="00425449"/>
    <w:rsid w:val="00430C1A"/>
    <w:rsid w:val="0044553F"/>
    <w:rsid w:val="0046472E"/>
    <w:rsid w:val="004654F5"/>
    <w:rsid w:val="00477385"/>
    <w:rsid w:val="00480924"/>
    <w:rsid w:val="00496C7C"/>
    <w:rsid w:val="004975D8"/>
    <w:rsid w:val="004A4BA0"/>
    <w:rsid w:val="004B0491"/>
    <w:rsid w:val="004B120E"/>
    <w:rsid w:val="004B3E3F"/>
    <w:rsid w:val="004D4C64"/>
    <w:rsid w:val="004D6546"/>
    <w:rsid w:val="004F20D7"/>
    <w:rsid w:val="004F68DC"/>
    <w:rsid w:val="004F7574"/>
    <w:rsid w:val="00501E09"/>
    <w:rsid w:val="005021B4"/>
    <w:rsid w:val="0050240D"/>
    <w:rsid w:val="0050419D"/>
    <w:rsid w:val="00511991"/>
    <w:rsid w:val="005173AE"/>
    <w:rsid w:val="00530BBE"/>
    <w:rsid w:val="00540304"/>
    <w:rsid w:val="005601CE"/>
    <w:rsid w:val="005741F2"/>
    <w:rsid w:val="005754E2"/>
    <w:rsid w:val="005921B8"/>
    <w:rsid w:val="005A3FCA"/>
    <w:rsid w:val="005D0917"/>
    <w:rsid w:val="005E492C"/>
    <w:rsid w:val="005E4CE6"/>
    <w:rsid w:val="005F1F76"/>
    <w:rsid w:val="00600C5B"/>
    <w:rsid w:val="00610127"/>
    <w:rsid w:val="00610342"/>
    <w:rsid w:val="0061072A"/>
    <w:rsid w:val="00615FEB"/>
    <w:rsid w:val="00617F10"/>
    <w:rsid w:val="00621A27"/>
    <w:rsid w:val="00624DBA"/>
    <w:rsid w:val="00652753"/>
    <w:rsid w:val="00662580"/>
    <w:rsid w:val="00664B83"/>
    <w:rsid w:val="00664B87"/>
    <w:rsid w:val="00666B80"/>
    <w:rsid w:val="0066746A"/>
    <w:rsid w:val="00667FCE"/>
    <w:rsid w:val="006713CD"/>
    <w:rsid w:val="00676656"/>
    <w:rsid w:val="00680099"/>
    <w:rsid w:val="00690046"/>
    <w:rsid w:val="006932EA"/>
    <w:rsid w:val="006A0159"/>
    <w:rsid w:val="006A1300"/>
    <w:rsid w:val="006A583A"/>
    <w:rsid w:val="006C5839"/>
    <w:rsid w:val="006D51DB"/>
    <w:rsid w:val="006D6995"/>
    <w:rsid w:val="006E0DFF"/>
    <w:rsid w:val="006E5AEA"/>
    <w:rsid w:val="006E76D6"/>
    <w:rsid w:val="006F3A50"/>
    <w:rsid w:val="007034BE"/>
    <w:rsid w:val="007057DA"/>
    <w:rsid w:val="0071217C"/>
    <w:rsid w:val="00723265"/>
    <w:rsid w:val="0072406C"/>
    <w:rsid w:val="00730A6F"/>
    <w:rsid w:val="0073389B"/>
    <w:rsid w:val="0073432D"/>
    <w:rsid w:val="00734B52"/>
    <w:rsid w:val="007529DA"/>
    <w:rsid w:val="007636DF"/>
    <w:rsid w:val="007649DB"/>
    <w:rsid w:val="00770876"/>
    <w:rsid w:val="007713B2"/>
    <w:rsid w:val="0077456E"/>
    <w:rsid w:val="00775381"/>
    <w:rsid w:val="007753E4"/>
    <w:rsid w:val="007831D6"/>
    <w:rsid w:val="00783773"/>
    <w:rsid w:val="007849B7"/>
    <w:rsid w:val="007869FE"/>
    <w:rsid w:val="00790454"/>
    <w:rsid w:val="00790C23"/>
    <w:rsid w:val="007A6855"/>
    <w:rsid w:val="007B3354"/>
    <w:rsid w:val="007C5F9B"/>
    <w:rsid w:val="007D01F0"/>
    <w:rsid w:val="007E05C5"/>
    <w:rsid w:val="007F6072"/>
    <w:rsid w:val="007F626E"/>
    <w:rsid w:val="00803E88"/>
    <w:rsid w:val="00810386"/>
    <w:rsid w:val="00815090"/>
    <w:rsid w:val="008209F7"/>
    <w:rsid w:val="00822AE0"/>
    <w:rsid w:val="008251C4"/>
    <w:rsid w:val="00826693"/>
    <w:rsid w:val="00827271"/>
    <w:rsid w:val="00843B88"/>
    <w:rsid w:val="00847ED0"/>
    <w:rsid w:val="00855719"/>
    <w:rsid w:val="00855819"/>
    <w:rsid w:val="00876BF8"/>
    <w:rsid w:val="008830D0"/>
    <w:rsid w:val="008B2DDD"/>
    <w:rsid w:val="008B4324"/>
    <w:rsid w:val="008D4C10"/>
    <w:rsid w:val="008E0C1E"/>
    <w:rsid w:val="008E274E"/>
    <w:rsid w:val="008E7152"/>
    <w:rsid w:val="008F7DE8"/>
    <w:rsid w:val="009107BC"/>
    <w:rsid w:val="00916211"/>
    <w:rsid w:val="00922CAD"/>
    <w:rsid w:val="0095422C"/>
    <w:rsid w:val="00956A23"/>
    <w:rsid w:val="00956E77"/>
    <w:rsid w:val="00971624"/>
    <w:rsid w:val="00990E4E"/>
    <w:rsid w:val="00994946"/>
    <w:rsid w:val="009B13CC"/>
    <w:rsid w:val="009C0281"/>
    <w:rsid w:val="009C0BF3"/>
    <w:rsid w:val="009C6959"/>
    <w:rsid w:val="009D2483"/>
    <w:rsid w:val="009E3F21"/>
    <w:rsid w:val="009F1282"/>
    <w:rsid w:val="00A01317"/>
    <w:rsid w:val="00A05983"/>
    <w:rsid w:val="00A06F6E"/>
    <w:rsid w:val="00A1248E"/>
    <w:rsid w:val="00A30C6C"/>
    <w:rsid w:val="00A337F3"/>
    <w:rsid w:val="00A37643"/>
    <w:rsid w:val="00A44A5E"/>
    <w:rsid w:val="00A456A6"/>
    <w:rsid w:val="00A53453"/>
    <w:rsid w:val="00A62A70"/>
    <w:rsid w:val="00A7047B"/>
    <w:rsid w:val="00A72A00"/>
    <w:rsid w:val="00A746FC"/>
    <w:rsid w:val="00A803CA"/>
    <w:rsid w:val="00A85D6B"/>
    <w:rsid w:val="00A94ABE"/>
    <w:rsid w:val="00A9634E"/>
    <w:rsid w:val="00AA7116"/>
    <w:rsid w:val="00AB3F78"/>
    <w:rsid w:val="00AB7B4F"/>
    <w:rsid w:val="00AC239A"/>
    <w:rsid w:val="00AC3C77"/>
    <w:rsid w:val="00AD3DDE"/>
    <w:rsid w:val="00AD62D8"/>
    <w:rsid w:val="00AD670F"/>
    <w:rsid w:val="00AF1DF2"/>
    <w:rsid w:val="00AF2EB2"/>
    <w:rsid w:val="00AF49F4"/>
    <w:rsid w:val="00B1343F"/>
    <w:rsid w:val="00B51EE1"/>
    <w:rsid w:val="00B5440B"/>
    <w:rsid w:val="00B64FE0"/>
    <w:rsid w:val="00B66EBA"/>
    <w:rsid w:val="00B721DE"/>
    <w:rsid w:val="00B737E9"/>
    <w:rsid w:val="00B80E39"/>
    <w:rsid w:val="00BA464A"/>
    <w:rsid w:val="00BA52B6"/>
    <w:rsid w:val="00BB0E8A"/>
    <w:rsid w:val="00BC166F"/>
    <w:rsid w:val="00BD280F"/>
    <w:rsid w:val="00BD478E"/>
    <w:rsid w:val="00BE3AE3"/>
    <w:rsid w:val="00BE4221"/>
    <w:rsid w:val="00BF422C"/>
    <w:rsid w:val="00C0770E"/>
    <w:rsid w:val="00C34B45"/>
    <w:rsid w:val="00C41485"/>
    <w:rsid w:val="00C51DA8"/>
    <w:rsid w:val="00C53CE8"/>
    <w:rsid w:val="00C56376"/>
    <w:rsid w:val="00C675E8"/>
    <w:rsid w:val="00C818AB"/>
    <w:rsid w:val="00C82CCA"/>
    <w:rsid w:val="00C83BB9"/>
    <w:rsid w:val="00C84873"/>
    <w:rsid w:val="00C85CF7"/>
    <w:rsid w:val="00CA64AB"/>
    <w:rsid w:val="00CC189E"/>
    <w:rsid w:val="00CC7E97"/>
    <w:rsid w:val="00CE50F2"/>
    <w:rsid w:val="00CE5B29"/>
    <w:rsid w:val="00CF5A09"/>
    <w:rsid w:val="00D0147C"/>
    <w:rsid w:val="00D30A9C"/>
    <w:rsid w:val="00D3299A"/>
    <w:rsid w:val="00D347DC"/>
    <w:rsid w:val="00D40D4E"/>
    <w:rsid w:val="00D5222F"/>
    <w:rsid w:val="00D6118A"/>
    <w:rsid w:val="00D61434"/>
    <w:rsid w:val="00D71B35"/>
    <w:rsid w:val="00D74D0A"/>
    <w:rsid w:val="00D76B52"/>
    <w:rsid w:val="00D77E1A"/>
    <w:rsid w:val="00D814AB"/>
    <w:rsid w:val="00D86B70"/>
    <w:rsid w:val="00D90F69"/>
    <w:rsid w:val="00D9166F"/>
    <w:rsid w:val="00D94128"/>
    <w:rsid w:val="00DA1B99"/>
    <w:rsid w:val="00DA1F51"/>
    <w:rsid w:val="00DA3D40"/>
    <w:rsid w:val="00DA589D"/>
    <w:rsid w:val="00DA5CE8"/>
    <w:rsid w:val="00DB17CA"/>
    <w:rsid w:val="00DB5DF2"/>
    <w:rsid w:val="00DB6371"/>
    <w:rsid w:val="00DC4540"/>
    <w:rsid w:val="00DC5ED8"/>
    <w:rsid w:val="00DD7245"/>
    <w:rsid w:val="00DF5D11"/>
    <w:rsid w:val="00DF5DFE"/>
    <w:rsid w:val="00E01AEC"/>
    <w:rsid w:val="00E03825"/>
    <w:rsid w:val="00E12C8D"/>
    <w:rsid w:val="00E222B3"/>
    <w:rsid w:val="00E27DEB"/>
    <w:rsid w:val="00E328D9"/>
    <w:rsid w:val="00E33D54"/>
    <w:rsid w:val="00E3704B"/>
    <w:rsid w:val="00E438D5"/>
    <w:rsid w:val="00E51EFF"/>
    <w:rsid w:val="00E763F1"/>
    <w:rsid w:val="00E83FBD"/>
    <w:rsid w:val="00EA1B8E"/>
    <w:rsid w:val="00EA66F4"/>
    <w:rsid w:val="00EB1ED6"/>
    <w:rsid w:val="00EB3AD1"/>
    <w:rsid w:val="00EB3C05"/>
    <w:rsid w:val="00EB5506"/>
    <w:rsid w:val="00EC3DF2"/>
    <w:rsid w:val="00ED3D4F"/>
    <w:rsid w:val="00ED733B"/>
    <w:rsid w:val="00ED75C1"/>
    <w:rsid w:val="00F00B36"/>
    <w:rsid w:val="00F04E89"/>
    <w:rsid w:val="00F11C63"/>
    <w:rsid w:val="00F2474E"/>
    <w:rsid w:val="00F27D02"/>
    <w:rsid w:val="00F41B7A"/>
    <w:rsid w:val="00F44009"/>
    <w:rsid w:val="00F451A2"/>
    <w:rsid w:val="00F55C31"/>
    <w:rsid w:val="00F75AC6"/>
    <w:rsid w:val="00F81E59"/>
    <w:rsid w:val="00F82636"/>
    <w:rsid w:val="00F97F68"/>
    <w:rsid w:val="00FA5A57"/>
    <w:rsid w:val="00FB1C82"/>
    <w:rsid w:val="00FC14A9"/>
    <w:rsid w:val="00FC4158"/>
    <w:rsid w:val="00FC470F"/>
    <w:rsid w:val="00FD2D26"/>
    <w:rsid w:val="00FD54D4"/>
    <w:rsid w:val="00FF6F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6009F"/>
  <w15:docId w15:val="{F97FB213-E0EC-4A38-9C1D-01EAA94A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647"/>
    <w:pPr>
      <w:jc w:val="both"/>
    </w:pPr>
    <w:rPr>
      <w:b/>
      <w:sz w:val="24"/>
      <w:szCs w:val="24"/>
      <w:lang w:eastAsia="en-US"/>
    </w:rPr>
  </w:style>
  <w:style w:type="paragraph" w:styleId="Heading1">
    <w:name w:val="heading 1"/>
    <w:basedOn w:val="Normal"/>
    <w:next w:val="Normal"/>
    <w:qFormat/>
    <w:rsid w:val="00C53CE8"/>
    <w:pPr>
      <w:keepNext/>
      <w:jc w:val="left"/>
      <w:outlineLvl w:val="0"/>
    </w:pPr>
    <w:rPr>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3CE8"/>
    <w:pPr>
      <w:tabs>
        <w:tab w:val="center" w:pos="4153"/>
        <w:tab w:val="right" w:pos="8306"/>
      </w:tabs>
    </w:pPr>
  </w:style>
  <w:style w:type="paragraph" w:styleId="Footer">
    <w:name w:val="footer"/>
    <w:basedOn w:val="Normal"/>
    <w:rsid w:val="00C53CE8"/>
    <w:pPr>
      <w:tabs>
        <w:tab w:val="center" w:pos="4153"/>
        <w:tab w:val="right" w:pos="8306"/>
      </w:tabs>
    </w:pPr>
  </w:style>
  <w:style w:type="character" w:styleId="PageNumber">
    <w:name w:val="page number"/>
    <w:basedOn w:val="DefaultParagraphFont"/>
    <w:rsid w:val="00C53CE8"/>
  </w:style>
  <w:style w:type="character" w:styleId="Hyperlink">
    <w:name w:val="Hyperlink"/>
    <w:rsid w:val="00C53CE8"/>
    <w:rPr>
      <w:color w:val="0000FF"/>
      <w:u w:val="single"/>
    </w:rPr>
  </w:style>
  <w:style w:type="paragraph" w:customStyle="1" w:styleId="BodyText1">
    <w:name w:val="Body Text1"/>
    <w:rsid w:val="00C53CE8"/>
    <w:pPr>
      <w:ind w:firstLine="312"/>
      <w:jc w:val="both"/>
    </w:pPr>
    <w:rPr>
      <w:rFonts w:ascii="TimesLT" w:hAnsi="TimesLT"/>
      <w:snapToGrid w:val="0"/>
      <w:lang w:val="en-US" w:eastAsia="en-US"/>
    </w:rPr>
  </w:style>
  <w:style w:type="paragraph" w:styleId="Title">
    <w:name w:val="Title"/>
    <w:basedOn w:val="Normal"/>
    <w:qFormat/>
    <w:rsid w:val="00C53CE8"/>
    <w:pPr>
      <w:spacing w:before="160"/>
      <w:jc w:val="center"/>
    </w:pPr>
    <w:rPr>
      <w:caps/>
      <w:color w:val="000000"/>
    </w:rPr>
  </w:style>
  <w:style w:type="paragraph" w:styleId="BalloonText">
    <w:name w:val="Balloon Text"/>
    <w:basedOn w:val="Normal"/>
    <w:link w:val="BalloonTextChar"/>
    <w:uiPriority w:val="99"/>
    <w:semiHidden/>
    <w:unhideWhenUsed/>
    <w:rsid w:val="00855819"/>
    <w:rPr>
      <w:rFonts w:ascii="Tahoma" w:hAnsi="Tahoma" w:cs="Tahoma"/>
      <w:sz w:val="16"/>
      <w:szCs w:val="16"/>
    </w:rPr>
  </w:style>
  <w:style w:type="character" w:customStyle="1" w:styleId="BalloonTextChar">
    <w:name w:val="Balloon Text Char"/>
    <w:basedOn w:val="DefaultParagraphFont"/>
    <w:link w:val="BalloonText"/>
    <w:uiPriority w:val="99"/>
    <w:semiHidden/>
    <w:rsid w:val="00855819"/>
    <w:rPr>
      <w:rFonts w:ascii="Tahoma" w:hAnsi="Tahoma" w:cs="Tahoma"/>
      <w:b/>
      <w:color w:val="FF0000"/>
      <w:sz w:val="16"/>
      <w:szCs w:val="16"/>
      <w:lang w:eastAsia="en-US"/>
    </w:rPr>
  </w:style>
  <w:style w:type="character" w:styleId="UnresolvedMention">
    <w:name w:val="Unresolved Mention"/>
    <w:basedOn w:val="DefaultParagraphFont"/>
    <w:uiPriority w:val="99"/>
    <w:semiHidden/>
    <w:unhideWhenUsed/>
    <w:rsid w:val="00C82CCA"/>
    <w:rPr>
      <w:color w:val="605E5C"/>
      <w:shd w:val="clear" w:color="auto" w:fill="E1DFDD"/>
    </w:rPr>
  </w:style>
  <w:style w:type="paragraph" w:styleId="ListParagraph">
    <w:name w:val="List Paragraph"/>
    <w:basedOn w:val="Normal"/>
    <w:uiPriority w:val="99"/>
    <w:qFormat/>
    <w:rsid w:val="00024F4A"/>
    <w:pPr>
      <w:ind w:left="720"/>
      <w:contextualSpacing/>
    </w:pPr>
  </w:style>
  <w:style w:type="character" w:customStyle="1" w:styleId="HeaderChar">
    <w:name w:val="Header Char"/>
    <w:basedOn w:val="DefaultParagraphFont"/>
    <w:link w:val="Header"/>
    <w:uiPriority w:val="99"/>
    <w:rsid w:val="005D0917"/>
    <w:rPr>
      <w:b/>
      <w:sz w:val="24"/>
      <w:szCs w:val="24"/>
      <w:lang w:eastAsia="en-US"/>
    </w:rPr>
  </w:style>
  <w:style w:type="paragraph" w:styleId="FootnoteText">
    <w:name w:val="footnote text"/>
    <w:basedOn w:val="Normal"/>
    <w:link w:val="FootnoteTextChar"/>
    <w:uiPriority w:val="99"/>
    <w:unhideWhenUsed/>
    <w:rsid w:val="001E5A68"/>
    <w:rPr>
      <w:sz w:val="20"/>
      <w:szCs w:val="20"/>
    </w:rPr>
  </w:style>
  <w:style w:type="character" w:customStyle="1" w:styleId="FootnoteTextChar">
    <w:name w:val="Footnote Text Char"/>
    <w:basedOn w:val="DefaultParagraphFont"/>
    <w:link w:val="FootnoteText"/>
    <w:uiPriority w:val="99"/>
    <w:rsid w:val="001E5A68"/>
    <w:rPr>
      <w:b/>
      <w:lang w:eastAsia="en-US"/>
    </w:rPr>
  </w:style>
  <w:style w:type="character" w:styleId="FootnoteReference">
    <w:name w:val="footnote reference"/>
    <w:basedOn w:val="DefaultParagraphFont"/>
    <w:uiPriority w:val="99"/>
    <w:unhideWhenUsed/>
    <w:rsid w:val="001E5A68"/>
    <w:rPr>
      <w:vertAlign w:val="superscript"/>
    </w:rPr>
  </w:style>
  <w:style w:type="character" w:styleId="FollowedHyperlink">
    <w:name w:val="FollowedHyperlink"/>
    <w:basedOn w:val="DefaultParagraphFont"/>
    <w:uiPriority w:val="99"/>
    <w:semiHidden/>
    <w:unhideWhenUsed/>
    <w:rsid w:val="002772F5"/>
    <w:rPr>
      <w:color w:val="800080" w:themeColor="followedHyperlink"/>
      <w:u w:val="single"/>
    </w:rPr>
  </w:style>
  <w:style w:type="character" w:styleId="CommentReference">
    <w:name w:val="annotation reference"/>
    <w:basedOn w:val="DefaultParagraphFont"/>
    <w:uiPriority w:val="99"/>
    <w:semiHidden/>
    <w:unhideWhenUsed/>
    <w:rsid w:val="002779E8"/>
    <w:rPr>
      <w:sz w:val="16"/>
      <w:szCs w:val="16"/>
    </w:rPr>
  </w:style>
  <w:style w:type="paragraph" w:styleId="CommentText">
    <w:name w:val="annotation text"/>
    <w:basedOn w:val="Normal"/>
    <w:link w:val="CommentTextChar"/>
    <w:uiPriority w:val="99"/>
    <w:semiHidden/>
    <w:unhideWhenUsed/>
    <w:rsid w:val="002779E8"/>
    <w:rPr>
      <w:sz w:val="20"/>
      <w:szCs w:val="20"/>
    </w:rPr>
  </w:style>
  <w:style w:type="character" w:customStyle="1" w:styleId="CommentTextChar">
    <w:name w:val="Comment Text Char"/>
    <w:basedOn w:val="DefaultParagraphFont"/>
    <w:link w:val="CommentText"/>
    <w:uiPriority w:val="99"/>
    <w:semiHidden/>
    <w:rsid w:val="002779E8"/>
    <w:rPr>
      <w:b/>
      <w:lang w:eastAsia="en-US"/>
    </w:rPr>
  </w:style>
  <w:style w:type="paragraph" w:styleId="CommentSubject">
    <w:name w:val="annotation subject"/>
    <w:basedOn w:val="CommentText"/>
    <w:next w:val="CommentText"/>
    <w:link w:val="CommentSubjectChar"/>
    <w:uiPriority w:val="99"/>
    <w:semiHidden/>
    <w:unhideWhenUsed/>
    <w:rsid w:val="002779E8"/>
    <w:rPr>
      <w:bCs/>
    </w:rPr>
  </w:style>
  <w:style w:type="character" w:customStyle="1" w:styleId="CommentSubjectChar">
    <w:name w:val="Comment Subject Char"/>
    <w:basedOn w:val="CommentTextChar"/>
    <w:link w:val="CommentSubject"/>
    <w:uiPriority w:val="99"/>
    <w:semiHidden/>
    <w:rsid w:val="002779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040626">
      <w:bodyDiv w:val="1"/>
      <w:marLeft w:val="0"/>
      <w:marRight w:val="0"/>
      <w:marTop w:val="0"/>
      <w:marBottom w:val="0"/>
      <w:divBdr>
        <w:top w:val="none" w:sz="0" w:space="0" w:color="auto"/>
        <w:left w:val="none" w:sz="0" w:space="0" w:color="auto"/>
        <w:bottom w:val="none" w:sz="0" w:space="0" w:color="auto"/>
        <w:right w:val="none" w:sz="0" w:space="0" w:color="auto"/>
      </w:divBdr>
    </w:div>
    <w:div w:id="782073765">
      <w:bodyDiv w:val="1"/>
      <w:marLeft w:val="0"/>
      <w:marRight w:val="0"/>
      <w:marTop w:val="0"/>
      <w:marBottom w:val="0"/>
      <w:divBdr>
        <w:top w:val="none" w:sz="0" w:space="0" w:color="auto"/>
        <w:left w:val="none" w:sz="0" w:space="0" w:color="auto"/>
        <w:bottom w:val="none" w:sz="0" w:space="0" w:color="auto"/>
        <w:right w:val="none" w:sz="0" w:space="0" w:color="auto"/>
      </w:divBdr>
    </w:div>
    <w:div w:id="1181505001">
      <w:bodyDiv w:val="1"/>
      <w:marLeft w:val="0"/>
      <w:marRight w:val="0"/>
      <w:marTop w:val="0"/>
      <w:marBottom w:val="0"/>
      <w:divBdr>
        <w:top w:val="none" w:sz="0" w:space="0" w:color="auto"/>
        <w:left w:val="none" w:sz="0" w:space="0" w:color="auto"/>
        <w:bottom w:val="none" w:sz="0" w:space="0" w:color="auto"/>
        <w:right w:val="none" w:sz="0" w:space="0" w:color="auto"/>
      </w:divBdr>
      <w:divsChild>
        <w:div w:id="526913603">
          <w:marLeft w:val="0"/>
          <w:marRight w:val="0"/>
          <w:marTop w:val="0"/>
          <w:marBottom w:val="0"/>
          <w:divBdr>
            <w:top w:val="none" w:sz="0" w:space="0" w:color="auto"/>
            <w:left w:val="none" w:sz="0" w:space="0" w:color="auto"/>
            <w:bottom w:val="none" w:sz="0" w:space="0" w:color="auto"/>
            <w:right w:val="none" w:sz="0" w:space="0" w:color="auto"/>
          </w:divBdr>
          <w:divsChild>
            <w:div w:id="1014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6257">
      <w:bodyDiv w:val="1"/>
      <w:marLeft w:val="0"/>
      <w:marRight w:val="0"/>
      <w:marTop w:val="0"/>
      <w:marBottom w:val="0"/>
      <w:divBdr>
        <w:top w:val="none" w:sz="0" w:space="0" w:color="auto"/>
        <w:left w:val="none" w:sz="0" w:space="0" w:color="auto"/>
        <w:bottom w:val="none" w:sz="0" w:space="0" w:color="auto"/>
        <w:right w:val="none" w:sz="0" w:space="0" w:color="auto"/>
      </w:divBdr>
    </w:div>
    <w:div w:id="1653948998">
      <w:bodyDiv w:val="1"/>
      <w:marLeft w:val="0"/>
      <w:marRight w:val="0"/>
      <w:marTop w:val="0"/>
      <w:marBottom w:val="0"/>
      <w:divBdr>
        <w:top w:val="none" w:sz="0" w:space="0" w:color="auto"/>
        <w:left w:val="none" w:sz="0" w:space="0" w:color="auto"/>
        <w:bottom w:val="none" w:sz="0" w:space="0" w:color="auto"/>
        <w:right w:val="none" w:sz="0" w:space="0" w:color="auto"/>
      </w:divBdr>
    </w:div>
    <w:div w:id="19420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vert.lt" TargetMode="External"
                 Type="http://schemas.openxmlformats.org/officeDocument/2006/relationships/hyperlink"/>
   <Relationship Id="rId13" Target="mailto:ana.matijaskiene@vert.lt" TargetMode="External"
                 Type="http://schemas.openxmlformats.org/officeDocument/2006/relationships/hyperlink"/>
   <Relationship Id="rId14" Target="media/image2.png"
                 Type="http://schemas.openxmlformats.org/officeDocument/2006/relationships/image"/>
   <Relationship Id="rId15" Target="media/image3.jpeg"
                 Type="http://schemas.openxmlformats.org/officeDocument/2006/relationships/image"/>
   <Relationship Id="rId16" Target="header1.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2.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069_523 xmlns="29e7eb3f-155a-450d-904e-359070550a65" xsi:nil="true"/>
    <Ataskaita xmlns="29e7eb3f-155a-450d-904e-359070550a65">
      <Url xsi:nil="true"/>
      <Description xsi:nil="true"/>
    </Ataskaita>
    <Renginys xmlns="29e7eb3f-155a-450d-904e-359070550a65" xsi:nil="true"/>
    <h xmlns="29e7eb3f-155a-450d-904e-359070550a65">
      <Url xsi:nil="true"/>
      <Description xsi:nil="true"/>
    </h>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54E5161A3754A4196E2DB03BACB7F16" ma:contentTypeVersion="17" ma:contentTypeDescription="Kurkite naują dokumentą." ma:contentTypeScope="" ma:versionID="27b2b7015d7b1d1ceee3a240eb1e6289">
  <xsd:schema xmlns:xsd="http://www.w3.org/2001/XMLSchema" xmlns:xs="http://www.w3.org/2001/XMLSchema" xmlns:p="http://schemas.microsoft.com/office/2006/metadata/properties" xmlns:ns1="http://schemas.microsoft.com/sharepoint/v3" xmlns:ns2="29e7eb3f-155a-450d-904e-359070550a65" xmlns:ns3="5dea7bed-63bd-4b8d-9669-0b4599cc90e9" targetNamespace="http://schemas.microsoft.com/office/2006/metadata/properties" ma:root="true" ma:fieldsID="da9c5f658ef824c778c800254cdd7dcc" ns1:_="" ns2:_="" ns3:_="">
    <xsd:import namespace="http://schemas.microsoft.com/sharepoint/v3"/>
    <xsd:import namespace="29e7eb3f-155a-450d-904e-359070550a65"/>
    <xsd:import namespace="5dea7bed-63bd-4b8d-9669-0b4599cc90e9"/>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element ref="ns3:SharedWithUsers" minOccurs="0"/>
                <xsd:element ref="ns3:SharedWithDetails" minOccurs="0"/>
                <xsd:element ref="ns2:MediaServiceMetadata" minOccurs="0"/>
                <xsd:element ref="ns2:MediaServiceFastMetadata" minOccurs="0"/>
                <xsd:element ref="ns2:h"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7eb3f-155a-450d-904e-359070550a65"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h" ma:index="17" nillable="true" ma:displayName="h" ma:format="Image" ma:internalName="h">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a7bed-63bd-4b8d-9669-0b4599cc90e9"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1147-33B1-48D4-A483-C94B3CAA77BF}">
  <ds:schemaRefs>
    <ds:schemaRef ds:uri="http://schemas.microsoft.com/sharepoint/v3/contenttype/forms"/>
  </ds:schemaRefs>
</ds:datastoreItem>
</file>

<file path=customXml/itemProps2.xml><?xml version="1.0" encoding="utf-8"?>
<ds:datastoreItem xmlns:ds="http://schemas.openxmlformats.org/officeDocument/2006/customXml" ds:itemID="{A6EC58BB-1702-47A1-8405-6E9BFD2B971C}">
  <ds:schemaRefs>
    <ds:schemaRef ds:uri="http://schemas.microsoft.com/office/2006/metadata/properties"/>
    <ds:schemaRef ds:uri="http://schemas.microsoft.com/office/infopath/2007/PartnerControls"/>
    <ds:schemaRef ds:uri="http://schemas.microsoft.com/sharepoint/v3"/>
    <ds:schemaRef ds:uri="29e7eb3f-155a-450d-904e-359070550a65"/>
  </ds:schemaRefs>
</ds:datastoreItem>
</file>

<file path=customXml/itemProps3.xml><?xml version="1.0" encoding="utf-8"?>
<ds:datastoreItem xmlns:ds="http://schemas.openxmlformats.org/officeDocument/2006/customXml" ds:itemID="{6FE4F22D-DB01-4579-9D46-C2B272014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7eb3f-155a-450d-904e-359070550a65"/>
    <ds:schemaRef ds:uri="5dea7bed-63bd-4b8d-9669-0b4599cc9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89782-905F-4C6A-9B3D-6EF072EB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7504</Words>
  <Characters>4278</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VALSTYBINĖ KAINŲ IR ENERGETIKOS KONTROLĖS KOMISIJA</vt:lpstr>
    </vt:vector>
  </TitlesOfParts>
  <Company>KPC</Company>
  <LinksUpToDate>false</LinksUpToDate>
  <CharactersWithSpaces>11759</CharactersWithSpaces>
  <SharedDoc>false</SharedDoc>
  <HLinks>
    <vt:vector size="6" baseType="variant">
      <vt:variant>
        <vt:i4>4980844</vt:i4>
      </vt:variant>
      <vt:variant>
        <vt:i4>0</vt:i4>
      </vt:variant>
      <vt:variant>
        <vt:i4>0</vt:i4>
      </vt:variant>
      <vt:variant>
        <vt:i4>5</vt:i4>
      </vt:variant>
      <vt:variant>
        <vt:lpwstr>mailto:rastine@regula.lt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2020-08-19T13:33:00Z</dcterms:created>
  <dc:creator>Eglė Petraitienė</dc:creator>
  <cp:lastModifiedBy>Ana Viktorija Matijaškienė</cp:lastModifiedBy>
  <cp:lastPrinted>2014-07-29T11:28:00Z</cp:lastPrinted>
  <dcterms:modified xsi:type="dcterms:W3CDTF">2020-08-19T13:33:00Z</dcterms:modified>
  <cp:revision>2</cp:revision>
  <dc:title>VALSTYBINĖ KAINŲ IR ENERGETIKOS KONTROLĖS KOMISIJA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0x010100054E5161A3754A4196E2DB03BACB7F16</vt:lpwstr>
  </property>
</Properties>
</file>