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B1DC6" w14:textId="77777777" w:rsidR="00CF1723" w:rsidRPr="00CF1723" w:rsidRDefault="00CF1723" w:rsidP="00211EE1">
      <w:pPr>
        <w:ind w:right="-1312"/>
        <w:jc w:val="center"/>
        <w:rPr>
          <w:b/>
          <w:caps/>
          <w:sz w:val="24"/>
          <w:szCs w:val="24"/>
        </w:rPr>
      </w:pPr>
      <w:r w:rsidRPr="002B4686">
        <w:rPr>
          <w:b/>
          <w:sz w:val="24"/>
          <w:szCs w:val="24"/>
        </w:rPr>
        <w:t>LIETUVOS RESPUBLIKOS</w:t>
      </w:r>
      <w:r>
        <w:rPr>
          <w:b/>
          <w:caps/>
          <w:sz w:val="24"/>
          <w:szCs w:val="24"/>
        </w:rPr>
        <w:t xml:space="preserve"> </w:t>
      </w:r>
      <w:r w:rsidRPr="002B4686">
        <w:rPr>
          <w:b/>
          <w:bCs/>
          <w:sz w:val="24"/>
          <w:szCs w:val="24"/>
        </w:rPr>
        <w:t xml:space="preserve">TRANSPORTO VEIKLOS PAGRINDŲ ĮSTATYMO NR. I-1863 </w:t>
      </w:r>
    </w:p>
    <w:p w14:paraId="254B1DC7" w14:textId="22BCB79C" w:rsidR="00CF1723" w:rsidRPr="002B4686" w:rsidRDefault="00CF1723" w:rsidP="00211EE1">
      <w:pPr>
        <w:ind w:right="-1312"/>
        <w:jc w:val="center"/>
        <w:rPr>
          <w:b/>
          <w:bCs/>
          <w:sz w:val="24"/>
          <w:szCs w:val="24"/>
        </w:rPr>
      </w:pPr>
      <w:r>
        <w:rPr>
          <w:b/>
          <w:bCs/>
          <w:sz w:val="24"/>
          <w:szCs w:val="24"/>
        </w:rPr>
        <w:t>3, 5</w:t>
      </w:r>
      <w:r w:rsidR="0000289B">
        <w:rPr>
          <w:b/>
          <w:bCs/>
          <w:sz w:val="24"/>
          <w:szCs w:val="24"/>
        </w:rPr>
        <w:t>, 11</w:t>
      </w:r>
      <w:r w:rsidR="00FB4667">
        <w:rPr>
          <w:b/>
          <w:bCs/>
          <w:sz w:val="24"/>
          <w:szCs w:val="24"/>
        </w:rPr>
        <w:t xml:space="preserve"> IR</w:t>
      </w:r>
      <w:r>
        <w:rPr>
          <w:b/>
          <w:bCs/>
          <w:sz w:val="24"/>
          <w:szCs w:val="24"/>
        </w:rPr>
        <w:t xml:space="preserve"> 12 STRAIPSNIŲ</w:t>
      </w:r>
      <w:r w:rsidR="0000289B">
        <w:rPr>
          <w:b/>
          <w:bCs/>
          <w:sz w:val="24"/>
          <w:szCs w:val="24"/>
        </w:rPr>
        <w:t xml:space="preserve"> </w:t>
      </w:r>
      <w:r w:rsidRPr="002B4686">
        <w:rPr>
          <w:b/>
          <w:bCs/>
          <w:sz w:val="24"/>
          <w:szCs w:val="24"/>
        </w:rPr>
        <w:t xml:space="preserve">PAKEITIMO ĮSTATYMO PROJEKTO IR </w:t>
      </w:r>
    </w:p>
    <w:p w14:paraId="254B1DC8" w14:textId="77777777" w:rsidR="00CF1723" w:rsidRPr="002B4686" w:rsidRDefault="00CF1723" w:rsidP="00211EE1">
      <w:pPr>
        <w:ind w:right="-1312"/>
        <w:jc w:val="center"/>
        <w:rPr>
          <w:b/>
          <w:bCs/>
          <w:sz w:val="24"/>
          <w:szCs w:val="24"/>
        </w:rPr>
      </w:pPr>
      <w:r w:rsidRPr="002B4686">
        <w:rPr>
          <w:b/>
          <w:bCs/>
          <w:sz w:val="24"/>
          <w:szCs w:val="24"/>
        </w:rPr>
        <w:t>LIETUVOS RESPUBLIKOS GELEŽINKELIŲ TRANSPORTO KODEKSO</w:t>
      </w:r>
    </w:p>
    <w:p w14:paraId="254B1DC9" w14:textId="3CDCA1F5" w:rsidR="00CF1723" w:rsidRDefault="00CF1723" w:rsidP="00211EE1">
      <w:pPr>
        <w:ind w:right="-1312"/>
        <w:jc w:val="center"/>
        <w:rPr>
          <w:b/>
          <w:bCs/>
          <w:sz w:val="24"/>
          <w:szCs w:val="24"/>
        </w:rPr>
      </w:pPr>
      <w:r w:rsidRPr="002B4686">
        <w:rPr>
          <w:b/>
          <w:bCs/>
          <w:sz w:val="24"/>
          <w:szCs w:val="24"/>
        </w:rPr>
        <w:t xml:space="preserve"> 3</w:t>
      </w:r>
      <w:r>
        <w:rPr>
          <w:b/>
          <w:bCs/>
          <w:sz w:val="24"/>
          <w:szCs w:val="24"/>
        </w:rPr>
        <w:t>, 10</w:t>
      </w:r>
      <w:r>
        <w:rPr>
          <w:b/>
          <w:bCs/>
          <w:sz w:val="24"/>
          <w:szCs w:val="24"/>
          <w:vertAlign w:val="superscript"/>
        </w:rPr>
        <w:t>1</w:t>
      </w:r>
      <w:r>
        <w:rPr>
          <w:b/>
          <w:bCs/>
          <w:sz w:val="24"/>
          <w:szCs w:val="24"/>
        </w:rPr>
        <w:t xml:space="preserve">, </w:t>
      </w:r>
      <w:r w:rsidRPr="002B4686">
        <w:rPr>
          <w:b/>
          <w:bCs/>
          <w:sz w:val="24"/>
          <w:szCs w:val="24"/>
        </w:rPr>
        <w:t>12</w:t>
      </w:r>
      <w:r>
        <w:rPr>
          <w:b/>
          <w:bCs/>
          <w:sz w:val="24"/>
          <w:szCs w:val="24"/>
        </w:rPr>
        <w:t xml:space="preserve"> IR 34 </w:t>
      </w:r>
      <w:r w:rsidRPr="002B4686">
        <w:rPr>
          <w:b/>
          <w:bCs/>
          <w:sz w:val="24"/>
          <w:szCs w:val="24"/>
        </w:rPr>
        <w:t>STRAIPSNIŲ PAKEITIMO</w:t>
      </w:r>
      <w:r w:rsidR="00D70EA6">
        <w:rPr>
          <w:b/>
          <w:bCs/>
          <w:sz w:val="24"/>
          <w:szCs w:val="24"/>
        </w:rPr>
        <w:t xml:space="preserve"> IR</w:t>
      </w:r>
      <w:r>
        <w:rPr>
          <w:b/>
          <w:bCs/>
          <w:sz w:val="24"/>
          <w:szCs w:val="24"/>
        </w:rPr>
        <w:t xml:space="preserve"> KODEKSO PAPILDYMO 12</w:t>
      </w:r>
      <w:r>
        <w:rPr>
          <w:b/>
          <w:bCs/>
          <w:sz w:val="24"/>
          <w:szCs w:val="24"/>
          <w:vertAlign w:val="superscript"/>
        </w:rPr>
        <w:t>1</w:t>
      </w:r>
      <w:r>
        <w:rPr>
          <w:b/>
          <w:bCs/>
          <w:sz w:val="24"/>
          <w:szCs w:val="24"/>
        </w:rPr>
        <w:t xml:space="preserve"> STRAIPSNIU</w:t>
      </w:r>
      <w:r w:rsidRPr="002B4686">
        <w:rPr>
          <w:b/>
          <w:bCs/>
          <w:sz w:val="24"/>
          <w:szCs w:val="24"/>
        </w:rPr>
        <w:t xml:space="preserve"> ĮSTATYMO PROJEKTO </w:t>
      </w:r>
    </w:p>
    <w:p w14:paraId="254B1DCA" w14:textId="77777777" w:rsidR="00CF1723" w:rsidRPr="002B4686" w:rsidRDefault="00CF1723" w:rsidP="00211EE1">
      <w:pPr>
        <w:ind w:right="-1312"/>
        <w:jc w:val="center"/>
        <w:rPr>
          <w:sz w:val="24"/>
          <w:szCs w:val="24"/>
        </w:rPr>
      </w:pPr>
      <w:r>
        <w:rPr>
          <w:b/>
          <w:bCs/>
          <w:sz w:val="24"/>
          <w:szCs w:val="24"/>
        </w:rPr>
        <w:t>DERINIMO PAŽYMA</w:t>
      </w:r>
    </w:p>
    <w:p w14:paraId="254B1DCB" w14:textId="77777777" w:rsidR="005E04B8" w:rsidRDefault="005E04B8"/>
    <w:tbl>
      <w:tblPr>
        <w:tblStyle w:val="Lentelstinklelis"/>
        <w:tblW w:w="14856" w:type="dxa"/>
        <w:tblInd w:w="-714" w:type="dxa"/>
        <w:tblLayout w:type="fixed"/>
        <w:tblLook w:val="04A0" w:firstRow="1" w:lastRow="0" w:firstColumn="1" w:lastColumn="0" w:noHBand="0" w:noVBand="1"/>
      </w:tblPr>
      <w:tblGrid>
        <w:gridCol w:w="1560"/>
        <w:gridCol w:w="5665"/>
        <w:gridCol w:w="7631"/>
      </w:tblGrid>
      <w:tr w:rsidR="00CF1723" w:rsidRPr="00CF1723" w14:paraId="254B1DD0" w14:textId="77777777" w:rsidTr="00D34A80">
        <w:tc>
          <w:tcPr>
            <w:tcW w:w="1560" w:type="dxa"/>
          </w:tcPr>
          <w:p w14:paraId="254B1DCC" w14:textId="77777777" w:rsidR="00CF1723" w:rsidRPr="00CF1723" w:rsidRDefault="00CF1723" w:rsidP="00CF1723">
            <w:pPr>
              <w:jc w:val="center"/>
              <w:rPr>
                <w:color w:val="000000"/>
                <w:sz w:val="24"/>
                <w:szCs w:val="24"/>
                <w:lang w:eastAsia="en-US"/>
              </w:rPr>
            </w:pPr>
            <w:r w:rsidRPr="00CF1723">
              <w:rPr>
                <w:color w:val="000000"/>
                <w:sz w:val="24"/>
                <w:szCs w:val="24"/>
                <w:lang w:eastAsia="en-US"/>
              </w:rPr>
              <w:t>Institucijos pavadinimas,</w:t>
            </w:r>
          </w:p>
          <w:p w14:paraId="254B1DCD" w14:textId="77777777" w:rsidR="00CF1723" w:rsidRPr="00CF1723" w:rsidRDefault="00CF1723" w:rsidP="00CF1723">
            <w:pPr>
              <w:jc w:val="center"/>
              <w:rPr>
                <w:rFonts w:eastAsiaTheme="minorHAnsi"/>
                <w:color w:val="000000"/>
                <w:sz w:val="24"/>
                <w:szCs w:val="24"/>
                <w:lang w:val="en-US" w:eastAsia="en-US"/>
              </w:rPr>
            </w:pPr>
            <w:r w:rsidRPr="00CF1723">
              <w:rPr>
                <w:color w:val="000000"/>
                <w:sz w:val="24"/>
                <w:szCs w:val="24"/>
                <w:lang w:eastAsia="en-US"/>
              </w:rPr>
              <w:t>rašto data ir numeris</w:t>
            </w:r>
          </w:p>
        </w:tc>
        <w:tc>
          <w:tcPr>
            <w:tcW w:w="5665" w:type="dxa"/>
          </w:tcPr>
          <w:p w14:paraId="254B1DCE" w14:textId="77777777" w:rsidR="00CF1723" w:rsidRPr="00CC4FC8" w:rsidRDefault="00CF1723" w:rsidP="00CF1723">
            <w:pPr>
              <w:jc w:val="center"/>
              <w:rPr>
                <w:rFonts w:eastAsiaTheme="minorHAnsi"/>
                <w:color w:val="000000"/>
                <w:sz w:val="24"/>
                <w:szCs w:val="24"/>
                <w:lang w:eastAsia="en-US"/>
              </w:rPr>
            </w:pPr>
            <w:bookmarkStart w:id="0" w:name="_GoBack"/>
            <w:r w:rsidRPr="00CC4FC8">
              <w:rPr>
                <w:rFonts w:eastAsiaTheme="minorHAnsi"/>
                <w:color w:val="000000"/>
                <w:sz w:val="24"/>
                <w:szCs w:val="24"/>
                <w:lang w:eastAsia="en-US"/>
              </w:rPr>
              <w:t>Pastabos ir pasiūlymai</w:t>
            </w:r>
            <w:bookmarkEnd w:id="0"/>
          </w:p>
        </w:tc>
        <w:tc>
          <w:tcPr>
            <w:tcW w:w="7631" w:type="dxa"/>
          </w:tcPr>
          <w:p w14:paraId="254B1DCF" w14:textId="77777777" w:rsidR="00CF1723" w:rsidRPr="00CC4FC8" w:rsidRDefault="00CF1723" w:rsidP="00CF1723">
            <w:pPr>
              <w:rPr>
                <w:rFonts w:eastAsiaTheme="minorHAnsi"/>
                <w:color w:val="000000"/>
                <w:sz w:val="24"/>
                <w:szCs w:val="24"/>
                <w:lang w:eastAsia="en-US"/>
              </w:rPr>
            </w:pPr>
            <w:r w:rsidRPr="00CC4FC8">
              <w:rPr>
                <w:rFonts w:eastAsiaTheme="minorHAnsi"/>
                <w:color w:val="000000"/>
                <w:sz w:val="24"/>
                <w:szCs w:val="24"/>
                <w:lang w:eastAsia="en-US"/>
              </w:rPr>
              <w:t>Argumentai, kodėl  neatsižvelgta arba atsižvelgta iš dalies į pastabas ir pasiūlymus</w:t>
            </w:r>
          </w:p>
        </w:tc>
      </w:tr>
      <w:tr w:rsidR="004D0ABD" w:rsidRPr="00CF1723" w14:paraId="254B1DD8" w14:textId="77777777" w:rsidTr="00D34A80">
        <w:tc>
          <w:tcPr>
            <w:tcW w:w="1560" w:type="dxa"/>
            <w:vMerge w:val="restart"/>
          </w:tcPr>
          <w:p w14:paraId="254B1DD2" w14:textId="3F799C80" w:rsidR="004D0ABD" w:rsidRPr="00CF1723" w:rsidRDefault="004D0ABD" w:rsidP="00FB4667">
            <w:pPr>
              <w:tabs>
                <w:tab w:val="left" w:pos="-9708"/>
                <w:tab w:val="left" w:pos="-9588"/>
              </w:tabs>
              <w:jc w:val="both"/>
              <w:rPr>
                <w:rFonts w:eastAsiaTheme="minorHAnsi"/>
                <w:color w:val="000000"/>
                <w:sz w:val="24"/>
                <w:szCs w:val="24"/>
                <w:lang w:val="en-US" w:eastAsia="en-US"/>
              </w:rPr>
            </w:pPr>
            <w:r w:rsidRPr="00CF1723">
              <w:rPr>
                <w:color w:val="000000" w:themeColor="text1"/>
                <w:sz w:val="24"/>
                <w:szCs w:val="24"/>
              </w:rPr>
              <w:t>Lietuvos savivaldybių asociacijos</w:t>
            </w:r>
            <w:r w:rsidR="00090672">
              <w:rPr>
                <w:color w:val="000000" w:themeColor="text1"/>
                <w:sz w:val="24"/>
                <w:szCs w:val="24"/>
              </w:rPr>
              <w:t xml:space="preserve"> </w:t>
            </w:r>
            <w:r w:rsidRPr="00CF1723">
              <w:rPr>
                <w:sz w:val="24"/>
                <w:szCs w:val="24"/>
                <w:lang w:eastAsia="en-US"/>
              </w:rPr>
              <w:t>2017 m. gegužės 3 d. raštas Nr. (4)-SD-410</w:t>
            </w:r>
          </w:p>
        </w:tc>
        <w:tc>
          <w:tcPr>
            <w:tcW w:w="5665" w:type="dxa"/>
          </w:tcPr>
          <w:p w14:paraId="254B1DD3"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Manome, kad keleivių vežimas turi būti laikomas kombinuotu keleivių vežimu tik tuomet, kai keleiviai ne mažiau kaip 80 procentų maršruto dalies vežami geležinkelių, vidaus vandenų ar jūrų transportu, o likusią maršruto dalį – kelių transporto priemonėmis (Transporto veiklos pagrindų įstatymo 12 straipsnių pakeitimo 2 dalis).</w:t>
            </w:r>
          </w:p>
          <w:p w14:paraId="254B1DD4"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Analogiško 80 procentų reikalavimo siūlome laikyti ir Geležinkelių transporto kodekso 3 straipsnio 23</w:t>
            </w:r>
            <w:r w:rsidRPr="00CF1723">
              <w:rPr>
                <w:rFonts w:eastAsiaTheme="minorHAnsi"/>
                <w:sz w:val="24"/>
                <w:szCs w:val="24"/>
                <w:vertAlign w:val="superscript"/>
                <w:lang w:eastAsia="en-US"/>
              </w:rPr>
              <w:t>1</w:t>
            </w:r>
            <w:r w:rsidRPr="00CF1723">
              <w:rPr>
                <w:rFonts w:eastAsiaTheme="minorHAnsi"/>
                <w:sz w:val="24"/>
                <w:szCs w:val="24"/>
                <w:lang w:eastAsia="en-US"/>
              </w:rPr>
              <w:t xml:space="preserve"> dalyje.</w:t>
            </w:r>
          </w:p>
        </w:tc>
        <w:tc>
          <w:tcPr>
            <w:tcW w:w="7631" w:type="dxa"/>
          </w:tcPr>
          <w:p w14:paraId="254B1DD5" w14:textId="77777777" w:rsidR="004D0ABD" w:rsidRPr="00CF1723" w:rsidRDefault="004D0ABD" w:rsidP="00CF1723">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D6"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Didesnės, t. y. daugiau kaip 50 procentų, maršruto dalies išskyrimas pasirinktas išanalizavus kombinuotojo keleivių vežimo reglamentavimo poreikį siekiant  efektyvinti viešųjų keleivių vežimo geležinkelių transportu paslaugų teikimo sistemą.</w:t>
            </w:r>
          </w:p>
          <w:p w14:paraId="254B1DD7"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Papildomai atkreipiame dėmesį į tai, kad, atsižvelgus į pastabą, Įstatymų projektais siūlomo teisinio reguliavimo tikslai nebus pasiekti.</w:t>
            </w:r>
          </w:p>
        </w:tc>
      </w:tr>
      <w:tr w:rsidR="004D0ABD" w:rsidRPr="00CF1723" w14:paraId="254B1DDE" w14:textId="77777777" w:rsidTr="00D34A80">
        <w:tc>
          <w:tcPr>
            <w:tcW w:w="1560" w:type="dxa"/>
            <w:vMerge/>
          </w:tcPr>
          <w:p w14:paraId="254B1DD9" w14:textId="77777777" w:rsidR="004D0ABD" w:rsidRPr="00CF1723" w:rsidRDefault="004D0ABD" w:rsidP="00CF1723">
            <w:pPr>
              <w:jc w:val="center"/>
              <w:rPr>
                <w:rFonts w:eastAsiaTheme="minorHAnsi"/>
                <w:color w:val="000000"/>
                <w:sz w:val="24"/>
                <w:szCs w:val="24"/>
                <w:lang w:eastAsia="en-US"/>
              </w:rPr>
            </w:pPr>
          </w:p>
        </w:tc>
        <w:tc>
          <w:tcPr>
            <w:tcW w:w="5665" w:type="dxa"/>
          </w:tcPr>
          <w:p w14:paraId="254B1DDA"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Siūlome papildyti Geležinkelių transporto kodekso 12 straipsnio 1 dalį. Vietos savivaldos institucijos ar jų įgaliotos įstaigos valdo ir organizuoja keleivių vežimą vietinio susisiekimo maršrutais, todėl manome, kad Vyriausybės įgaliota institucija prieš sudarydama viešųjų paslaugų teikimo sutartis su geležinkelio įmonėmis turi maršruto trasą iš anksto suderinti su savivaldybių, per kurių teritorijas numatoma maršruto trasa, institucijomis ar jų įgaliotomis įstaigomis (kai maršrutai tęsiasi per ne daugiau kaip dviejų savivaldybių teritorijas) ir Valstybine kelių transporto inspekcija (kai maršruto trasa eina per daugiau kaip dviejų gretimų savivaldybių teritorijas).</w:t>
            </w:r>
          </w:p>
        </w:tc>
        <w:tc>
          <w:tcPr>
            <w:tcW w:w="7631" w:type="dxa"/>
          </w:tcPr>
          <w:p w14:paraId="254B1DDB" w14:textId="77777777" w:rsidR="004D0ABD" w:rsidRPr="00CF1723" w:rsidRDefault="004D0ABD" w:rsidP="00CF1723">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DC"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 xml:space="preserve">Transporto veiklos pagrindų įstatyme Vyriausybė ar jos įgaliota institucija ir (ar) savivaldybių institucijos yra įpareigojamos užtikrinti socialiai būtinų paslaugų teikimą, kiekvienos iš šių institucijų kompetencija organizuojant konkrečios transporto rūšies socialiai būtinos paslaugos teikimą detalizuota Kelių transporto kodekse ir Geležinkelių transporto kodekse (toliau – GTK). </w:t>
            </w:r>
          </w:p>
          <w:p w14:paraId="254B1DDD"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Manytina, kad siekiant užtikrinti kiekvienos iš šių institucijų nepriklausomumą vykdant jai įstatymų pavestas funkcijas, viešųjų paslaugų teikimo sutarčių projektai prieš jas sudarant neturėtų būti derinami su savivaldybės institucijomis ar Lietuvos transporto saugos administracija (reorganizuota Valstybine kelių transporto inspekcija prie Susisiekimo ministerijos).</w:t>
            </w:r>
          </w:p>
        </w:tc>
      </w:tr>
      <w:tr w:rsidR="004D0ABD" w:rsidRPr="00CF1723" w14:paraId="254B1DE4" w14:textId="77777777" w:rsidTr="00D34A80">
        <w:tc>
          <w:tcPr>
            <w:tcW w:w="1560" w:type="dxa"/>
            <w:vMerge/>
          </w:tcPr>
          <w:p w14:paraId="254B1DDF" w14:textId="77777777" w:rsidR="004D0ABD" w:rsidRPr="00CF1723" w:rsidRDefault="004D0ABD" w:rsidP="00CF1723">
            <w:pPr>
              <w:jc w:val="center"/>
              <w:rPr>
                <w:rFonts w:eastAsiaTheme="minorHAnsi"/>
                <w:color w:val="000000"/>
                <w:sz w:val="24"/>
                <w:szCs w:val="24"/>
                <w:lang w:eastAsia="en-US"/>
              </w:rPr>
            </w:pPr>
          </w:p>
        </w:tc>
        <w:tc>
          <w:tcPr>
            <w:tcW w:w="5665" w:type="dxa"/>
          </w:tcPr>
          <w:p w14:paraId="254B1DE0"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 xml:space="preserve">Siūlome patikslinti Geležinkelių transporto kodekso 12 straipsnio 3 dalį: ,,Viešąsias kombinuotojo keleivių vežimo vietiniais maršrutais paslaugas ketinanti teikti geležinkelio įmonė (vežėjas) turi atitikti geležinkelio įmonėms (vežėjams) nustatytus reikalavimus ir Lietuvos Respublikos kelių transporto kodekse nustatytus reikalavimus bei turėti licenciją verstis keleivių vežimu </w:t>
            </w:r>
            <w:r w:rsidRPr="00CF1723">
              <w:rPr>
                <w:rFonts w:eastAsiaTheme="minorHAnsi"/>
                <w:sz w:val="24"/>
                <w:szCs w:val="24"/>
                <w:lang w:eastAsia="en-US"/>
              </w:rPr>
              <w:lastRenderedPageBreak/>
              <w:t>autobusais vidaus maršrutais, suteikiančią teisę vežti keleivius Lietuvos Respublikos teritorijoje &lt;...&gt;“.</w:t>
            </w:r>
          </w:p>
        </w:tc>
        <w:tc>
          <w:tcPr>
            <w:tcW w:w="7631" w:type="dxa"/>
          </w:tcPr>
          <w:p w14:paraId="254B1DE1" w14:textId="77777777" w:rsidR="004D0ABD" w:rsidRPr="00CF1723" w:rsidRDefault="004D0ABD" w:rsidP="00CF1723">
            <w:pPr>
              <w:tabs>
                <w:tab w:val="left" w:pos="-9708"/>
                <w:tab w:val="left" w:pos="-9588"/>
              </w:tabs>
              <w:jc w:val="both"/>
              <w:rPr>
                <w:b/>
                <w:color w:val="000000" w:themeColor="text1"/>
                <w:sz w:val="24"/>
                <w:szCs w:val="24"/>
              </w:rPr>
            </w:pPr>
            <w:r w:rsidRPr="00CF1723">
              <w:rPr>
                <w:b/>
                <w:color w:val="000000" w:themeColor="text1"/>
                <w:sz w:val="24"/>
                <w:szCs w:val="24"/>
              </w:rPr>
              <w:lastRenderedPageBreak/>
              <w:t>Neatsižvelgta.</w:t>
            </w:r>
          </w:p>
          <w:p w14:paraId="254B1DE2"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Kadangi Kelių transporto kodekso 8 straipsnio 2 dalyje yra nustatytos kelios licencijų, kurias įgijus vežėjui suteikiama teisė vežti keleivius autobusais Lietuvos Respublikoje, rūšys, siekiant išvengti vežėjų konkurencijos ribojimo, GTK pakeitimo įstatymo projekte nustatyti tik vieną iš galimų licencijų rūšių netikslinga.</w:t>
            </w:r>
          </w:p>
          <w:p w14:paraId="254B1DE3" w14:textId="6C551411"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 xml:space="preserve">Kadangi Kelių transporto kodekse geležinkelio įmonėms (vežėjams) </w:t>
            </w:r>
            <w:r w:rsidRPr="00CF1723">
              <w:rPr>
                <w:color w:val="000000" w:themeColor="text1"/>
                <w:sz w:val="24"/>
                <w:szCs w:val="24"/>
              </w:rPr>
              <w:lastRenderedPageBreak/>
              <w:t>reikalavimų nenustatyta, GTK pakeitimo įstatymo projekte nustatyti, kad geležinkelio įmonė (vežėjas) turi atitikti Kelių transporto kodekse nustatytus reikalavimus</w:t>
            </w:r>
            <w:r w:rsidR="00D70EA6">
              <w:rPr>
                <w:color w:val="000000" w:themeColor="text1"/>
                <w:sz w:val="24"/>
                <w:szCs w:val="24"/>
              </w:rPr>
              <w:t>,</w:t>
            </w:r>
            <w:r w:rsidRPr="00CF1723">
              <w:rPr>
                <w:color w:val="000000" w:themeColor="text1"/>
                <w:sz w:val="24"/>
                <w:szCs w:val="24"/>
              </w:rPr>
              <w:t xml:space="preserve"> netikslinga.</w:t>
            </w:r>
          </w:p>
        </w:tc>
      </w:tr>
      <w:tr w:rsidR="002B2A4C" w:rsidRPr="00CF1723" w14:paraId="254B1DEB" w14:textId="77777777" w:rsidTr="00D34A80">
        <w:tc>
          <w:tcPr>
            <w:tcW w:w="1560" w:type="dxa"/>
            <w:vMerge w:val="restart"/>
          </w:tcPr>
          <w:p w14:paraId="254B1DE5" w14:textId="77777777" w:rsidR="002B2A4C" w:rsidRPr="00696F59" w:rsidRDefault="002B2A4C" w:rsidP="00696F59">
            <w:pPr>
              <w:jc w:val="both"/>
              <w:rPr>
                <w:rFonts w:eastAsiaTheme="minorHAnsi"/>
                <w:color w:val="000000"/>
                <w:sz w:val="24"/>
                <w:szCs w:val="24"/>
                <w:lang w:eastAsia="en-US"/>
              </w:rPr>
            </w:pPr>
            <w:r w:rsidRPr="00696F59">
              <w:rPr>
                <w:rFonts w:eastAsiaTheme="minorHAnsi"/>
                <w:sz w:val="24"/>
                <w:szCs w:val="24"/>
                <w:lang w:eastAsia="en-US"/>
              </w:rPr>
              <w:lastRenderedPageBreak/>
              <w:t>Lietuvos nacionalinės vežėjų automobiliais asociacijos ,,Linava“    2017 m. gegužės 3 d. raštas Nr. S-1239</w:t>
            </w:r>
          </w:p>
        </w:tc>
        <w:tc>
          <w:tcPr>
            <w:tcW w:w="5665" w:type="dxa"/>
          </w:tcPr>
          <w:p w14:paraId="254B1DE6" w14:textId="77777777" w:rsidR="002B2A4C" w:rsidRPr="00CF1723" w:rsidRDefault="002B2A4C" w:rsidP="00CF1723">
            <w:pPr>
              <w:jc w:val="both"/>
              <w:rPr>
                <w:rFonts w:eastAsiaTheme="minorHAnsi"/>
                <w:sz w:val="24"/>
                <w:szCs w:val="24"/>
                <w:lang w:eastAsia="en-US"/>
              </w:rPr>
            </w:pPr>
            <w:r w:rsidRPr="00CF1723">
              <w:rPr>
                <w:rFonts w:eastAsiaTheme="minorHAnsi"/>
                <w:sz w:val="24"/>
                <w:szCs w:val="24"/>
                <w:lang w:eastAsia="en-US"/>
              </w:rPr>
              <w:t>Manoma, kad minėtų įstatymų nuostatos yra svarbios ir reikšmingos ne tik geležinkelių, bet ir kelių transporto verslui ir visuomenei. Todėl manytume, kad Projektų svarstymui būtina skirti daugiau dėmesio ir laiko. Tokios svarbos įstatymų projektai jau jų rengimo stadijoje turėtų būti prieinami transporto specialistams ir asocijuotoms struktūroms, nes parengtiems projektams svarstyti ir pasiūlymams teikti numatytas labai trumpas laikotarpis. Projektuose siūloma įtvirtinti kombinuoto transporto sąvoką, kuri ES reglamentuose ir direktyvose iš esmės taikoma krovininio transporto sektoriui. Akivaizdu, kad leidimus Projektuose siūlomai kombinuotojo keleivių vežimo vietiniais maršrutais paslaugai teikti išduos Valstybinė kelių transporto inspekcija (kuri sujungiama su Valstybine geležinkelių inspekcija), tačiau tokio maršruto dalis, kuri bus vykdoma kelių transportu, neretai bus dubliuojama su vietinio susiseikimo maršrutais, kuriems leidimus išduoda savivaldybės. Tai iššauks prieštaravimus tarp savivaldybių ir Valstybinės kelių transporto inspekcijos, o transportas bus naudojamas neoptimaliai.</w:t>
            </w:r>
          </w:p>
        </w:tc>
        <w:tc>
          <w:tcPr>
            <w:tcW w:w="7631" w:type="dxa"/>
          </w:tcPr>
          <w:p w14:paraId="254B1DE7" w14:textId="77777777" w:rsidR="002B2A4C" w:rsidRPr="00CF1723" w:rsidRDefault="002B2A4C" w:rsidP="00CF1723">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E8" w14:textId="77777777" w:rsidR="002B2A4C" w:rsidRPr="00CF1723" w:rsidRDefault="002B2A4C" w:rsidP="00CF1723">
            <w:pPr>
              <w:tabs>
                <w:tab w:val="left" w:pos="-9708"/>
                <w:tab w:val="left" w:pos="-9588"/>
              </w:tabs>
              <w:jc w:val="both"/>
              <w:rPr>
                <w:color w:val="000000" w:themeColor="text1"/>
                <w:sz w:val="24"/>
                <w:szCs w:val="24"/>
              </w:rPr>
            </w:pPr>
            <w:r w:rsidRPr="00CF1723">
              <w:rPr>
                <w:color w:val="000000" w:themeColor="text1"/>
                <w:sz w:val="24"/>
                <w:szCs w:val="24"/>
              </w:rPr>
              <w:t xml:space="preserve">Įstatymų projektai rengiami vadovaujantis teisėkūros atvirumo ir skaidrumo principais, t. y. Įstatymų projektai paskelbti Teisės aktų projektų informacinėje sistemoje, Įstatymų projektų lydimuosiuose dokumentuose nurodyti siūlomo teisinio reguliavimo </w:t>
            </w:r>
            <w:r w:rsidRPr="00CF1723">
              <w:rPr>
                <w:color w:val="000000"/>
                <w:sz w:val="24"/>
                <w:szCs w:val="24"/>
              </w:rPr>
              <w:t>poreikis ir teisėkūroje dalyvaujantys subjektai, visuomenei ir interesų grupėms sudarytos sąlygos teikti pasiūlymus dėl teisinio reguliavimo</w:t>
            </w:r>
            <w:r w:rsidRPr="00CF1723">
              <w:rPr>
                <w:color w:val="000000" w:themeColor="text1"/>
                <w:sz w:val="24"/>
                <w:szCs w:val="24"/>
              </w:rPr>
              <w:t xml:space="preserve"> tobulinimo, todėl manome, kad su geležinkelių, kelių transporto verslo ir visuomenės </w:t>
            </w:r>
            <w:r w:rsidRPr="00CF1723">
              <w:rPr>
                <w:color w:val="000000"/>
                <w:sz w:val="24"/>
                <w:szCs w:val="24"/>
              </w:rPr>
              <w:t xml:space="preserve">interesais susiję teisėkūros sprendimai </w:t>
            </w:r>
            <w:r w:rsidRPr="00CF1723">
              <w:rPr>
                <w:color w:val="000000" w:themeColor="text1"/>
                <w:sz w:val="24"/>
                <w:szCs w:val="24"/>
              </w:rPr>
              <w:t xml:space="preserve">rengiami sudarant galimybes dalyvauti suinteresuotiesiems asmenimis. </w:t>
            </w:r>
          </w:p>
          <w:p w14:paraId="254B1DE9" w14:textId="77777777" w:rsidR="002B2A4C" w:rsidRPr="00CF1723" w:rsidRDefault="002B2A4C" w:rsidP="00CF1723">
            <w:pPr>
              <w:tabs>
                <w:tab w:val="left" w:pos="-9708"/>
                <w:tab w:val="left" w:pos="-9588"/>
              </w:tabs>
              <w:jc w:val="both"/>
              <w:rPr>
                <w:color w:val="000000"/>
                <w:sz w:val="24"/>
                <w:szCs w:val="24"/>
              </w:rPr>
            </w:pPr>
            <w:r w:rsidRPr="00CF1723">
              <w:rPr>
                <w:color w:val="000000" w:themeColor="text1"/>
                <w:sz w:val="24"/>
                <w:szCs w:val="24"/>
              </w:rPr>
              <w:t>Dėl pastebėjimo, kad Įstatymų projektams įvertinti buvo pateiktas labai trumpas laikotarpis, pažymime, kad  Įstatymų projektų derinimo terminai nustatyti vadovaujantis Lietuvos Respublikos Vyriausybės darbo reglamento, patvirtinto</w:t>
            </w:r>
            <w:r w:rsidRPr="00CF1723">
              <w:rPr>
                <w:color w:val="000000"/>
                <w:sz w:val="24"/>
                <w:szCs w:val="24"/>
              </w:rPr>
              <w:t xml:space="preserve"> Lietuvos Respublikos Vyriausybės 1994 m. rugpjūčio 11 d. nutarimu  Nr. 728  ,,Dėl Lietuvos Respublikos Vyriausybės darbo reglamento patvirtinimo“, nuostatomis.</w:t>
            </w:r>
          </w:p>
          <w:p w14:paraId="254B1DEA" w14:textId="77777777" w:rsidR="002B2A4C" w:rsidRPr="00CF1723" w:rsidRDefault="002B2A4C" w:rsidP="00CF1723">
            <w:pPr>
              <w:tabs>
                <w:tab w:val="left" w:pos="-9708"/>
                <w:tab w:val="left" w:pos="-9588"/>
              </w:tabs>
              <w:jc w:val="both"/>
              <w:rPr>
                <w:color w:val="000000" w:themeColor="text1"/>
                <w:sz w:val="24"/>
                <w:szCs w:val="24"/>
              </w:rPr>
            </w:pPr>
            <w:r w:rsidRPr="00CF1723">
              <w:rPr>
                <w:color w:val="000000" w:themeColor="text1"/>
                <w:sz w:val="24"/>
                <w:szCs w:val="24"/>
              </w:rPr>
              <w:t>Pažymime, kad GTK pakeitimo įstatymo projektu nėra siūloma nustatyti reikalavimo viešąsias kombinuotojo keleivių vežimo vietiniais maršrutais paslaugas teikiančiai geležinkelio įmonei (vežėjui) įgyti leidimą, kadangi keleivių vežimą kelių transporto priemonėmis numatoma vykdyti specialiaisiais reisais. Atsižvelgiant į tai, prieštaravimų tarp savivaldybių ir Lietuvos transporto saugos administracijos neturėtų iškilti.</w:t>
            </w:r>
          </w:p>
        </w:tc>
      </w:tr>
      <w:tr w:rsidR="002B2A4C" w:rsidRPr="00CF1723" w14:paraId="254B1DF1" w14:textId="77777777" w:rsidTr="00D34A80">
        <w:tc>
          <w:tcPr>
            <w:tcW w:w="1560" w:type="dxa"/>
            <w:vMerge/>
          </w:tcPr>
          <w:p w14:paraId="254B1DEC" w14:textId="77777777" w:rsidR="002B2A4C" w:rsidRPr="00CF1723" w:rsidRDefault="002B2A4C" w:rsidP="00CF1723">
            <w:pPr>
              <w:jc w:val="center"/>
              <w:rPr>
                <w:rFonts w:eastAsiaTheme="minorHAnsi"/>
                <w:color w:val="000000"/>
                <w:sz w:val="24"/>
                <w:szCs w:val="24"/>
                <w:lang w:eastAsia="en-US"/>
              </w:rPr>
            </w:pPr>
          </w:p>
        </w:tc>
        <w:tc>
          <w:tcPr>
            <w:tcW w:w="5665" w:type="dxa"/>
          </w:tcPr>
          <w:p w14:paraId="254B1DED" w14:textId="77777777" w:rsidR="002B2A4C" w:rsidRPr="00CF1723" w:rsidRDefault="002B2A4C" w:rsidP="00CF1723">
            <w:pPr>
              <w:jc w:val="both"/>
              <w:rPr>
                <w:rFonts w:eastAsiaTheme="minorHAnsi"/>
                <w:sz w:val="24"/>
                <w:szCs w:val="24"/>
                <w:lang w:eastAsia="en-US"/>
              </w:rPr>
            </w:pPr>
            <w:r w:rsidRPr="00CF1723">
              <w:rPr>
                <w:rFonts w:eastAsiaTheme="minorHAnsi"/>
                <w:sz w:val="24"/>
                <w:szCs w:val="24"/>
                <w:lang w:eastAsia="en-US"/>
              </w:rPr>
              <w:t xml:space="preserve">Šiuo metu galiojančiuose geležinkelių ir kelių transporto sektorius reglamentuojančiuose teisės aktuose sąvokos ,,vietinio susisiekimo maršrutai“ skiriasi iš esmės, nes geležinkelių transporto vietinio susisiekimo maršrutai atitinka kelių transporto tolimojo susisiekimo maršrutus. Šia pasireiškia dar vienas skirtumas: keleivių vežimas vietiniais maršrutais geležinkelių transportu yra dotuojamas, o keleivių vežimo paslauga tolimojo susisiekimo autobusais nedotuojama. Manome, kad keleivių vežimui autobusais ir traukiniais turi būti užtikrinamos vienodos konkurencinės sąlygos. Todėl būtina numatyti nuostolių kompensavimą ne tik </w:t>
            </w:r>
            <w:r w:rsidRPr="00CF1723">
              <w:rPr>
                <w:rFonts w:eastAsiaTheme="minorHAnsi"/>
                <w:sz w:val="24"/>
                <w:szCs w:val="24"/>
                <w:lang w:eastAsia="en-US"/>
              </w:rPr>
              <w:lastRenderedPageBreak/>
              <w:t>vežėjams geležinkeliu, bet ir vežėjams autobusais tolimojo susisiekimo maršrutuose.</w:t>
            </w:r>
          </w:p>
        </w:tc>
        <w:tc>
          <w:tcPr>
            <w:tcW w:w="7631" w:type="dxa"/>
          </w:tcPr>
          <w:p w14:paraId="254B1DEE" w14:textId="77777777" w:rsidR="002B2A4C" w:rsidRPr="00CF1723" w:rsidRDefault="002B2A4C" w:rsidP="00CF1723">
            <w:pPr>
              <w:tabs>
                <w:tab w:val="left" w:pos="-9708"/>
                <w:tab w:val="left" w:pos="-9588"/>
              </w:tabs>
              <w:jc w:val="both"/>
              <w:rPr>
                <w:b/>
                <w:color w:val="000000" w:themeColor="text1"/>
                <w:sz w:val="24"/>
                <w:szCs w:val="24"/>
              </w:rPr>
            </w:pPr>
            <w:r w:rsidRPr="00CF1723">
              <w:rPr>
                <w:b/>
                <w:color w:val="000000" w:themeColor="text1"/>
                <w:sz w:val="24"/>
                <w:szCs w:val="24"/>
              </w:rPr>
              <w:lastRenderedPageBreak/>
              <w:t>Neatsižvelgta.</w:t>
            </w:r>
          </w:p>
          <w:p w14:paraId="254B1DEF" w14:textId="07A9FB8B" w:rsidR="002B2A4C" w:rsidRPr="00CF1723" w:rsidRDefault="002B2A4C" w:rsidP="00CF1723">
            <w:pPr>
              <w:tabs>
                <w:tab w:val="left" w:pos="-9708"/>
                <w:tab w:val="left" w:pos="-9588"/>
              </w:tabs>
              <w:jc w:val="both"/>
              <w:rPr>
                <w:color w:val="000000" w:themeColor="text1"/>
                <w:sz w:val="24"/>
                <w:szCs w:val="24"/>
              </w:rPr>
            </w:pPr>
            <w:r w:rsidRPr="00CF1723">
              <w:rPr>
                <w:color w:val="000000" w:themeColor="text1"/>
                <w:sz w:val="24"/>
                <w:szCs w:val="24"/>
              </w:rPr>
              <w:t>Atkreiptinas dėmesys, kad nuostolių, patirtų teikiant viešąsias paslaugas, atlyginimas, vadovaujantis 2007 m. spalio 23 d. Europos Parlamento ir Tarybos reglamento (EB) Nr. 1370/2007 dėl keleivinio geležinkelių ir kelių transporto viešųjų paslaugų ir panaikinančio Tarybos reglamentus (EEB) Nr. 1191/69 ir (EEB) Nr. 1107/70 (toliau – Reglamentas (EB) Nr. 1370/2007) priedo taisyklėmis, turi būti nustatytas siekiant užtikrinti bendrus interesus tenkinančių keleivinio transporto viešųjų paslaugų teikimą, kurio, atsižvelgdami į savo komercinius interesus, vežėjai neprisiimtų arba neprisiimtų tokiu mastu ar tokiomis pačiomis sąlygomis negaudami atlygio.</w:t>
            </w:r>
          </w:p>
          <w:p w14:paraId="254B1DF0" w14:textId="77777777" w:rsidR="002B2A4C" w:rsidRPr="00CF1723" w:rsidRDefault="002B2A4C" w:rsidP="00CF1723">
            <w:pPr>
              <w:tabs>
                <w:tab w:val="left" w:pos="-9708"/>
                <w:tab w:val="left" w:pos="-9588"/>
              </w:tabs>
              <w:jc w:val="both"/>
              <w:rPr>
                <w:b/>
                <w:color w:val="000000" w:themeColor="text1"/>
                <w:sz w:val="24"/>
                <w:szCs w:val="24"/>
              </w:rPr>
            </w:pPr>
            <w:r w:rsidRPr="00CF1723">
              <w:rPr>
                <w:color w:val="000000" w:themeColor="text1"/>
                <w:sz w:val="24"/>
                <w:szCs w:val="24"/>
              </w:rPr>
              <w:t xml:space="preserve">Įvertinus keleivių vežimo paslaugų tolimojo susisiekimo autobusais paslaugų teikimo apimtį ir kokybę, egzistuojančią keleivių vežimo paslaugų </w:t>
            </w:r>
            <w:r w:rsidRPr="00CF1723">
              <w:rPr>
                <w:color w:val="000000" w:themeColor="text1"/>
                <w:sz w:val="24"/>
                <w:szCs w:val="24"/>
              </w:rPr>
              <w:lastRenderedPageBreak/>
              <w:t>tolimojo susisiekimo autobusais paslaugas teikiančių vežėjų konkurenciją, manytina, kad kompetentingoms institucijoms netikslinga apibrėžti viešųjų keleivių vežimo paslaugų tolimojo susisiekimo autobusais paslaugų įsipareigojimą ir atitinkamai kompensuoti teikiant tokias viešąsias paslaugas patiriamus vežėjų nuostolius.</w:t>
            </w:r>
          </w:p>
        </w:tc>
      </w:tr>
      <w:tr w:rsidR="002B2A4C" w:rsidRPr="00CF1723" w14:paraId="254B1DF8" w14:textId="77777777" w:rsidTr="00A977B8">
        <w:tc>
          <w:tcPr>
            <w:tcW w:w="1560" w:type="dxa"/>
            <w:vMerge/>
          </w:tcPr>
          <w:p w14:paraId="254B1DF2" w14:textId="77777777" w:rsidR="002B2A4C" w:rsidRPr="00CF1723" w:rsidRDefault="002B2A4C" w:rsidP="00CF1723">
            <w:pPr>
              <w:jc w:val="center"/>
              <w:rPr>
                <w:rFonts w:eastAsiaTheme="minorHAnsi"/>
                <w:color w:val="000000"/>
                <w:sz w:val="24"/>
                <w:szCs w:val="24"/>
                <w:lang w:eastAsia="en-US"/>
              </w:rPr>
            </w:pPr>
          </w:p>
        </w:tc>
        <w:tc>
          <w:tcPr>
            <w:tcW w:w="5665" w:type="dxa"/>
          </w:tcPr>
          <w:p w14:paraId="254B1DF3" w14:textId="77777777" w:rsidR="002B2A4C" w:rsidRPr="00CF1723" w:rsidRDefault="002B2A4C" w:rsidP="00CF1723">
            <w:pPr>
              <w:jc w:val="both"/>
              <w:rPr>
                <w:rFonts w:eastAsiaTheme="minorHAnsi"/>
                <w:sz w:val="24"/>
                <w:szCs w:val="24"/>
                <w:lang w:eastAsia="en-US"/>
              </w:rPr>
            </w:pPr>
            <w:r w:rsidRPr="00CF1723">
              <w:rPr>
                <w:rFonts w:eastAsiaTheme="minorHAnsi"/>
                <w:sz w:val="24"/>
                <w:szCs w:val="24"/>
                <w:lang w:eastAsia="en-US"/>
              </w:rPr>
              <w:t>Geležinkelių transporto kodekso 12 straipsnyje įtvirtinta nuostata, kad Vyriausybės įgaliota institucija geležinkelio įmonę (vežėją) viešosioms paslaugoms teikti parenka konkurso būdu arba tiesiogiai sudarydama viešųjų paslaugų teikimo sutartis pagal Reglamento (EB) Nr. 1370/2007 5 straipsnį be jokių papildomų sąlygų. O ruošiamame Kelių transporto kodekso projekte siūloma iš esmės panaikinti galimybę tiesiogiai sudaryti sutartį su vežėju dėl viešųjų paslaugų teikimo.</w:t>
            </w:r>
          </w:p>
        </w:tc>
        <w:tc>
          <w:tcPr>
            <w:tcW w:w="7631" w:type="dxa"/>
          </w:tcPr>
          <w:p w14:paraId="254B1DF4" w14:textId="77777777" w:rsidR="002B2A4C" w:rsidRPr="00CF1723" w:rsidRDefault="002B2A4C" w:rsidP="004D0ABD">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F5" w14:textId="77777777" w:rsidR="002B2A4C" w:rsidRPr="00CF1723" w:rsidRDefault="002B2A4C" w:rsidP="004D0ABD">
            <w:pPr>
              <w:jc w:val="both"/>
              <w:rPr>
                <w:rFonts w:eastAsiaTheme="minorHAnsi"/>
                <w:color w:val="000000" w:themeColor="text1"/>
                <w:sz w:val="24"/>
                <w:szCs w:val="24"/>
                <w:lang w:eastAsia="en-US"/>
              </w:rPr>
            </w:pPr>
            <w:r w:rsidRPr="00CF1723">
              <w:rPr>
                <w:rFonts w:eastAsiaTheme="minorHAnsi"/>
                <w:color w:val="000000" w:themeColor="text1"/>
                <w:sz w:val="24"/>
                <w:szCs w:val="24"/>
                <w:lang w:eastAsia="en-US"/>
              </w:rPr>
              <w:t xml:space="preserve">Pažymėtina, kad iš Reglamento (EB) Nr. 1370/2007 5 straipsnio nuostatų, kuriomis, </w:t>
            </w:r>
            <w:proofErr w:type="spellStart"/>
            <w:r w:rsidRPr="00CF1723">
              <w:rPr>
                <w:rFonts w:eastAsiaTheme="minorHAnsi"/>
                <w:i/>
                <w:iCs/>
                <w:color w:val="000000" w:themeColor="text1"/>
                <w:sz w:val="24"/>
                <w:szCs w:val="24"/>
                <w:lang w:eastAsia="en-US"/>
              </w:rPr>
              <w:t>inter</w:t>
            </w:r>
            <w:proofErr w:type="spellEnd"/>
            <w:r w:rsidRPr="00CF1723">
              <w:rPr>
                <w:rFonts w:eastAsiaTheme="minorHAnsi"/>
                <w:i/>
                <w:iCs/>
                <w:color w:val="000000" w:themeColor="text1"/>
                <w:sz w:val="24"/>
                <w:szCs w:val="24"/>
                <w:lang w:eastAsia="en-US"/>
              </w:rPr>
              <w:t xml:space="preserve"> </w:t>
            </w:r>
            <w:proofErr w:type="spellStart"/>
            <w:r w:rsidRPr="00CF1723">
              <w:rPr>
                <w:rFonts w:eastAsiaTheme="minorHAnsi"/>
                <w:i/>
                <w:iCs/>
                <w:color w:val="000000" w:themeColor="text1"/>
                <w:sz w:val="24"/>
                <w:szCs w:val="24"/>
                <w:lang w:eastAsia="en-US"/>
              </w:rPr>
              <w:t>alia</w:t>
            </w:r>
            <w:proofErr w:type="spellEnd"/>
            <w:r w:rsidRPr="00CF1723">
              <w:rPr>
                <w:rFonts w:eastAsiaTheme="minorHAnsi"/>
                <w:iCs/>
                <w:color w:val="000000" w:themeColor="text1"/>
                <w:sz w:val="24"/>
                <w:szCs w:val="24"/>
                <w:lang w:eastAsia="en-US"/>
              </w:rPr>
              <w:t>,</w:t>
            </w:r>
            <w:r w:rsidRPr="00CF1723">
              <w:rPr>
                <w:rFonts w:eastAsiaTheme="minorHAnsi"/>
                <w:i/>
                <w:iCs/>
                <w:color w:val="000000" w:themeColor="text1"/>
                <w:sz w:val="24"/>
                <w:szCs w:val="24"/>
                <w:lang w:eastAsia="en-US"/>
              </w:rPr>
              <w:t xml:space="preserve"> </w:t>
            </w:r>
            <w:r w:rsidRPr="00CF1723">
              <w:rPr>
                <w:rFonts w:eastAsiaTheme="minorHAnsi"/>
                <w:color w:val="000000" w:themeColor="text1"/>
                <w:sz w:val="24"/>
                <w:szCs w:val="24"/>
                <w:lang w:eastAsia="en-US"/>
              </w:rPr>
              <w:t xml:space="preserve">nustatyta, kokiais būdais kompetentingos institucijos gali parinkti viešąsias paslaugas teikiantį vežėją, ir Reglamento (EB) Nr. 1370/2007  preambulėje, </w:t>
            </w:r>
            <w:proofErr w:type="spellStart"/>
            <w:r w:rsidRPr="00CF1723">
              <w:rPr>
                <w:rFonts w:eastAsiaTheme="minorHAnsi"/>
                <w:i/>
                <w:iCs/>
                <w:color w:val="000000" w:themeColor="text1"/>
                <w:sz w:val="24"/>
                <w:szCs w:val="24"/>
                <w:lang w:eastAsia="en-US"/>
              </w:rPr>
              <w:t>inter</w:t>
            </w:r>
            <w:proofErr w:type="spellEnd"/>
            <w:r w:rsidRPr="00CF1723">
              <w:rPr>
                <w:rFonts w:eastAsiaTheme="minorHAnsi"/>
                <w:i/>
                <w:iCs/>
                <w:color w:val="000000" w:themeColor="text1"/>
                <w:sz w:val="24"/>
                <w:szCs w:val="24"/>
                <w:lang w:eastAsia="en-US"/>
              </w:rPr>
              <w:t xml:space="preserve"> </w:t>
            </w:r>
            <w:proofErr w:type="spellStart"/>
            <w:r w:rsidRPr="00CF1723">
              <w:rPr>
                <w:rFonts w:eastAsiaTheme="minorHAnsi"/>
                <w:i/>
                <w:iCs/>
                <w:color w:val="000000" w:themeColor="text1"/>
                <w:sz w:val="24"/>
                <w:szCs w:val="24"/>
                <w:lang w:eastAsia="en-US"/>
              </w:rPr>
              <w:t>alia</w:t>
            </w:r>
            <w:proofErr w:type="spellEnd"/>
            <w:r w:rsidRPr="00CF1723">
              <w:rPr>
                <w:rFonts w:eastAsiaTheme="minorHAnsi"/>
                <w:iCs/>
                <w:color w:val="000000" w:themeColor="text1"/>
                <w:sz w:val="24"/>
                <w:szCs w:val="24"/>
                <w:lang w:eastAsia="en-US"/>
              </w:rPr>
              <w:t>,</w:t>
            </w:r>
            <w:r w:rsidRPr="00CF1723">
              <w:rPr>
                <w:rFonts w:eastAsiaTheme="minorHAnsi"/>
                <w:i/>
                <w:iCs/>
                <w:color w:val="000000" w:themeColor="text1"/>
                <w:sz w:val="24"/>
                <w:szCs w:val="24"/>
                <w:lang w:eastAsia="en-US"/>
              </w:rPr>
              <w:t xml:space="preserve"> </w:t>
            </w:r>
            <w:r w:rsidRPr="00CF1723">
              <w:rPr>
                <w:rFonts w:eastAsiaTheme="minorHAnsi"/>
                <w:color w:val="000000" w:themeColor="text1"/>
                <w:sz w:val="24"/>
                <w:szCs w:val="24"/>
                <w:lang w:eastAsia="en-US"/>
              </w:rPr>
              <w:t>jos 5, 18 konstatuojamosiose dalyse, išdėstytų nuostatų matyti, kad galimybė kompetentingoms institucijoms viešąsias paslaugas teikiantį vežėją parinkti ne konkurso būdu, o tiesiogiai sudarant viešųjų paslaugų teikimo sutartį su vidaus operatoriumi ar kitu ūkio subjektu, jei yra Reglamente (EB) Nr. 1370/2007 nustatytos sąlygos, numatyta dėl to, kad keleivių vežimo paslaugos, būtinos siekiant patenkinti visuomenės interesus, turi būti teikiamos ir tais atvejais, kai vežėjams tai komerciškai nenaudinga, taigi, kompetentingos institucijos turi turėti galimybę imtis veiksmų, kuriais būtų užtikrintas šių paslaugų teikimas.</w:t>
            </w:r>
          </w:p>
          <w:p w14:paraId="254B1DF6" w14:textId="77777777" w:rsidR="002B2A4C" w:rsidRPr="00CF1723" w:rsidRDefault="002B2A4C" w:rsidP="004D0ABD">
            <w:pPr>
              <w:jc w:val="both"/>
              <w:rPr>
                <w:rFonts w:eastAsiaTheme="minorHAnsi"/>
                <w:sz w:val="24"/>
                <w:szCs w:val="24"/>
                <w:lang w:eastAsia="en-US"/>
              </w:rPr>
            </w:pPr>
            <w:r w:rsidRPr="00CF1723">
              <w:rPr>
                <w:rFonts w:eastAsiaTheme="minorHAnsi"/>
                <w:color w:val="000000" w:themeColor="text1"/>
                <w:sz w:val="24"/>
                <w:szCs w:val="24"/>
                <w:lang w:eastAsia="en-US"/>
              </w:rPr>
              <w:t>Atsižvelgiant į tai, Lietuvos Respublikos kelių transporto kodekso 7, 8, 11, 16, 17</w:t>
            </w:r>
            <w:r w:rsidRPr="00CF1723">
              <w:rPr>
                <w:rFonts w:eastAsiaTheme="minorHAnsi"/>
                <w:color w:val="000000" w:themeColor="text1"/>
                <w:sz w:val="24"/>
                <w:szCs w:val="24"/>
                <w:vertAlign w:val="superscript"/>
                <w:lang w:eastAsia="en-US"/>
              </w:rPr>
              <w:t>1</w:t>
            </w:r>
            <w:r w:rsidRPr="00CF1723">
              <w:rPr>
                <w:rFonts w:eastAsiaTheme="minorHAnsi"/>
                <w:color w:val="000000" w:themeColor="text1"/>
                <w:sz w:val="24"/>
                <w:szCs w:val="24"/>
                <w:lang w:eastAsia="en-US"/>
              </w:rPr>
              <w:t xml:space="preserve">, 18, 20, 21, 22 straipsnių ir ketvirtojo skirsnio pavadinimo pakeitimo, Kodekso papildymo </w:t>
            </w:r>
            <w:r w:rsidRPr="00CF1723">
              <w:rPr>
                <w:rFonts w:eastAsiaTheme="minorHAnsi"/>
                <w:sz w:val="24"/>
                <w:szCs w:val="24"/>
                <w:lang w:eastAsia="en-US"/>
              </w:rPr>
              <w:t>8</w:t>
            </w:r>
            <w:r w:rsidRPr="00CF1723">
              <w:rPr>
                <w:rFonts w:eastAsiaTheme="minorHAnsi"/>
                <w:sz w:val="24"/>
                <w:szCs w:val="24"/>
                <w:vertAlign w:val="superscript"/>
                <w:lang w:eastAsia="en-US"/>
              </w:rPr>
              <w:t>2</w:t>
            </w:r>
            <w:r w:rsidRPr="00CF1723">
              <w:rPr>
                <w:rFonts w:eastAsiaTheme="minorHAnsi"/>
                <w:sz w:val="24"/>
                <w:szCs w:val="24"/>
                <w:lang w:eastAsia="en-US"/>
              </w:rPr>
              <w:t>, 8</w:t>
            </w:r>
            <w:r w:rsidRPr="00CF1723">
              <w:rPr>
                <w:rFonts w:eastAsiaTheme="minorHAnsi"/>
                <w:sz w:val="24"/>
                <w:szCs w:val="24"/>
                <w:vertAlign w:val="superscript"/>
                <w:lang w:eastAsia="en-US"/>
              </w:rPr>
              <w:t>3</w:t>
            </w:r>
            <w:r w:rsidRPr="00CF1723">
              <w:rPr>
                <w:rFonts w:eastAsiaTheme="minorHAnsi"/>
                <w:sz w:val="24"/>
                <w:szCs w:val="24"/>
                <w:lang w:eastAsia="en-US"/>
              </w:rPr>
              <w:t>, 8</w:t>
            </w:r>
            <w:r w:rsidRPr="00CF1723">
              <w:rPr>
                <w:rFonts w:eastAsiaTheme="minorHAnsi"/>
                <w:sz w:val="24"/>
                <w:szCs w:val="24"/>
                <w:vertAlign w:val="superscript"/>
                <w:lang w:eastAsia="en-US"/>
              </w:rPr>
              <w:t>4</w:t>
            </w:r>
            <w:r w:rsidRPr="00CF1723">
              <w:rPr>
                <w:rFonts w:eastAsiaTheme="minorHAnsi"/>
                <w:sz w:val="24"/>
                <w:szCs w:val="24"/>
                <w:lang w:eastAsia="en-US"/>
              </w:rPr>
              <w:t xml:space="preserve"> straipsniais ir 15 straipsnio pripažinimo netekusiu galios įstatymo projekto</w:t>
            </w:r>
            <w:r w:rsidRPr="00CF1723">
              <w:rPr>
                <w:rFonts w:eastAsiaTheme="minorHAnsi"/>
                <w:color w:val="000000" w:themeColor="text1"/>
                <w:sz w:val="24"/>
                <w:szCs w:val="24"/>
                <w:lang w:eastAsia="en-US"/>
              </w:rPr>
              <w:t xml:space="preserve"> 10 straipsniu keičiamo 17</w:t>
            </w:r>
            <w:r w:rsidRPr="00CF1723">
              <w:rPr>
                <w:rFonts w:eastAsiaTheme="minorHAnsi"/>
                <w:color w:val="000000" w:themeColor="text1"/>
                <w:sz w:val="24"/>
                <w:szCs w:val="24"/>
                <w:vertAlign w:val="superscript"/>
                <w:lang w:eastAsia="en-US"/>
              </w:rPr>
              <w:t>1</w:t>
            </w:r>
            <w:r w:rsidRPr="00CF1723">
              <w:rPr>
                <w:rFonts w:eastAsiaTheme="minorHAnsi"/>
                <w:color w:val="000000" w:themeColor="text1"/>
                <w:sz w:val="24"/>
                <w:szCs w:val="24"/>
                <w:lang w:eastAsia="en-US"/>
              </w:rPr>
              <w:t xml:space="preserve"> straipsnio 2 dalies 2 punkte nustatyta galimybė </w:t>
            </w:r>
            <w:r w:rsidRPr="00CF1723">
              <w:rPr>
                <w:rFonts w:eastAsiaTheme="minorHAnsi"/>
                <w:sz w:val="24"/>
                <w:szCs w:val="24"/>
                <w:lang w:eastAsia="en-US"/>
              </w:rPr>
              <w:t xml:space="preserve">viešųjų paslaugų sutartį </w:t>
            </w:r>
            <w:r w:rsidRPr="00CF1723">
              <w:rPr>
                <w:rFonts w:eastAsiaTheme="minorHAnsi"/>
                <w:sz w:val="24"/>
                <w:szCs w:val="24"/>
              </w:rPr>
              <w:t>dėl viešųjų paslaugų įsipareigojimų vykdymo</w:t>
            </w:r>
            <w:r w:rsidRPr="00CF1723">
              <w:rPr>
                <w:rFonts w:eastAsiaTheme="minorHAnsi"/>
                <w:sz w:val="24"/>
                <w:szCs w:val="24"/>
                <w:lang w:eastAsia="en-US"/>
              </w:rPr>
              <w:t xml:space="preserve"> su vežėju sudaryti tiesiogiai, kai konkurso būdu neįmanoma parinkti vežėjo.</w:t>
            </w:r>
          </w:p>
          <w:p w14:paraId="254B1DF7" w14:textId="77777777" w:rsidR="002B2A4C" w:rsidRPr="00CF1723" w:rsidRDefault="002B2A4C" w:rsidP="004D0ABD">
            <w:pPr>
              <w:tabs>
                <w:tab w:val="left" w:pos="-9708"/>
                <w:tab w:val="left" w:pos="-9588"/>
              </w:tabs>
              <w:jc w:val="both"/>
              <w:rPr>
                <w:color w:val="000000" w:themeColor="text1"/>
                <w:sz w:val="24"/>
                <w:szCs w:val="24"/>
              </w:rPr>
            </w:pPr>
            <w:r w:rsidRPr="00CF1723">
              <w:rPr>
                <w:color w:val="000000" w:themeColor="text1"/>
                <w:sz w:val="24"/>
                <w:szCs w:val="24"/>
              </w:rPr>
              <w:t>Atkreiptinas dėmesys į tai, kad Reglamente (ES) 2016/2338 nustatyta, kad viešųjų paslaugų teikimo sutartys gali būti sudaromos išimtinėmis Reglamente (ES) 2016/2338 numatytomis aplinkybėmis, todėl, manytina, kad papildomų sąlygų GTK pakeitimo įstatymo projekte nustatyti netikslinga.</w:t>
            </w:r>
          </w:p>
        </w:tc>
      </w:tr>
      <w:tr w:rsidR="00CF1723" w:rsidRPr="00CF1723" w14:paraId="254B1DFD" w14:textId="77777777" w:rsidTr="00D34A80">
        <w:tc>
          <w:tcPr>
            <w:tcW w:w="1560" w:type="dxa"/>
          </w:tcPr>
          <w:p w14:paraId="254B1DF9" w14:textId="77777777" w:rsidR="00CF1723" w:rsidRPr="00CF1723" w:rsidRDefault="00CF1723" w:rsidP="00CF1723">
            <w:pPr>
              <w:jc w:val="center"/>
              <w:rPr>
                <w:rFonts w:eastAsiaTheme="minorHAnsi"/>
                <w:color w:val="000000"/>
                <w:sz w:val="24"/>
                <w:szCs w:val="24"/>
                <w:lang w:eastAsia="en-US"/>
              </w:rPr>
            </w:pPr>
          </w:p>
        </w:tc>
        <w:tc>
          <w:tcPr>
            <w:tcW w:w="5665" w:type="dxa"/>
          </w:tcPr>
          <w:p w14:paraId="254B1DFA" w14:textId="77777777" w:rsidR="00CF1723" w:rsidRPr="00CF1723" w:rsidRDefault="00CF1723" w:rsidP="00CF1723">
            <w:pPr>
              <w:jc w:val="both"/>
              <w:rPr>
                <w:rFonts w:eastAsiaTheme="minorHAnsi"/>
                <w:sz w:val="24"/>
                <w:szCs w:val="24"/>
                <w:lang w:eastAsia="en-US"/>
              </w:rPr>
            </w:pPr>
            <w:r w:rsidRPr="00CF1723">
              <w:rPr>
                <w:rFonts w:eastAsiaTheme="minorHAnsi"/>
                <w:sz w:val="24"/>
                <w:szCs w:val="24"/>
                <w:lang w:eastAsia="en-US"/>
              </w:rPr>
              <w:t>Todėl maloniai prašome, atsižvelgiant į mūsų pastabas ir pasiūlymus, sudaryti darbo grupę iš skirtingų transporto rūšių specialistų, kuri detaliai išnagrinėtų teikiamus Projektus ir pasiūlytų logiškus sprendimus.</w:t>
            </w:r>
          </w:p>
        </w:tc>
        <w:tc>
          <w:tcPr>
            <w:tcW w:w="7631" w:type="dxa"/>
          </w:tcPr>
          <w:p w14:paraId="254B1DFB" w14:textId="77777777" w:rsidR="00CF1723" w:rsidRPr="00CF1723" w:rsidRDefault="00CF1723" w:rsidP="004D0ABD">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FC" w14:textId="77777777" w:rsidR="00CF1723" w:rsidRPr="00CF1723" w:rsidRDefault="00CF1723" w:rsidP="004D0ABD">
            <w:pPr>
              <w:tabs>
                <w:tab w:val="left" w:pos="-9708"/>
                <w:tab w:val="left" w:pos="-9588"/>
              </w:tabs>
              <w:jc w:val="both"/>
              <w:rPr>
                <w:color w:val="000000" w:themeColor="text1"/>
                <w:sz w:val="24"/>
                <w:szCs w:val="24"/>
              </w:rPr>
            </w:pPr>
            <w:r w:rsidRPr="00CF1723">
              <w:rPr>
                <w:color w:val="000000" w:themeColor="text1"/>
                <w:sz w:val="24"/>
                <w:szCs w:val="24"/>
              </w:rPr>
              <w:t xml:space="preserve">Įvertinę tai, kad Įstatymų projektais nėra inicijuojami esminiai teisinio reguliavimo pakeitimai, sudaryti darbo grupę Įstatymų projektams parengti netikslinga. </w:t>
            </w:r>
          </w:p>
        </w:tc>
      </w:tr>
      <w:tr w:rsidR="002B2A4C" w:rsidRPr="00CF1723" w14:paraId="254B1E04" w14:textId="77777777" w:rsidTr="00D34A80">
        <w:tc>
          <w:tcPr>
            <w:tcW w:w="1560" w:type="dxa"/>
            <w:vMerge w:val="restart"/>
          </w:tcPr>
          <w:p w14:paraId="254B1DFE" w14:textId="0BAF24ED" w:rsidR="002B2A4C" w:rsidRPr="00CF1723" w:rsidRDefault="002B2A4C" w:rsidP="002160DF">
            <w:pPr>
              <w:jc w:val="both"/>
              <w:rPr>
                <w:rFonts w:eastAsiaTheme="minorHAnsi"/>
                <w:sz w:val="24"/>
                <w:szCs w:val="24"/>
                <w:lang w:eastAsia="en-US"/>
              </w:rPr>
            </w:pPr>
            <w:r w:rsidRPr="00CF1723">
              <w:rPr>
                <w:rFonts w:eastAsiaTheme="minorHAnsi"/>
                <w:sz w:val="24"/>
                <w:szCs w:val="24"/>
                <w:lang w:eastAsia="en-US"/>
              </w:rPr>
              <w:t xml:space="preserve">Lietuvos Respublikos Vyriausybės </w:t>
            </w:r>
            <w:r w:rsidRPr="00CF1723">
              <w:rPr>
                <w:rFonts w:eastAsiaTheme="minorHAnsi"/>
                <w:sz w:val="24"/>
                <w:szCs w:val="24"/>
                <w:lang w:eastAsia="en-US"/>
              </w:rPr>
              <w:lastRenderedPageBreak/>
              <w:t>Teisė</w:t>
            </w:r>
            <w:r>
              <w:rPr>
                <w:rFonts w:eastAsiaTheme="minorHAnsi"/>
                <w:sz w:val="24"/>
                <w:szCs w:val="24"/>
                <w:lang w:eastAsia="en-US"/>
              </w:rPr>
              <w:t>s</w:t>
            </w:r>
            <w:r w:rsidRPr="00CF1723">
              <w:rPr>
                <w:rFonts w:eastAsiaTheme="minorHAnsi"/>
                <w:sz w:val="24"/>
                <w:szCs w:val="24"/>
                <w:lang w:eastAsia="en-US"/>
              </w:rPr>
              <w:t xml:space="preserve"> grupės 201</w:t>
            </w:r>
            <w:r>
              <w:rPr>
                <w:rFonts w:eastAsiaTheme="minorHAnsi"/>
                <w:sz w:val="24"/>
                <w:szCs w:val="24"/>
                <w:lang w:eastAsia="en-US"/>
              </w:rPr>
              <w:t xml:space="preserve">8 </w:t>
            </w:r>
            <w:r w:rsidR="00405753">
              <w:rPr>
                <w:rFonts w:eastAsiaTheme="minorHAnsi"/>
                <w:sz w:val="24"/>
                <w:szCs w:val="24"/>
                <w:lang w:eastAsia="en-US"/>
              </w:rPr>
              <w:t xml:space="preserve">m. </w:t>
            </w:r>
            <w:r>
              <w:rPr>
                <w:rFonts w:eastAsiaTheme="minorHAnsi"/>
                <w:sz w:val="24"/>
                <w:szCs w:val="24"/>
                <w:lang w:eastAsia="en-US"/>
              </w:rPr>
              <w:t xml:space="preserve">birželio </w:t>
            </w:r>
            <w:r w:rsidRPr="002160DF">
              <w:rPr>
                <w:rFonts w:eastAsiaTheme="minorHAnsi"/>
                <w:sz w:val="24"/>
                <w:szCs w:val="24"/>
                <w:lang w:eastAsia="en-US"/>
              </w:rPr>
              <w:t>29</w:t>
            </w:r>
            <w:r w:rsidRPr="00CF1723">
              <w:rPr>
                <w:rFonts w:eastAsiaTheme="minorHAnsi"/>
                <w:sz w:val="24"/>
                <w:szCs w:val="24"/>
                <w:lang w:eastAsia="en-US"/>
              </w:rPr>
              <w:t xml:space="preserve"> d. išvada </w:t>
            </w:r>
            <w:r w:rsidR="00403D6F">
              <w:rPr>
                <w:rFonts w:eastAsiaTheme="minorHAnsi"/>
                <w:sz w:val="24"/>
                <w:szCs w:val="24"/>
                <w:lang w:eastAsia="en-US"/>
              </w:rPr>
              <w:br/>
            </w:r>
            <w:r w:rsidRPr="00CF1723">
              <w:rPr>
                <w:rFonts w:eastAsiaTheme="minorHAnsi"/>
                <w:sz w:val="24"/>
                <w:szCs w:val="24"/>
                <w:lang w:eastAsia="en-US"/>
              </w:rPr>
              <w:t>Nr. NV-</w:t>
            </w:r>
            <w:r>
              <w:rPr>
                <w:rFonts w:eastAsiaTheme="minorHAnsi"/>
                <w:sz w:val="24"/>
                <w:szCs w:val="24"/>
                <w:lang w:eastAsia="en-US"/>
              </w:rPr>
              <w:t>1699</w:t>
            </w:r>
          </w:p>
        </w:tc>
        <w:tc>
          <w:tcPr>
            <w:tcW w:w="5665" w:type="dxa"/>
          </w:tcPr>
          <w:p w14:paraId="254B1DFF" w14:textId="512EF816" w:rsidR="002B2A4C" w:rsidRPr="001A0CB0" w:rsidRDefault="002B2A4C" w:rsidP="00D1272B">
            <w:pPr>
              <w:jc w:val="both"/>
              <w:rPr>
                <w:rFonts w:asciiTheme="minorHAnsi" w:eastAsiaTheme="minorHAnsi" w:hAnsiTheme="minorHAnsi" w:cstheme="minorBidi"/>
                <w:sz w:val="22"/>
                <w:szCs w:val="22"/>
                <w:lang w:eastAsia="en-US"/>
              </w:rPr>
            </w:pPr>
            <w:r>
              <w:rPr>
                <w:sz w:val="24"/>
                <w:szCs w:val="24"/>
              </w:rPr>
              <w:lastRenderedPageBreak/>
              <w:t xml:space="preserve">1. Įvertinę įstatymų projektų rengėjų derinimo pažymoje pateiktus argumentus dėl 1 pastabos pateiktos TG pirminėje išvadoje, manytume, kad jie </w:t>
            </w:r>
            <w:r w:rsidRPr="00462FCD">
              <w:rPr>
                <w:i/>
                <w:sz w:val="24"/>
                <w:szCs w:val="24"/>
              </w:rPr>
              <w:t xml:space="preserve">pagrįsti ne teisės </w:t>
            </w:r>
            <w:r w:rsidRPr="00462FCD">
              <w:rPr>
                <w:i/>
                <w:sz w:val="24"/>
                <w:szCs w:val="24"/>
              </w:rPr>
              <w:lastRenderedPageBreak/>
              <w:t>normomis, o individualiu interpretavimu</w:t>
            </w:r>
            <w:r>
              <w:rPr>
                <w:sz w:val="24"/>
                <w:szCs w:val="24"/>
              </w:rPr>
              <w:t>, todėl pirminėje išvadoje kelta problema, jog</w:t>
            </w:r>
            <w:r w:rsidRPr="00462FCD">
              <w:rPr>
                <w:sz w:val="24"/>
                <w:szCs w:val="24"/>
              </w:rPr>
              <w:t xml:space="preserve"> Vyriausybės įgaliota institucija, nustatydama viešųjų kombinuotojo keleivių vežimo vietiniais maršrutais paslaugų poreikį, įsiterptų į savivaldybių savarankiškąją funkciją</w:t>
            </w:r>
            <w:r>
              <w:rPr>
                <w:sz w:val="24"/>
                <w:szCs w:val="24"/>
              </w:rPr>
              <w:t xml:space="preserve"> (Vietos savivaldos įstatymo 6 str. 33 punkte nustatyta, kad </w:t>
            </w:r>
            <w:r w:rsidRPr="00462FCD">
              <w:rPr>
                <w:sz w:val="24"/>
                <w:szCs w:val="24"/>
              </w:rPr>
              <w:t>keleivių vežino vietiniais maršrutais organizavimas yra savarankiškoji savivaldybių funkcija</w:t>
            </w:r>
            <w:r>
              <w:rPr>
                <w:sz w:val="24"/>
                <w:szCs w:val="24"/>
              </w:rPr>
              <w:t>)</w:t>
            </w:r>
            <w:r w:rsidRPr="00462FCD">
              <w:rPr>
                <w:sz w:val="24"/>
                <w:szCs w:val="24"/>
              </w:rPr>
              <w:t>, kadangi toje pačioje savivaldybės teritorijoje keleivių vežimą vietiniais maršrutais organizuotų ir savivaldybės ir V</w:t>
            </w:r>
            <w:r>
              <w:rPr>
                <w:sz w:val="24"/>
                <w:szCs w:val="24"/>
              </w:rPr>
              <w:t>yriausybės įgaliota institucija, lieka neišspręsta. Be kita ko, argumentas pateiktas derinimo pažymoje, kad jei keleiviai didesnę vežimo vietinio susisiekimo maršrutu dalį vežami geležinkelių transporto priemonėmis, laikytina keleivių vežimu geležinkelių transportu, nėra logiški, kadangi, vertinant sistemiškai Geležinkelių transporto kodekso (toliau – Kodeksas) nuostatas, akivaizdu, kad tik keleivių vežimas traukiniais gali būti laikomas vežimu geležinkeliu (geležinkelio transporto). Pritariant siūlomo teisinio reguliavimo tikslui, tačiau, siekiant išspręsti egzistuojančią problemą, siūlytume svarstyti galimybę kartu keisti ir Vietos savivaldos įstatymo ir Kelių transporto kodekso atitinkamas nuostatas, numatant išimtis dėl kombinuotojo keleivių vežimo vietiniais maršrutais paslaugų.</w:t>
            </w:r>
          </w:p>
        </w:tc>
        <w:tc>
          <w:tcPr>
            <w:tcW w:w="7631" w:type="dxa"/>
          </w:tcPr>
          <w:p w14:paraId="254B1E00" w14:textId="5B98A1F0" w:rsidR="002B2A4C" w:rsidRPr="00CF1723" w:rsidRDefault="002B2A4C" w:rsidP="004D0ABD">
            <w:pPr>
              <w:jc w:val="both"/>
              <w:rPr>
                <w:rFonts w:eastAsiaTheme="minorHAnsi"/>
                <w:b/>
                <w:color w:val="000000" w:themeColor="text1"/>
                <w:sz w:val="24"/>
                <w:szCs w:val="24"/>
                <w:lang w:eastAsia="en-US"/>
              </w:rPr>
            </w:pPr>
            <w:r>
              <w:rPr>
                <w:rFonts w:eastAsiaTheme="minorHAnsi"/>
                <w:b/>
                <w:color w:val="000000" w:themeColor="text1"/>
                <w:sz w:val="24"/>
                <w:szCs w:val="24"/>
                <w:lang w:eastAsia="en-US"/>
              </w:rPr>
              <w:lastRenderedPageBreak/>
              <w:t>Neatsižvelgta</w:t>
            </w:r>
            <w:r w:rsidR="00405753">
              <w:rPr>
                <w:rFonts w:eastAsiaTheme="minorHAnsi"/>
                <w:b/>
                <w:color w:val="000000" w:themeColor="text1"/>
                <w:sz w:val="24"/>
                <w:szCs w:val="24"/>
                <w:lang w:eastAsia="en-US"/>
              </w:rPr>
              <w:t>.</w:t>
            </w:r>
          </w:p>
          <w:p w14:paraId="254B1E02" w14:textId="268FC90D" w:rsidR="002B2A4C" w:rsidRDefault="002B2A4C" w:rsidP="004D0ABD">
            <w:pPr>
              <w:jc w:val="both"/>
              <w:rPr>
                <w:rFonts w:eastAsiaTheme="minorHAnsi"/>
                <w:color w:val="000000"/>
                <w:sz w:val="24"/>
                <w:szCs w:val="24"/>
                <w:lang w:eastAsia="en-US"/>
              </w:rPr>
            </w:pPr>
            <w:r>
              <w:rPr>
                <w:rFonts w:eastAsiaTheme="minorHAnsi"/>
                <w:color w:val="000000" w:themeColor="text1"/>
                <w:sz w:val="24"/>
                <w:szCs w:val="24"/>
                <w:lang w:eastAsia="en-US"/>
              </w:rPr>
              <w:t xml:space="preserve">Kombinuotojo keleivių vežimo tikslas sudaryti palankias sąlygas keleiviams naudotis viešuoju transportu, keliaujant ilgus atstumus Lietuvoje ir lengviau </w:t>
            </w:r>
            <w:r>
              <w:rPr>
                <w:rFonts w:eastAsiaTheme="minorHAnsi"/>
                <w:color w:val="000000" w:themeColor="text1"/>
                <w:sz w:val="24"/>
                <w:szCs w:val="24"/>
                <w:lang w:eastAsia="en-US"/>
              </w:rPr>
              <w:lastRenderedPageBreak/>
              <w:t xml:space="preserve">pasiekti tas vietas, kur nenutiesti geležinkelio bėgiai. </w:t>
            </w:r>
            <w:r w:rsidRPr="00CF1723">
              <w:rPr>
                <w:rFonts w:eastAsiaTheme="minorHAnsi"/>
                <w:color w:val="000000" w:themeColor="text1"/>
                <w:sz w:val="24"/>
                <w:szCs w:val="24"/>
                <w:lang w:eastAsia="en-US"/>
              </w:rPr>
              <w:t xml:space="preserve">Kombinuotasis keleivių vežimas vietiniais maršrutais, įvertinus  privalomą šio vežimo aspektą dėl </w:t>
            </w:r>
            <w:r w:rsidRPr="00CF1723">
              <w:rPr>
                <w:rFonts w:eastAsiaTheme="minorHAnsi"/>
                <w:color w:val="000000"/>
                <w:sz w:val="24"/>
                <w:szCs w:val="24"/>
                <w:lang w:eastAsia="en-US"/>
              </w:rPr>
              <w:t xml:space="preserve">keleivių vežimo </w:t>
            </w:r>
            <w:r w:rsidRPr="00CF1723">
              <w:rPr>
                <w:rFonts w:eastAsiaTheme="minorHAnsi"/>
                <w:sz w:val="24"/>
                <w:szCs w:val="24"/>
                <w:lang w:eastAsia="en-US"/>
              </w:rPr>
              <w:t xml:space="preserve">didesnę vietinio </w:t>
            </w:r>
            <w:r>
              <w:rPr>
                <w:rFonts w:eastAsiaTheme="minorHAnsi"/>
                <w:sz w:val="24"/>
                <w:szCs w:val="24"/>
                <w:lang w:eastAsia="en-US"/>
              </w:rPr>
              <w:t xml:space="preserve">susisiekimo </w:t>
            </w:r>
            <w:r w:rsidRPr="00CF1723">
              <w:rPr>
                <w:rFonts w:eastAsiaTheme="minorHAnsi"/>
                <w:sz w:val="24"/>
                <w:szCs w:val="24"/>
                <w:lang w:eastAsia="en-US"/>
              </w:rPr>
              <w:t>maršruto dalį</w:t>
            </w:r>
            <w:r>
              <w:rPr>
                <w:rFonts w:eastAsiaTheme="minorHAnsi"/>
                <w:color w:val="000000"/>
                <w:sz w:val="24"/>
                <w:szCs w:val="24"/>
                <w:lang w:eastAsia="en-US"/>
              </w:rPr>
              <w:t xml:space="preserve"> geležinkelių transporto priemonėmis</w:t>
            </w:r>
            <w:r w:rsidRPr="00CF1723">
              <w:rPr>
                <w:rFonts w:eastAsiaTheme="minorHAnsi"/>
                <w:color w:val="000000"/>
                <w:sz w:val="24"/>
                <w:szCs w:val="24"/>
                <w:lang w:eastAsia="en-US"/>
              </w:rPr>
              <w:t xml:space="preserve">, iš esmės laikytinas keleivių vežimo geležinkelių transportu analogija. </w:t>
            </w:r>
            <w:r>
              <w:rPr>
                <w:rFonts w:eastAsiaTheme="minorHAnsi"/>
                <w:color w:val="000000"/>
                <w:sz w:val="24"/>
                <w:szCs w:val="24"/>
                <w:lang w:eastAsia="en-US"/>
              </w:rPr>
              <w:t>Keleiviai traukiniais būtų vežami kelių savivaldybių ar net visą Lietuvos Respublikos teritoriją kertančiais maršrutais, o autobusais keleiviai būtų pavežami tik iki galinės maršruto stotelės, todėl keleivių vežimo geležinkelių transportu organizavimas priskirtinas ne atitinkamų savivaldybių, o Vyriausybės įgaliotos institucijos kompetencijai.</w:t>
            </w:r>
          </w:p>
          <w:p w14:paraId="3ECC9C7F" w14:textId="0E5A9B6D" w:rsidR="002B2A4C" w:rsidRPr="005956B3" w:rsidRDefault="002B2A4C" w:rsidP="006D66BC">
            <w:pPr>
              <w:jc w:val="both"/>
              <w:rPr>
                <w:b/>
                <w:color w:val="000000" w:themeColor="text1"/>
                <w:sz w:val="24"/>
                <w:szCs w:val="24"/>
              </w:rPr>
            </w:pPr>
            <w:r>
              <w:rPr>
                <w:rFonts w:eastAsiaTheme="minorHAnsi"/>
                <w:color w:val="000000"/>
                <w:sz w:val="24"/>
                <w:szCs w:val="24"/>
                <w:lang w:eastAsia="en-US"/>
              </w:rPr>
              <w:t xml:space="preserve">Papildomai pažymėtina, kad GTK pakeitimo įstatymo projekto </w:t>
            </w:r>
            <w:r w:rsidRPr="00CF1723">
              <w:rPr>
                <w:rFonts w:eastAsiaTheme="minorHAnsi"/>
                <w:sz w:val="24"/>
                <w:szCs w:val="24"/>
                <w:lang w:eastAsia="en-US"/>
              </w:rPr>
              <w:t xml:space="preserve">3 straipsniu keičiamo </w:t>
            </w:r>
            <w:r>
              <w:rPr>
                <w:rFonts w:eastAsiaTheme="minorHAnsi"/>
                <w:sz w:val="24"/>
                <w:szCs w:val="24"/>
                <w:lang w:eastAsia="en-US"/>
              </w:rPr>
              <w:t>GTK</w:t>
            </w:r>
            <w:r w:rsidRPr="00CF1723">
              <w:rPr>
                <w:rFonts w:eastAsiaTheme="minorHAnsi"/>
                <w:sz w:val="24"/>
                <w:szCs w:val="24"/>
                <w:lang w:eastAsia="en-US"/>
              </w:rPr>
              <w:t xml:space="preserve"> 12 straipsnio 3 d</w:t>
            </w:r>
            <w:r w:rsidR="00403D6F">
              <w:rPr>
                <w:rFonts w:eastAsiaTheme="minorHAnsi"/>
                <w:sz w:val="24"/>
                <w:szCs w:val="24"/>
                <w:lang w:eastAsia="en-US"/>
              </w:rPr>
              <w:t>alies</w:t>
            </w:r>
            <w:r w:rsidRPr="00CF1723">
              <w:rPr>
                <w:rFonts w:eastAsiaTheme="minorHAnsi"/>
                <w:sz w:val="24"/>
                <w:szCs w:val="24"/>
                <w:lang w:eastAsia="en-US"/>
              </w:rPr>
              <w:t xml:space="preserve"> </w:t>
            </w:r>
            <w:r>
              <w:rPr>
                <w:rFonts w:eastAsiaTheme="minorHAnsi"/>
                <w:sz w:val="24"/>
                <w:szCs w:val="24"/>
                <w:lang w:eastAsia="en-US"/>
              </w:rPr>
              <w:t>3</w:t>
            </w:r>
            <w:r w:rsidRPr="00CF1723">
              <w:rPr>
                <w:rFonts w:eastAsiaTheme="minorHAnsi"/>
                <w:sz w:val="24"/>
                <w:szCs w:val="24"/>
                <w:lang w:eastAsia="en-US"/>
              </w:rPr>
              <w:t xml:space="preserve"> punkte </w:t>
            </w:r>
            <w:r>
              <w:rPr>
                <w:rFonts w:eastAsiaTheme="minorHAnsi"/>
                <w:sz w:val="24"/>
                <w:szCs w:val="24"/>
                <w:lang w:eastAsia="en-US"/>
              </w:rPr>
              <w:t xml:space="preserve">nustatyta, kad geležinkelio įmonė </w:t>
            </w:r>
            <w:r w:rsidRPr="006D66BC">
              <w:rPr>
                <w:color w:val="000000" w:themeColor="text1"/>
                <w:sz w:val="24"/>
                <w:szCs w:val="24"/>
              </w:rPr>
              <w:t>turi užtikrinti, jog keleiviai būtų įlaipinami ir išlaipinami tik tvarkaraštyje nurodytose geležinkelio stotyse, stotelėse ir geležinkelio įmonės (vežėjo) nurodytoje išvykimo ar paskirties vietoje. Tai reiškia, kad keleivis, nusipirkęs bilietą</w:t>
            </w:r>
            <w:r w:rsidR="00403D6F">
              <w:rPr>
                <w:color w:val="000000" w:themeColor="text1"/>
                <w:sz w:val="24"/>
                <w:szCs w:val="24"/>
              </w:rPr>
              <w:t>,</w:t>
            </w:r>
            <w:r w:rsidRPr="006D66BC">
              <w:rPr>
                <w:color w:val="000000" w:themeColor="text1"/>
                <w:sz w:val="24"/>
                <w:szCs w:val="24"/>
              </w:rPr>
              <w:t xml:space="preserve"> </w:t>
            </w:r>
            <w:r w:rsidR="00403D6F" w:rsidRPr="006D66BC">
              <w:rPr>
                <w:color w:val="000000" w:themeColor="text1"/>
                <w:sz w:val="24"/>
                <w:szCs w:val="24"/>
              </w:rPr>
              <w:t>pvz.</w:t>
            </w:r>
            <w:r w:rsidR="00403D6F">
              <w:rPr>
                <w:color w:val="000000" w:themeColor="text1"/>
                <w:sz w:val="24"/>
                <w:szCs w:val="24"/>
              </w:rPr>
              <w:t xml:space="preserve">, </w:t>
            </w:r>
            <w:r w:rsidRPr="006D66BC">
              <w:rPr>
                <w:color w:val="000000" w:themeColor="text1"/>
                <w:sz w:val="24"/>
                <w:szCs w:val="24"/>
              </w:rPr>
              <w:t>Vilniaus geležinkelio stotyje, be sustojimo būtų nu</w:t>
            </w:r>
            <w:r w:rsidR="00403D6F">
              <w:rPr>
                <w:color w:val="000000" w:themeColor="text1"/>
                <w:sz w:val="24"/>
                <w:szCs w:val="24"/>
              </w:rPr>
              <w:t>vežtas</w:t>
            </w:r>
            <w:r w:rsidRPr="006D66BC">
              <w:rPr>
                <w:color w:val="000000" w:themeColor="text1"/>
                <w:sz w:val="24"/>
                <w:szCs w:val="24"/>
              </w:rPr>
              <w:t xml:space="preserve"> į Palangą, o kiti</w:t>
            </w:r>
            <w:r w:rsidRPr="006D66BC">
              <w:rPr>
                <w:rFonts w:eastAsiaTheme="minorHAnsi"/>
                <w:color w:val="000000"/>
                <w:sz w:val="24"/>
                <w:szCs w:val="24"/>
                <w:lang w:eastAsia="en-US"/>
              </w:rPr>
              <w:t xml:space="preserve">, ne traukiniu važiavę </w:t>
            </w:r>
            <w:r>
              <w:rPr>
                <w:rFonts w:eastAsiaTheme="minorHAnsi"/>
                <w:color w:val="000000"/>
                <w:sz w:val="24"/>
                <w:szCs w:val="24"/>
                <w:lang w:eastAsia="en-US"/>
              </w:rPr>
              <w:t xml:space="preserve">ar vietiniai </w:t>
            </w:r>
            <w:r w:rsidRPr="006D66BC">
              <w:rPr>
                <w:rFonts w:eastAsiaTheme="minorHAnsi"/>
                <w:color w:val="000000"/>
                <w:sz w:val="24"/>
                <w:szCs w:val="24"/>
                <w:lang w:eastAsia="en-US"/>
              </w:rPr>
              <w:t xml:space="preserve">keleiviai nuo Kretingos geležinkelio stoties iki galutinio maršruto taško </w:t>
            </w:r>
            <w:r>
              <w:rPr>
                <w:rFonts w:eastAsiaTheme="minorHAnsi"/>
                <w:color w:val="000000"/>
                <w:sz w:val="24"/>
                <w:szCs w:val="24"/>
                <w:lang w:eastAsia="en-US"/>
              </w:rPr>
              <w:t xml:space="preserve">šiuo autobusu </w:t>
            </w:r>
            <w:r w:rsidRPr="006D66BC">
              <w:rPr>
                <w:rFonts w:eastAsiaTheme="minorHAnsi"/>
                <w:color w:val="000000"/>
                <w:sz w:val="24"/>
                <w:szCs w:val="24"/>
                <w:lang w:eastAsia="en-US"/>
              </w:rPr>
              <w:t>negalėtų būti vežami.</w:t>
            </w:r>
            <w:r>
              <w:rPr>
                <w:rFonts w:eastAsiaTheme="minorHAnsi"/>
                <w:color w:val="000000"/>
                <w:sz w:val="24"/>
                <w:szCs w:val="24"/>
                <w:lang w:eastAsia="en-US"/>
              </w:rPr>
              <w:t xml:space="preserve"> Tokiu būdu nebūtų pažeidžiama </w:t>
            </w:r>
            <w:r>
              <w:rPr>
                <w:sz w:val="24"/>
                <w:szCs w:val="24"/>
              </w:rPr>
              <w:t xml:space="preserve">Vietos savivaldos įstatyme ir Kelių transporto kodekse nustatyta </w:t>
            </w:r>
            <w:r w:rsidRPr="00462FCD">
              <w:rPr>
                <w:sz w:val="24"/>
                <w:szCs w:val="24"/>
              </w:rPr>
              <w:t>keleivių veži</w:t>
            </w:r>
            <w:r w:rsidR="00403D6F">
              <w:rPr>
                <w:sz w:val="24"/>
                <w:szCs w:val="24"/>
              </w:rPr>
              <w:t>m</w:t>
            </w:r>
            <w:r w:rsidRPr="00462FCD">
              <w:rPr>
                <w:sz w:val="24"/>
                <w:szCs w:val="24"/>
              </w:rPr>
              <w:t>o vietiniais maršrutais organizavim</w:t>
            </w:r>
            <w:r>
              <w:rPr>
                <w:sz w:val="24"/>
                <w:szCs w:val="24"/>
              </w:rPr>
              <w:t>o</w:t>
            </w:r>
            <w:r w:rsidRPr="00462FCD">
              <w:rPr>
                <w:sz w:val="24"/>
                <w:szCs w:val="24"/>
              </w:rPr>
              <w:t xml:space="preserve"> savarankiškoji savivaldybių funkcija</w:t>
            </w:r>
            <w:r>
              <w:rPr>
                <w:sz w:val="24"/>
                <w:szCs w:val="24"/>
              </w:rPr>
              <w:t>.</w:t>
            </w:r>
          </w:p>
          <w:p w14:paraId="254B1E03" w14:textId="37B9656F" w:rsidR="002B2A4C" w:rsidRPr="00CF1723" w:rsidRDefault="002B2A4C" w:rsidP="008D6760">
            <w:pPr>
              <w:jc w:val="both"/>
              <w:rPr>
                <w:rFonts w:eastAsiaTheme="minorHAnsi"/>
                <w:sz w:val="24"/>
                <w:szCs w:val="24"/>
                <w:lang w:eastAsia="en-US"/>
              </w:rPr>
            </w:pPr>
          </w:p>
        </w:tc>
      </w:tr>
      <w:tr w:rsidR="002B2A4C" w:rsidRPr="00CF1723" w14:paraId="254B1E0A" w14:textId="77777777" w:rsidTr="00D34A80">
        <w:tc>
          <w:tcPr>
            <w:tcW w:w="1560" w:type="dxa"/>
            <w:vMerge/>
          </w:tcPr>
          <w:p w14:paraId="254B1E05" w14:textId="4A9C8D9A" w:rsidR="002B2A4C" w:rsidRPr="00CF1723" w:rsidRDefault="002B2A4C" w:rsidP="00CF1723">
            <w:pPr>
              <w:jc w:val="both"/>
              <w:rPr>
                <w:rFonts w:asciiTheme="minorHAnsi" w:eastAsiaTheme="minorHAnsi" w:hAnsiTheme="minorHAnsi" w:cstheme="minorBidi"/>
                <w:sz w:val="22"/>
                <w:szCs w:val="22"/>
                <w:lang w:eastAsia="en-US"/>
              </w:rPr>
            </w:pPr>
          </w:p>
        </w:tc>
        <w:tc>
          <w:tcPr>
            <w:tcW w:w="5665" w:type="dxa"/>
          </w:tcPr>
          <w:p w14:paraId="254B1E06" w14:textId="18285441" w:rsidR="002B2A4C" w:rsidRPr="00CF1723" w:rsidRDefault="002B2A4C" w:rsidP="001B0C5C">
            <w:pPr>
              <w:jc w:val="both"/>
              <w:rPr>
                <w:rFonts w:eastAsiaTheme="minorHAnsi"/>
                <w:sz w:val="24"/>
                <w:szCs w:val="24"/>
                <w:lang w:eastAsia="en-US"/>
              </w:rPr>
            </w:pPr>
            <w:r>
              <w:rPr>
                <w:sz w:val="24"/>
                <w:szCs w:val="24"/>
              </w:rPr>
              <w:t xml:space="preserve">4. Kodekso 2 str. 39 dalyje įtvirtinta sąvoka „tarnybinis traukinių </w:t>
            </w:r>
            <w:r w:rsidRPr="00C711BD">
              <w:rPr>
                <w:sz w:val="24"/>
                <w:szCs w:val="24"/>
              </w:rPr>
              <w:t>tvarkaraštis</w:t>
            </w:r>
            <w:r>
              <w:rPr>
                <w:sz w:val="24"/>
                <w:szCs w:val="24"/>
              </w:rPr>
              <w:t xml:space="preserve">“, o GTK projekto 3 straipsniu keičiamo Kodekso 12 straipsnyje vartojama formuluotė „tvarkaraštis“. Siūlytume įvertinti, ar šių sąvokų turinys tapatus ar ne, jei tapatus – reikėtų nuosekliai vienodas formuluotes vartoti, jei ne, - atskleisti vartojamų sąvokų skirtumus. </w:t>
            </w:r>
          </w:p>
        </w:tc>
        <w:tc>
          <w:tcPr>
            <w:tcW w:w="7631" w:type="dxa"/>
          </w:tcPr>
          <w:p w14:paraId="254B1E07" w14:textId="59F2691A" w:rsidR="002B2A4C" w:rsidRPr="00CF1723" w:rsidRDefault="002B2A4C" w:rsidP="00CF1723">
            <w:pPr>
              <w:jc w:val="both"/>
              <w:rPr>
                <w:rFonts w:eastAsiaTheme="minorHAnsi" w:cstheme="minorBidi"/>
                <w:b/>
                <w:color w:val="000000" w:themeColor="text1"/>
                <w:sz w:val="24"/>
                <w:szCs w:val="24"/>
                <w:lang w:eastAsia="en-US"/>
              </w:rPr>
            </w:pPr>
            <w:r>
              <w:rPr>
                <w:rFonts w:eastAsiaTheme="minorHAnsi" w:cstheme="minorBidi"/>
                <w:b/>
                <w:color w:val="000000" w:themeColor="text1"/>
                <w:sz w:val="24"/>
                <w:szCs w:val="24"/>
                <w:lang w:eastAsia="en-US"/>
              </w:rPr>
              <w:t>Nea</w:t>
            </w:r>
            <w:r w:rsidRPr="00CF1723">
              <w:rPr>
                <w:rFonts w:eastAsiaTheme="minorHAnsi" w:cstheme="minorBidi"/>
                <w:b/>
                <w:color w:val="000000" w:themeColor="text1"/>
                <w:sz w:val="24"/>
                <w:szCs w:val="24"/>
                <w:lang w:eastAsia="en-US"/>
              </w:rPr>
              <w:t>tsižvelgta.</w:t>
            </w:r>
          </w:p>
          <w:p w14:paraId="254B1E08" w14:textId="75AA25DA" w:rsidR="002B2A4C" w:rsidRPr="008D6760" w:rsidRDefault="002B2A4C" w:rsidP="00CF1723">
            <w:pPr>
              <w:jc w:val="both"/>
              <w:rPr>
                <w:rFonts w:eastAsiaTheme="minorHAnsi" w:cstheme="minorBidi"/>
                <w:color w:val="000000" w:themeColor="text1"/>
                <w:sz w:val="24"/>
                <w:szCs w:val="24"/>
                <w:lang w:eastAsia="en-US"/>
              </w:rPr>
            </w:pPr>
            <w:r w:rsidRPr="004A2E17">
              <w:rPr>
                <w:sz w:val="24"/>
                <w:szCs w:val="24"/>
              </w:rPr>
              <w:t>Sąvokų ,,tarnybini</w:t>
            </w:r>
            <w:r>
              <w:rPr>
                <w:sz w:val="24"/>
                <w:szCs w:val="24"/>
              </w:rPr>
              <w:t>s traukinių tvarkaraštis“ ir ,,</w:t>
            </w:r>
            <w:r w:rsidRPr="004A2E17">
              <w:rPr>
                <w:sz w:val="24"/>
                <w:szCs w:val="24"/>
              </w:rPr>
              <w:t>tvarkaraštis“ apibrėžt</w:t>
            </w:r>
            <w:r w:rsidR="00403D6F">
              <w:rPr>
                <w:sz w:val="24"/>
                <w:szCs w:val="24"/>
              </w:rPr>
              <w:t>y</w:t>
            </w:r>
            <w:r w:rsidRPr="004A2E17">
              <w:rPr>
                <w:sz w:val="24"/>
                <w:szCs w:val="24"/>
              </w:rPr>
              <w:t>s yra skirting</w:t>
            </w:r>
            <w:r w:rsidR="00403D6F">
              <w:rPr>
                <w:sz w:val="24"/>
                <w:szCs w:val="24"/>
              </w:rPr>
              <w:t>os</w:t>
            </w:r>
            <w:r w:rsidRPr="004A2E17">
              <w:rPr>
                <w:sz w:val="24"/>
                <w:szCs w:val="24"/>
              </w:rPr>
              <w:t xml:space="preserve">: tarnybinis traukinių tvarkaraštis </w:t>
            </w:r>
            <w:r>
              <w:rPr>
                <w:sz w:val="24"/>
                <w:szCs w:val="24"/>
              </w:rPr>
              <w:t>yra tik</w:t>
            </w:r>
            <w:r w:rsidRPr="004A2E17">
              <w:rPr>
                <w:sz w:val="24"/>
                <w:szCs w:val="24"/>
              </w:rPr>
              <w:t xml:space="preserve"> traukinių eismo tvarkaraštis, o </w:t>
            </w:r>
            <w:r>
              <w:rPr>
                <w:rFonts w:eastAsiaTheme="minorHAnsi"/>
                <w:color w:val="000000"/>
                <w:sz w:val="24"/>
                <w:szCs w:val="24"/>
                <w:lang w:eastAsia="en-US"/>
              </w:rPr>
              <w:t xml:space="preserve">GTK pakeitimo įstatymo projekto </w:t>
            </w:r>
            <w:r w:rsidRPr="00CF1723">
              <w:rPr>
                <w:rFonts w:eastAsiaTheme="minorHAnsi"/>
                <w:sz w:val="24"/>
                <w:szCs w:val="24"/>
                <w:lang w:eastAsia="en-US"/>
              </w:rPr>
              <w:t xml:space="preserve">3 straipsniu keičiamo </w:t>
            </w:r>
            <w:r>
              <w:rPr>
                <w:rFonts w:eastAsiaTheme="minorHAnsi"/>
                <w:sz w:val="24"/>
                <w:szCs w:val="24"/>
                <w:lang w:eastAsia="en-US"/>
              </w:rPr>
              <w:t>GTK</w:t>
            </w:r>
            <w:r w:rsidRPr="00CF1723">
              <w:rPr>
                <w:rFonts w:eastAsiaTheme="minorHAnsi"/>
                <w:sz w:val="24"/>
                <w:szCs w:val="24"/>
                <w:lang w:eastAsia="en-US"/>
              </w:rPr>
              <w:t xml:space="preserve"> 12 straipsn</w:t>
            </w:r>
            <w:r>
              <w:rPr>
                <w:rFonts w:eastAsiaTheme="minorHAnsi"/>
                <w:sz w:val="24"/>
                <w:szCs w:val="24"/>
                <w:lang w:eastAsia="en-US"/>
              </w:rPr>
              <w:t xml:space="preserve">yje vartojama sąvoka </w:t>
            </w:r>
            <w:r w:rsidR="00403D6F">
              <w:rPr>
                <w:rFonts w:eastAsiaTheme="minorHAnsi"/>
                <w:sz w:val="24"/>
                <w:szCs w:val="24"/>
                <w:lang w:eastAsia="en-US"/>
              </w:rPr>
              <w:t>„</w:t>
            </w:r>
            <w:r>
              <w:rPr>
                <w:rFonts w:eastAsiaTheme="minorHAnsi"/>
                <w:sz w:val="24"/>
                <w:szCs w:val="24"/>
                <w:lang w:eastAsia="en-US"/>
              </w:rPr>
              <w:t xml:space="preserve">tvarkaraštis“ apima ir </w:t>
            </w:r>
            <w:r w:rsidRPr="004A2E17">
              <w:rPr>
                <w:sz w:val="24"/>
                <w:szCs w:val="24"/>
              </w:rPr>
              <w:t>traukinių</w:t>
            </w:r>
            <w:r w:rsidR="00403D6F">
              <w:rPr>
                <w:sz w:val="24"/>
                <w:szCs w:val="24"/>
              </w:rPr>
              <w:t>,</w:t>
            </w:r>
            <w:r w:rsidRPr="004A2E17">
              <w:rPr>
                <w:sz w:val="24"/>
                <w:szCs w:val="24"/>
              </w:rPr>
              <w:t xml:space="preserve"> ir autobusų</w:t>
            </w:r>
            <w:r>
              <w:rPr>
                <w:sz w:val="24"/>
                <w:szCs w:val="24"/>
              </w:rPr>
              <w:t xml:space="preserve"> tvarkaraščius</w:t>
            </w:r>
            <w:r w:rsidRPr="004A2E17">
              <w:rPr>
                <w:sz w:val="24"/>
                <w:szCs w:val="24"/>
              </w:rPr>
              <w:t>. Kelių transporto kodekse yra vartojama sąvoka ,,eismo tvarkaraštis“</w:t>
            </w:r>
            <w:r w:rsidR="00403D6F">
              <w:rPr>
                <w:sz w:val="24"/>
                <w:szCs w:val="24"/>
              </w:rPr>
              <w:t>,</w:t>
            </w:r>
            <w:r w:rsidRPr="004A2E17">
              <w:rPr>
                <w:sz w:val="24"/>
                <w:szCs w:val="24"/>
              </w:rPr>
              <w:t xml:space="preserve"> tačiau </w:t>
            </w:r>
            <w:r>
              <w:rPr>
                <w:sz w:val="24"/>
                <w:szCs w:val="24"/>
              </w:rPr>
              <w:t>ji apima</w:t>
            </w:r>
            <w:r w:rsidRPr="004A2E17">
              <w:rPr>
                <w:sz w:val="24"/>
                <w:szCs w:val="24"/>
              </w:rPr>
              <w:t xml:space="preserve"> tik autobusų tvarkaraš</w:t>
            </w:r>
            <w:r>
              <w:rPr>
                <w:sz w:val="24"/>
                <w:szCs w:val="24"/>
              </w:rPr>
              <w:t>čius</w:t>
            </w:r>
            <w:r w:rsidRPr="004A2E17">
              <w:rPr>
                <w:sz w:val="24"/>
                <w:szCs w:val="24"/>
              </w:rPr>
              <w:t>.</w:t>
            </w:r>
          </w:p>
          <w:p w14:paraId="254B1E09" w14:textId="77777777" w:rsidR="002B2A4C" w:rsidRPr="00CF1723" w:rsidRDefault="002B2A4C" w:rsidP="00CF1723">
            <w:pPr>
              <w:jc w:val="both"/>
              <w:rPr>
                <w:rFonts w:eastAsiaTheme="minorHAnsi" w:cstheme="minorBidi"/>
                <w:b/>
                <w:color w:val="000000" w:themeColor="text1"/>
                <w:sz w:val="24"/>
                <w:szCs w:val="24"/>
                <w:lang w:eastAsia="en-US"/>
              </w:rPr>
            </w:pPr>
          </w:p>
        </w:tc>
      </w:tr>
      <w:tr w:rsidR="002B2A4C" w:rsidRPr="00CF1723" w14:paraId="254B1E0F" w14:textId="77777777" w:rsidTr="00D34A80">
        <w:tc>
          <w:tcPr>
            <w:tcW w:w="1560" w:type="dxa"/>
            <w:vMerge/>
          </w:tcPr>
          <w:p w14:paraId="254B1E0B" w14:textId="77777777" w:rsidR="002B2A4C" w:rsidRPr="00CF1723" w:rsidRDefault="002B2A4C" w:rsidP="00CF1723">
            <w:pPr>
              <w:jc w:val="both"/>
              <w:rPr>
                <w:rFonts w:asciiTheme="minorHAnsi" w:eastAsiaTheme="minorHAnsi" w:hAnsiTheme="minorHAnsi" w:cstheme="minorBidi"/>
                <w:sz w:val="22"/>
                <w:szCs w:val="22"/>
                <w:lang w:eastAsia="en-US"/>
              </w:rPr>
            </w:pPr>
          </w:p>
        </w:tc>
        <w:tc>
          <w:tcPr>
            <w:tcW w:w="5665" w:type="dxa"/>
          </w:tcPr>
          <w:p w14:paraId="254B1E0C" w14:textId="33B23B47" w:rsidR="002B2A4C" w:rsidRPr="00CF1723" w:rsidRDefault="002B2A4C" w:rsidP="00CF1723">
            <w:pPr>
              <w:jc w:val="both"/>
              <w:rPr>
                <w:rFonts w:eastAsiaTheme="minorHAnsi"/>
                <w:sz w:val="24"/>
                <w:szCs w:val="24"/>
                <w:lang w:eastAsia="en-US"/>
              </w:rPr>
            </w:pPr>
            <w:r>
              <w:rPr>
                <w:sz w:val="24"/>
                <w:szCs w:val="24"/>
              </w:rPr>
              <w:t xml:space="preserve">7. Siūlytume suderinti GTK projekto 3 straipsniu keičiamo Kodekso 12 str. 1 dalį, kurioje nustatyta, kad </w:t>
            </w:r>
            <w:r w:rsidRPr="00FA4045">
              <w:rPr>
                <w:i/>
                <w:sz w:val="24"/>
                <w:szCs w:val="24"/>
              </w:rPr>
              <w:t>Vyriausybės įgaliota institucija</w:t>
            </w:r>
            <w:r>
              <w:rPr>
                <w:sz w:val="24"/>
                <w:szCs w:val="24"/>
              </w:rPr>
              <w:t xml:space="preserve"> nustato viešųjų paslaugų </w:t>
            </w:r>
            <w:r>
              <w:rPr>
                <w:sz w:val="24"/>
                <w:szCs w:val="24"/>
              </w:rPr>
              <w:lastRenderedPageBreak/>
              <w:t xml:space="preserve">poreikį, su GTK projekto 3 straipsniu keičiamo Kodekso 12 str. 7 dalimi, kurioje nustatyta, kad viešųjų paslaugų poreikio nustatymo kriterijus nustato </w:t>
            </w:r>
            <w:r w:rsidRPr="00FA4045">
              <w:rPr>
                <w:i/>
                <w:sz w:val="24"/>
                <w:szCs w:val="24"/>
              </w:rPr>
              <w:t>Vyriausybė ar jos įgaliota institucija</w:t>
            </w:r>
            <w:r>
              <w:rPr>
                <w:i/>
                <w:sz w:val="24"/>
                <w:szCs w:val="24"/>
              </w:rPr>
              <w:t xml:space="preserve">. </w:t>
            </w:r>
            <w:r>
              <w:rPr>
                <w:sz w:val="24"/>
                <w:szCs w:val="24"/>
              </w:rPr>
              <w:t>Toks reguliavimas suponuoja tai, kad Vyriausybės įgaliota institucija galėtų nustatyti viešųjų paslaugų poreikio nustatymo kriterijus, kurie būtų privalomi Vyriausybei, o tai galimai pažeistų subordinacijos bei teisės aktų hierarchijos principus. Vertinant tai, siūlytume nuostatas tikslinti.</w:t>
            </w:r>
          </w:p>
        </w:tc>
        <w:tc>
          <w:tcPr>
            <w:tcW w:w="7631" w:type="dxa"/>
          </w:tcPr>
          <w:p w14:paraId="5B25997E" w14:textId="77777777" w:rsidR="002B2A4C" w:rsidRDefault="002B2A4C" w:rsidP="001B0C5C">
            <w:pPr>
              <w:jc w:val="both"/>
              <w:rPr>
                <w:rFonts w:eastAsiaTheme="minorHAnsi" w:cstheme="minorBidi"/>
                <w:b/>
                <w:sz w:val="24"/>
                <w:szCs w:val="24"/>
                <w:lang w:eastAsia="en-US"/>
              </w:rPr>
            </w:pPr>
            <w:r>
              <w:rPr>
                <w:rFonts w:eastAsiaTheme="minorHAnsi" w:cstheme="minorBidi"/>
                <w:b/>
                <w:sz w:val="24"/>
                <w:szCs w:val="24"/>
                <w:lang w:eastAsia="en-US"/>
              </w:rPr>
              <w:lastRenderedPageBreak/>
              <w:t>Nea</w:t>
            </w:r>
            <w:r w:rsidRPr="00CF1723">
              <w:rPr>
                <w:rFonts w:eastAsiaTheme="minorHAnsi" w:cstheme="minorBidi"/>
                <w:b/>
                <w:sz w:val="24"/>
                <w:szCs w:val="24"/>
                <w:lang w:eastAsia="en-US"/>
              </w:rPr>
              <w:t>tsižvelgta</w:t>
            </w:r>
            <w:r>
              <w:rPr>
                <w:rFonts w:eastAsiaTheme="minorHAnsi" w:cstheme="minorBidi"/>
                <w:b/>
                <w:sz w:val="24"/>
                <w:szCs w:val="24"/>
                <w:lang w:eastAsia="en-US"/>
              </w:rPr>
              <w:t>.</w:t>
            </w:r>
          </w:p>
          <w:p w14:paraId="254B1E0E" w14:textId="7CAD0E08" w:rsidR="002B2A4C" w:rsidRPr="00CF1723" w:rsidRDefault="002B2A4C" w:rsidP="000F7B84">
            <w:pPr>
              <w:jc w:val="both"/>
              <w:rPr>
                <w:rFonts w:eastAsiaTheme="minorHAnsi" w:cstheme="minorBidi"/>
                <w:color w:val="000000" w:themeColor="text1"/>
                <w:sz w:val="24"/>
                <w:szCs w:val="24"/>
                <w:lang w:eastAsia="en-US"/>
              </w:rPr>
            </w:pPr>
            <w:r>
              <w:rPr>
                <w:sz w:val="24"/>
                <w:szCs w:val="24"/>
              </w:rPr>
              <w:t xml:space="preserve">Lietuvos Respublikos Vyriausybės </w:t>
            </w:r>
            <w:r w:rsidRPr="008C191E">
              <w:rPr>
                <w:sz w:val="24"/>
                <w:szCs w:val="24"/>
              </w:rPr>
              <w:t xml:space="preserve">2010 m. birželio 7 d.  nutarimu Nr. 716 patvirtinto Nuostolių, patirtų vykdant viešųjų paslaugų įsipareigojimą, </w:t>
            </w:r>
            <w:r w:rsidRPr="008C191E">
              <w:rPr>
                <w:sz w:val="24"/>
                <w:szCs w:val="24"/>
              </w:rPr>
              <w:lastRenderedPageBreak/>
              <w:t xml:space="preserve">kompensavimo tvarkos aprašo 3 </w:t>
            </w:r>
            <w:r w:rsidR="00403D6F">
              <w:rPr>
                <w:sz w:val="24"/>
                <w:szCs w:val="24"/>
              </w:rPr>
              <w:t>punkte</w:t>
            </w:r>
            <w:r w:rsidR="00403D6F" w:rsidRPr="008C191E">
              <w:rPr>
                <w:sz w:val="24"/>
                <w:szCs w:val="24"/>
              </w:rPr>
              <w:t xml:space="preserve"> </w:t>
            </w:r>
            <w:r w:rsidRPr="008C191E">
              <w:rPr>
                <w:sz w:val="24"/>
                <w:szCs w:val="24"/>
              </w:rPr>
              <w:t xml:space="preserve">šiuo metu </w:t>
            </w:r>
            <w:r>
              <w:rPr>
                <w:sz w:val="24"/>
                <w:szCs w:val="24"/>
              </w:rPr>
              <w:t xml:space="preserve">yra </w:t>
            </w:r>
            <w:r w:rsidRPr="008C191E">
              <w:rPr>
                <w:sz w:val="24"/>
                <w:szCs w:val="24"/>
              </w:rPr>
              <w:t xml:space="preserve">nustatyti maršrutų, kuriuose </w:t>
            </w:r>
            <w:r w:rsidR="00403D6F">
              <w:rPr>
                <w:sz w:val="24"/>
                <w:szCs w:val="24"/>
              </w:rPr>
              <w:t xml:space="preserve">patirti nuostoliai </w:t>
            </w:r>
            <w:r w:rsidRPr="008C191E">
              <w:rPr>
                <w:sz w:val="24"/>
                <w:szCs w:val="24"/>
              </w:rPr>
              <w:t>turi būti kompensuojami, parinkimo kriterijai.</w:t>
            </w:r>
            <w:r>
              <w:rPr>
                <w:sz w:val="24"/>
                <w:szCs w:val="24"/>
              </w:rPr>
              <w:t xml:space="preserve"> Manome, kad šiuo atveju subordinacijos kriterijai nebus pažeisti, kadangi Lietuvos Respublikos Vyriausybė (arba jos įgaliota institucija) nustatytų</w:t>
            </w:r>
            <w:r w:rsidR="00403D6F">
              <w:rPr>
                <w:sz w:val="24"/>
                <w:szCs w:val="24"/>
              </w:rPr>
              <w:t>,</w:t>
            </w:r>
            <w:r>
              <w:rPr>
                <w:sz w:val="24"/>
                <w:szCs w:val="24"/>
              </w:rPr>
              <w:t xml:space="preserve"> pagal ką yra atrenkami maršrutai, o Susisiekimo ministerija, kaip įgaliota institucija</w:t>
            </w:r>
            <w:r w:rsidR="00403D6F">
              <w:rPr>
                <w:sz w:val="24"/>
                <w:szCs w:val="24"/>
              </w:rPr>
              <w:t>,</w:t>
            </w:r>
            <w:r>
              <w:rPr>
                <w:sz w:val="24"/>
                <w:szCs w:val="24"/>
              </w:rPr>
              <w:t xml:space="preserve"> pagal Lietuvos Respublikos Vyriausybės nustatytus kriterijus parinktų maršrutus. Ta</w:t>
            </w:r>
            <w:r w:rsidR="00403D6F">
              <w:rPr>
                <w:sz w:val="24"/>
                <w:szCs w:val="24"/>
              </w:rPr>
              <w:t>d</w:t>
            </w:r>
            <w:r>
              <w:rPr>
                <w:sz w:val="24"/>
                <w:szCs w:val="24"/>
              </w:rPr>
              <w:t xml:space="preserve"> priešingai, tokiu būdu būtų užtikrinamas maršrutų parinkimo proceso skaidrumas ir nešališkumas.</w:t>
            </w:r>
          </w:p>
        </w:tc>
      </w:tr>
    </w:tbl>
    <w:p w14:paraId="254B1E11" w14:textId="5D12A0A8" w:rsidR="00CF1723" w:rsidRDefault="00CF1723" w:rsidP="0000289B">
      <w:pPr>
        <w:spacing w:after="160" w:line="259" w:lineRule="auto"/>
        <w:jc w:val="center"/>
      </w:pPr>
      <w:r w:rsidRPr="00CF1723">
        <w:rPr>
          <w:rFonts w:asciiTheme="minorHAnsi" w:eastAsiaTheme="minorHAnsi" w:hAnsiTheme="minorHAnsi" w:cstheme="minorBidi"/>
          <w:sz w:val="22"/>
          <w:szCs w:val="22"/>
          <w:lang w:eastAsia="en-US"/>
        </w:rPr>
        <w:lastRenderedPageBreak/>
        <w:t>_____________</w:t>
      </w:r>
    </w:p>
    <w:sectPr w:rsidR="00CF1723" w:rsidSect="00F62101">
      <w:headerReference w:type="default" r:id="rId8"/>
      <w:pgSz w:w="15840" w:h="12240" w:orient="landscape"/>
      <w:pgMar w:top="851"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9EA6E" w14:textId="77777777" w:rsidR="00BB4254" w:rsidRDefault="00BB4254" w:rsidP="00F62101">
      <w:r>
        <w:separator/>
      </w:r>
    </w:p>
  </w:endnote>
  <w:endnote w:type="continuationSeparator" w:id="0">
    <w:p w14:paraId="3B5F0B2B" w14:textId="77777777" w:rsidR="00BB4254" w:rsidRDefault="00BB4254" w:rsidP="00F6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2C502" w14:textId="77777777" w:rsidR="00BB4254" w:rsidRDefault="00BB4254" w:rsidP="00F62101">
      <w:r>
        <w:separator/>
      </w:r>
    </w:p>
  </w:footnote>
  <w:footnote w:type="continuationSeparator" w:id="0">
    <w:p w14:paraId="6A8650EA" w14:textId="77777777" w:rsidR="00BB4254" w:rsidRDefault="00BB4254" w:rsidP="00F62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423213"/>
      <w:docPartObj>
        <w:docPartGallery w:val="Page Numbers (Top of Page)"/>
        <w:docPartUnique/>
      </w:docPartObj>
    </w:sdtPr>
    <w:sdtEndPr/>
    <w:sdtContent>
      <w:p w14:paraId="254B1E16" w14:textId="77777777" w:rsidR="00F62101" w:rsidRDefault="00F62101">
        <w:pPr>
          <w:pStyle w:val="Antrats"/>
          <w:jc w:val="center"/>
        </w:pPr>
        <w:r>
          <w:fldChar w:fldCharType="begin"/>
        </w:r>
        <w:r>
          <w:instrText>PAGE   \* MERGEFORMAT</w:instrText>
        </w:r>
        <w:r>
          <w:fldChar w:fldCharType="separate"/>
        </w:r>
        <w:r w:rsidR="00CC4FC8">
          <w:rPr>
            <w:noProof/>
          </w:rPr>
          <w:t>2</w:t>
        </w:r>
        <w:r>
          <w:fldChar w:fldCharType="end"/>
        </w:r>
      </w:p>
    </w:sdtContent>
  </w:sdt>
  <w:p w14:paraId="254B1E17" w14:textId="77777777" w:rsidR="00F62101" w:rsidRDefault="00F62101">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23"/>
    <w:rsid w:val="0000289B"/>
    <w:rsid w:val="00084920"/>
    <w:rsid w:val="00090672"/>
    <w:rsid w:val="000F7B84"/>
    <w:rsid w:val="00194862"/>
    <w:rsid w:val="001A0CB0"/>
    <w:rsid w:val="001B0C5C"/>
    <w:rsid w:val="001B0E04"/>
    <w:rsid w:val="00211EE1"/>
    <w:rsid w:val="002160DF"/>
    <w:rsid w:val="002A170E"/>
    <w:rsid w:val="002B2A4C"/>
    <w:rsid w:val="00396C3A"/>
    <w:rsid w:val="003A34B0"/>
    <w:rsid w:val="00403D6F"/>
    <w:rsid w:val="00405753"/>
    <w:rsid w:val="004D0ABD"/>
    <w:rsid w:val="005D0BC5"/>
    <w:rsid w:val="005D32B0"/>
    <w:rsid w:val="005E04B8"/>
    <w:rsid w:val="00625EF0"/>
    <w:rsid w:val="00696F59"/>
    <w:rsid w:val="006D66BC"/>
    <w:rsid w:val="007773DD"/>
    <w:rsid w:val="00803F1E"/>
    <w:rsid w:val="008D6760"/>
    <w:rsid w:val="008E5B1A"/>
    <w:rsid w:val="008F6751"/>
    <w:rsid w:val="00915F32"/>
    <w:rsid w:val="00946219"/>
    <w:rsid w:val="009608FC"/>
    <w:rsid w:val="00973B3C"/>
    <w:rsid w:val="009A41AE"/>
    <w:rsid w:val="009E6445"/>
    <w:rsid w:val="00A110FA"/>
    <w:rsid w:val="00A17D1D"/>
    <w:rsid w:val="00AE4A00"/>
    <w:rsid w:val="00B0101C"/>
    <w:rsid w:val="00B3598A"/>
    <w:rsid w:val="00BB4254"/>
    <w:rsid w:val="00C21618"/>
    <w:rsid w:val="00CC17E4"/>
    <w:rsid w:val="00CC4FC8"/>
    <w:rsid w:val="00CF1723"/>
    <w:rsid w:val="00D1272B"/>
    <w:rsid w:val="00D34A80"/>
    <w:rsid w:val="00D70EA6"/>
    <w:rsid w:val="00E51113"/>
    <w:rsid w:val="00E51DB7"/>
    <w:rsid w:val="00ED4E27"/>
    <w:rsid w:val="00EE7B68"/>
    <w:rsid w:val="00EF469B"/>
    <w:rsid w:val="00F14743"/>
    <w:rsid w:val="00F62101"/>
    <w:rsid w:val="00FB4667"/>
    <w:rsid w:val="00FD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1723"/>
    <w:pPr>
      <w:spacing w:after="0" w:line="240" w:lineRule="auto"/>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F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62101"/>
    <w:pPr>
      <w:tabs>
        <w:tab w:val="center" w:pos="4986"/>
        <w:tab w:val="right" w:pos="9972"/>
      </w:tabs>
    </w:pPr>
  </w:style>
  <w:style w:type="character" w:customStyle="1" w:styleId="AntratsDiagrama">
    <w:name w:val="Antraštės Diagrama"/>
    <w:basedOn w:val="Numatytasispastraiposriftas"/>
    <w:link w:val="Antrats"/>
    <w:uiPriority w:val="99"/>
    <w:rsid w:val="00F62101"/>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F62101"/>
    <w:pPr>
      <w:tabs>
        <w:tab w:val="center" w:pos="4986"/>
        <w:tab w:val="right" w:pos="9972"/>
      </w:tabs>
    </w:pPr>
  </w:style>
  <w:style w:type="character" w:customStyle="1" w:styleId="PoratDiagrama">
    <w:name w:val="Poraštė Diagrama"/>
    <w:basedOn w:val="Numatytasispastraiposriftas"/>
    <w:link w:val="Porat"/>
    <w:uiPriority w:val="99"/>
    <w:rsid w:val="00F62101"/>
    <w:rPr>
      <w:rFonts w:ascii="Times New Roman" w:eastAsia="Times New Roman" w:hAnsi="Times New Roman" w:cs="Times New Roman"/>
      <w:sz w:val="20"/>
      <w:szCs w:val="20"/>
      <w:lang w:val="lt-LT" w:eastAsia="lt-LT"/>
    </w:rPr>
  </w:style>
  <w:style w:type="character" w:styleId="Komentaronuoroda">
    <w:name w:val="annotation reference"/>
    <w:basedOn w:val="Numatytasispastraiposriftas"/>
    <w:uiPriority w:val="99"/>
    <w:semiHidden/>
    <w:unhideWhenUsed/>
    <w:rsid w:val="008F6751"/>
    <w:rPr>
      <w:sz w:val="16"/>
      <w:szCs w:val="16"/>
    </w:rPr>
  </w:style>
  <w:style w:type="paragraph" w:styleId="Komentarotekstas">
    <w:name w:val="annotation text"/>
    <w:basedOn w:val="prastasis"/>
    <w:link w:val="KomentarotekstasDiagrama"/>
    <w:uiPriority w:val="99"/>
    <w:semiHidden/>
    <w:unhideWhenUsed/>
    <w:rsid w:val="008F6751"/>
  </w:style>
  <w:style w:type="character" w:customStyle="1" w:styleId="KomentarotekstasDiagrama">
    <w:name w:val="Komentaro tekstas Diagrama"/>
    <w:basedOn w:val="Numatytasispastraiposriftas"/>
    <w:link w:val="Komentarotekstas"/>
    <w:uiPriority w:val="99"/>
    <w:semiHidden/>
    <w:rsid w:val="008F675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F6751"/>
    <w:rPr>
      <w:b/>
      <w:bCs/>
    </w:rPr>
  </w:style>
  <w:style w:type="character" w:customStyle="1" w:styleId="KomentarotemaDiagrama">
    <w:name w:val="Komentaro tema Diagrama"/>
    <w:basedOn w:val="KomentarotekstasDiagrama"/>
    <w:link w:val="Komentarotema"/>
    <w:uiPriority w:val="99"/>
    <w:semiHidden/>
    <w:rsid w:val="008F6751"/>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8F67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6751"/>
    <w:rPr>
      <w:rFonts w:ascii="Segoe UI" w:eastAsia="Times New Roman" w:hAnsi="Segoe UI" w:cs="Segoe UI"/>
      <w:sz w:val="18"/>
      <w:szCs w:val="18"/>
      <w:lang w:val="lt-LT" w:eastAsia="lt-LT"/>
    </w:rPr>
  </w:style>
  <w:style w:type="paragraph" w:styleId="Pagrindinistekstas">
    <w:name w:val="Body Text"/>
    <w:aliases w:val="Hyperlink"/>
    <w:basedOn w:val="prastasis"/>
    <w:link w:val="PagrindinistekstasDiagrama"/>
    <w:rsid w:val="007773DD"/>
    <w:pPr>
      <w:spacing w:line="360" w:lineRule="auto"/>
      <w:ind w:firstLine="720"/>
      <w:jc w:val="both"/>
    </w:pPr>
    <w:rPr>
      <w:b/>
      <w:sz w:val="24"/>
      <w:lang w:eastAsia="en-US"/>
    </w:rPr>
  </w:style>
  <w:style w:type="character" w:customStyle="1" w:styleId="PagrindinistekstasDiagrama">
    <w:name w:val="Pagrindinis tekstas Diagrama"/>
    <w:aliases w:val="Hyperlink Diagrama"/>
    <w:basedOn w:val="Numatytasispastraiposriftas"/>
    <w:link w:val="Pagrindinistekstas"/>
    <w:rsid w:val="007773DD"/>
    <w:rPr>
      <w:rFonts w:ascii="Times New Roman" w:eastAsia="Times New Roman" w:hAnsi="Times New Roman" w:cs="Times New Roman"/>
      <w:b/>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1723"/>
    <w:pPr>
      <w:spacing w:after="0" w:line="240" w:lineRule="auto"/>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F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62101"/>
    <w:pPr>
      <w:tabs>
        <w:tab w:val="center" w:pos="4986"/>
        <w:tab w:val="right" w:pos="9972"/>
      </w:tabs>
    </w:pPr>
  </w:style>
  <w:style w:type="character" w:customStyle="1" w:styleId="AntratsDiagrama">
    <w:name w:val="Antraštės Diagrama"/>
    <w:basedOn w:val="Numatytasispastraiposriftas"/>
    <w:link w:val="Antrats"/>
    <w:uiPriority w:val="99"/>
    <w:rsid w:val="00F62101"/>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F62101"/>
    <w:pPr>
      <w:tabs>
        <w:tab w:val="center" w:pos="4986"/>
        <w:tab w:val="right" w:pos="9972"/>
      </w:tabs>
    </w:pPr>
  </w:style>
  <w:style w:type="character" w:customStyle="1" w:styleId="PoratDiagrama">
    <w:name w:val="Poraštė Diagrama"/>
    <w:basedOn w:val="Numatytasispastraiposriftas"/>
    <w:link w:val="Porat"/>
    <w:uiPriority w:val="99"/>
    <w:rsid w:val="00F62101"/>
    <w:rPr>
      <w:rFonts w:ascii="Times New Roman" w:eastAsia="Times New Roman" w:hAnsi="Times New Roman" w:cs="Times New Roman"/>
      <w:sz w:val="20"/>
      <w:szCs w:val="20"/>
      <w:lang w:val="lt-LT" w:eastAsia="lt-LT"/>
    </w:rPr>
  </w:style>
  <w:style w:type="character" w:styleId="Komentaronuoroda">
    <w:name w:val="annotation reference"/>
    <w:basedOn w:val="Numatytasispastraiposriftas"/>
    <w:uiPriority w:val="99"/>
    <w:semiHidden/>
    <w:unhideWhenUsed/>
    <w:rsid w:val="008F6751"/>
    <w:rPr>
      <w:sz w:val="16"/>
      <w:szCs w:val="16"/>
    </w:rPr>
  </w:style>
  <w:style w:type="paragraph" w:styleId="Komentarotekstas">
    <w:name w:val="annotation text"/>
    <w:basedOn w:val="prastasis"/>
    <w:link w:val="KomentarotekstasDiagrama"/>
    <w:uiPriority w:val="99"/>
    <w:semiHidden/>
    <w:unhideWhenUsed/>
    <w:rsid w:val="008F6751"/>
  </w:style>
  <w:style w:type="character" w:customStyle="1" w:styleId="KomentarotekstasDiagrama">
    <w:name w:val="Komentaro tekstas Diagrama"/>
    <w:basedOn w:val="Numatytasispastraiposriftas"/>
    <w:link w:val="Komentarotekstas"/>
    <w:uiPriority w:val="99"/>
    <w:semiHidden/>
    <w:rsid w:val="008F675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F6751"/>
    <w:rPr>
      <w:b/>
      <w:bCs/>
    </w:rPr>
  </w:style>
  <w:style w:type="character" w:customStyle="1" w:styleId="KomentarotemaDiagrama">
    <w:name w:val="Komentaro tema Diagrama"/>
    <w:basedOn w:val="KomentarotekstasDiagrama"/>
    <w:link w:val="Komentarotema"/>
    <w:uiPriority w:val="99"/>
    <w:semiHidden/>
    <w:rsid w:val="008F6751"/>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8F67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6751"/>
    <w:rPr>
      <w:rFonts w:ascii="Segoe UI" w:eastAsia="Times New Roman" w:hAnsi="Segoe UI" w:cs="Segoe UI"/>
      <w:sz w:val="18"/>
      <w:szCs w:val="18"/>
      <w:lang w:val="lt-LT" w:eastAsia="lt-LT"/>
    </w:rPr>
  </w:style>
  <w:style w:type="paragraph" w:styleId="Pagrindinistekstas">
    <w:name w:val="Body Text"/>
    <w:aliases w:val="Hyperlink"/>
    <w:basedOn w:val="prastasis"/>
    <w:link w:val="PagrindinistekstasDiagrama"/>
    <w:rsid w:val="007773DD"/>
    <w:pPr>
      <w:spacing w:line="360" w:lineRule="auto"/>
      <w:ind w:firstLine="720"/>
      <w:jc w:val="both"/>
    </w:pPr>
    <w:rPr>
      <w:b/>
      <w:sz w:val="24"/>
      <w:lang w:eastAsia="en-US"/>
    </w:rPr>
  </w:style>
  <w:style w:type="character" w:customStyle="1" w:styleId="PagrindinistekstasDiagrama">
    <w:name w:val="Pagrindinis tekstas Diagrama"/>
    <w:aliases w:val="Hyperlink Diagrama"/>
    <w:basedOn w:val="Numatytasispastraiposriftas"/>
    <w:link w:val="Pagrindinistekstas"/>
    <w:rsid w:val="007773DD"/>
    <w:rPr>
      <w:rFonts w:ascii="Times New Roman" w:eastAsia="Times New Roman" w:hAnsi="Times New Roman" w:cs="Times New Roman"/>
      <w:b/>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A4F30-9282-4AC8-9E21-9C8CF60D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C8F87E0D</Template>
  <TotalTime>1</TotalTime>
  <Pages>5</Pages>
  <Words>10380</Words>
  <Characters>5918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2018-08-10T09:09:00Z</dcterms:created>
  <dc:creator>Jurgita Norkienė</dc:creator>
  <cp:lastModifiedBy>Vidmantas Tamulis</cp:lastModifiedBy>
  <dcterms:modified xsi:type="dcterms:W3CDTF">2018-08-10T09:09:00Z</dcterms:modified>
  <cp:revision>3</cp:revision>
</cp:coreProperties>
</file>