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52B5" w14:textId="69C30C93" w:rsidR="0012478F" w:rsidRPr="00D72ED1" w:rsidRDefault="0012478F" w:rsidP="0012478F">
      <w:pPr>
        <w:jc w:val="center"/>
        <w:textAlignment w:val="center"/>
        <w:rPr>
          <w:b/>
          <w:bCs/>
          <w:color w:val="000000"/>
          <w:sz w:val="24"/>
          <w:szCs w:val="24"/>
        </w:rPr>
      </w:pPr>
      <w:r w:rsidRPr="00D72ED1">
        <w:rPr>
          <w:b/>
          <w:bCs/>
          <w:color w:val="000000"/>
          <w:sz w:val="24"/>
          <w:szCs w:val="24"/>
        </w:rPr>
        <w:t xml:space="preserve">LIETUVOS RESPUBLIKOS VYRIAUSYBĖS </w:t>
      </w:r>
      <w:r w:rsidRPr="00D72ED1">
        <w:rPr>
          <w:b/>
          <w:color w:val="000000" w:themeColor="text1"/>
          <w:sz w:val="24"/>
          <w:szCs w:val="24"/>
        </w:rPr>
        <w:t>NUTARIMO</w:t>
      </w:r>
    </w:p>
    <w:p w14:paraId="655C7278" w14:textId="578429E3" w:rsidR="001535B0" w:rsidRPr="00D72ED1" w:rsidRDefault="0012478F" w:rsidP="00D72ED1">
      <w:pPr>
        <w:jc w:val="center"/>
        <w:textAlignment w:val="center"/>
        <w:rPr>
          <w:rStyle w:val="IntenseReference"/>
          <w:caps/>
          <w:smallCaps w:val="0"/>
          <w:color w:val="auto"/>
          <w:spacing w:val="0"/>
          <w:sz w:val="24"/>
          <w:szCs w:val="24"/>
          <w:u w:val="none"/>
        </w:rPr>
      </w:pPr>
      <w:r w:rsidRPr="00D72ED1">
        <w:rPr>
          <w:b/>
          <w:bCs/>
          <w:color w:val="000000"/>
          <w:sz w:val="24"/>
          <w:szCs w:val="24"/>
        </w:rPr>
        <w:t> „</w:t>
      </w:r>
      <w:r w:rsidRPr="00D72ED1">
        <w:rPr>
          <w:b/>
          <w:bCs/>
          <w:caps/>
          <w:sz w:val="24"/>
          <w:szCs w:val="24"/>
        </w:rPr>
        <w:t xml:space="preserve">DĖL paramos atsinaujinančių išteklių energijos plėtrai </w:t>
      </w:r>
      <w:r w:rsidRPr="00D72ED1">
        <w:rPr>
          <w:b/>
          <w:bCs/>
          <w:caps/>
          <w:color w:val="000000"/>
          <w:sz w:val="24"/>
          <w:szCs w:val="24"/>
        </w:rPr>
        <w:t>LIETUVOS RESPUBLIKOJE ADMINISTRAVIMO TAISYKLIŲ PATVIRTINIMO“</w:t>
      </w:r>
      <w:r w:rsidR="00D72ED1">
        <w:rPr>
          <w:b/>
          <w:bCs/>
          <w:caps/>
          <w:sz w:val="24"/>
          <w:szCs w:val="24"/>
        </w:rPr>
        <w:t xml:space="preserve"> </w:t>
      </w:r>
      <w:r w:rsidR="000C0F4F" w:rsidRPr="00D72ED1">
        <w:rPr>
          <w:rStyle w:val="IntenseReference"/>
          <w:caps/>
          <w:color w:val="000000" w:themeColor="text1"/>
          <w:sz w:val="24"/>
          <w:szCs w:val="24"/>
          <w:u w:val="none"/>
        </w:rPr>
        <w:t>PROJEKTO</w:t>
      </w:r>
      <w:r w:rsidR="004B6024" w:rsidRPr="00D72ED1">
        <w:rPr>
          <w:rStyle w:val="IntenseReference"/>
          <w:caps/>
          <w:color w:val="000000" w:themeColor="text1"/>
          <w:sz w:val="24"/>
          <w:szCs w:val="24"/>
          <w:u w:val="none"/>
        </w:rPr>
        <w:t xml:space="preserve"> (</w:t>
      </w:r>
      <w:r w:rsidR="00BC627E" w:rsidRPr="00D72ED1">
        <w:rPr>
          <w:rStyle w:val="IntenseReference"/>
          <w:caps/>
          <w:color w:val="000000" w:themeColor="text1"/>
          <w:sz w:val="24"/>
          <w:szCs w:val="24"/>
          <w:u w:val="none"/>
        </w:rPr>
        <w:t xml:space="preserve">TOLIAU </w:t>
      </w:r>
      <w:r w:rsidR="000C238A">
        <w:rPr>
          <w:rStyle w:val="IntenseReference"/>
          <w:caps/>
          <w:color w:val="000000" w:themeColor="text1"/>
          <w:sz w:val="24"/>
          <w:szCs w:val="24"/>
          <w:u w:val="none"/>
        </w:rPr>
        <w:t>–</w:t>
      </w:r>
      <w:r w:rsidR="00961394">
        <w:rPr>
          <w:rStyle w:val="IntenseReference"/>
          <w:caps/>
          <w:color w:val="000000" w:themeColor="text1"/>
          <w:sz w:val="24"/>
          <w:szCs w:val="24"/>
          <w:u w:val="none"/>
        </w:rPr>
        <w:t xml:space="preserve"> NUTARIMO</w:t>
      </w:r>
      <w:r w:rsidR="000C238A" w:rsidRPr="00D72ED1">
        <w:rPr>
          <w:rStyle w:val="IntenseReference"/>
          <w:caps/>
          <w:color w:val="000000" w:themeColor="text1"/>
          <w:sz w:val="24"/>
          <w:szCs w:val="24"/>
          <w:u w:val="none"/>
        </w:rPr>
        <w:t xml:space="preserve"> </w:t>
      </w:r>
      <w:r w:rsidR="004B6024" w:rsidRPr="00D72ED1">
        <w:rPr>
          <w:rStyle w:val="IntenseReference"/>
          <w:caps/>
          <w:color w:val="000000" w:themeColor="text1"/>
          <w:sz w:val="24"/>
          <w:szCs w:val="24"/>
          <w:u w:val="none"/>
        </w:rPr>
        <w:t>projektas)</w:t>
      </w:r>
      <w:r w:rsidR="001535B0" w:rsidRPr="00D72ED1">
        <w:rPr>
          <w:rStyle w:val="IntenseReference"/>
          <w:caps/>
          <w:color w:val="000000" w:themeColor="text1"/>
          <w:sz w:val="24"/>
          <w:szCs w:val="24"/>
          <w:u w:val="none"/>
        </w:rPr>
        <w:t xml:space="preserve"> (TAIS Nr. 20-</w:t>
      </w:r>
      <w:r w:rsidRPr="00D72ED1">
        <w:rPr>
          <w:rStyle w:val="IntenseReference"/>
          <w:caps/>
          <w:color w:val="000000" w:themeColor="text1"/>
          <w:sz w:val="24"/>
          <w:szCs w:val="24"/>
          <w:u w:val="none"/>
        </w:rPr>
        <w:t>11646</w:t>
      </w:r>
      <w:r w:rsidR="001535B0" w:rsidRPr="00D72ED1">
        <w:rPr>
          <w:rStyle w:val="IntenseReference"/>
          <w:caps/>
          <w:color w:val="000000" w:themeColor="text1"/>
          <w:sz w:val="24"/>
          <w:szCs w:val="24"/>
          <w:u w:val="none"/>
        </w:rPr>
        <w:t>)</w:t>
      </w:r>
    </w:p>
    <w:p w14:paraId="6FE3F3BB" w14:textId="77777777" w:rsidR="008D375C" w:rsidRPr="00D72ED1" w:rsidRDefault="008D375C" w:rsidP="008D375C">
      <w:pPr>
        <w:tabs>
          <w:tab w:val="left" w:pos="6804"/>
        </w:tabs>
        <w:jc w:val="center"/>
        <w:rPr>
          <w:rStyle w:val="IntenseReference"/>
          <w:caps/>
          <w:smallCaps w:val="0"/>
          <w:color w:val="000000" w:themeColor="text1"/>
          <w:sz w:val="24"/>
          <w:szCs w:val="24"/>
          <w:u w:val="none"/>
        </w:rPr>
      </w:pPr>
      <w:r w:rsidRPr="00D72ED1">
        <w:rPr>
          <w:rStyle w:val="IntenseReference"/>
          <w:caps/>
          <w:color w:val="000000" w:themeColor="text1"/>
          <w:sz w:val="24"/>
          <w:szCs w:val="24"/>
          <w:u w:val="none"/>
        </w:rPr>
        <w:t>DERINIMO PAŽYMA</w:t>
      </w:r>
    </w:p>
    <w:p w14:paraId="41662E62" w14:textId="77777777" w:rsidR="00FB0260" w:rsidRPr="00BC627E" w:rsidRDefault="00FB0260" w:rsidP="008D375C">
      <w:pPr>
        <w:tabs>
          <w:tab w:val="left" w:pos="6804"/>
        </w:tabs>
        <w:jc w:val="center"/>
        <w:rPr>
          <w:rStyle w:val="IntenseReference"/>
          <w:b w:val="0"/>
          <w:bCs w:val="0"/>
          <w:caps/>
          <w:smallCaps w:val="0"/>
          <w:color w:val="auto"/>
          <w:sz w:val="22"/>
          <w:szCs w:val="22"/>
          <w:u w:val="none"/>
        </w:rPr>
      </w:pPr>
    </w:p>
    <w:tbl>
      <w:tblPr>
        <w:tblStyle w:val="TableGrid"/>
        <w:tblW w:w="15163" w:type="dxa"/>
        <w:tblLayout w:type="fixed"/>
        <w:tblLook w:val="04A0" w:firstRow="1" w:lastRow="0" w:firstColumn="1" w:lastColumn="0" w:noHBand="0" w:noVBand="1"/>
      </w:tblPr>
      <w:tblGrid>
        <w:gridCol w:w="846"/>
        <w:gridCol w:w="2693"/>
        <w:gridCol w:w="6804"/>
        <w:gridCol w:w="4784"/>
        <w:gridCol w:w="36"/>
      </w:tblGrid>
      <w:tr w:rsidR="008D375C" w:rsidRPr="00B010BD" w14:paraId="0B7FCA1F" w14:textId="77777777" w:rsidTr="001A3F44">
        <w:trPr>
          <w:trHeight w:val="567"/>
        </w:trPr>
        <w:tc>
          <w:tcPr>
            <w:tcW w:w="846" w:type="dxa"/>
          </w:tcPr>
          <w:p w14:paraId="7D55B677" w14:textId="77777777" w:rsidR="008D375C" w:rsidRPr="00B010BD" w:rsidRDefault="008D375C" w:rsidP="00E866E0">
            <w:pPr>
              <w:rPr>
                <w:b/>
                <w:sz w:val="22"/>
                <w:szCs w:val="22"/>
              </w:rPr>
            </w:pPr>
            <w:r w:rsidRPr="00B010BD">
              <w:rPr>
                <w:b/>
                <w:sz w:val="22"/>
                <w:szCs w:val="22"/>
              </w:rPr>
              <w:t>Eil. Nr.</w:t>
            </w:r>
          </w:p>
        </w:tc>
        <w:tc>
          <w:tcPr>
            <w:tcW w:w="2693" w:type="dxa"/>
          </w:tcPr>
          <w:p w14:paraId="5C45E246" w14:textId="77777777" w:rsidR="008D375C" w:rsidRPr="00B010BD" w:rsidRDefault="008D375C" w:rsidP="00E866E0">
            <w:pPr>
              <w:jc w:val="center"/>
              <w:rPr>
                <w:b/>
                <w:sz w:val="22"/>
                <w:szCs w:val="22"/>
              </w:rPr>
            </w:pPr>
            <w:r w:rsidRPr="00B010BD">
              <w:rPr>
                <w:b/>
                <w:bCs/>
                <w:sz w:val="22"/>
                <w:szCs w:val="22"/>
              </w:rPr>
              <w:t>Institucijos, su kuria derinta, pavadinimas, rašto data ir numeris</w:t>
            </w:r>
          </w:p>
        </w:tc>
        <w:tc>
          <w:tcPr>
            <w:tcW w:w="6804" w:type="dxa"/>
          </w:tcPr>
          <w:p w14:paraId="000678C4" w14:textId="77777777" w:rsidR="008D375C" w:rsidRPr="00B010BD" w:rsidRDefault="008D375C" w:rsidP="00E866E0">
            <w:pPr>
              <w:jc w:val="center"/>
              <w:rPr>
                <w:b/>
                <w:sz w:val="22"/>
                <w:szCs w:val="22"/>
              </w:rPr>
            </w:pPr>
            <w:r w:rsidRPr="00B010BD">
              <w:rPr>
                <w:b/>
                <w:bCs/>
                <w:sz w:val="22"/>
                <w:szCs w:val="22"/>
              </w:rPr>
              <w:t>Pastabos ir pasiūlymai</w:t>
            </w:r>
          </w:p>
        </w:tc>
        <w:tc>
          <w:tcPr>
            <w:tcW w:w="4820" w:type="dxa"/>
            <w:gridSpan w:val="2"/>
          </w:tcPr>
          <w:p w14:paraId="1353A8CF" w14:textId="77777777" w:rsidR="008D375C" w:rsidRPr="00B010BD" w:rsidRDefault="008D375C" w:rsidP="00E866E0">
            <w:pPr>
              <w:jc w:val="center"/>
              <w:rPr>
                <w:b/>
                <w:sz w:val="22"/>
                <w:szCs w:val="22"/>
              </w:rPr>
            </w:pPr>
            <w:r w:rsidRPr="00B010BD">
              <w:rPr>
                <w:b/>
                <w:bCs/>
                <w:sz w:val="22"/>
                <w:szCs w:val="22"/>
              </w:rPr>
              <w:t>Žyma apie pastabas ir pasiūlymus, į kuriuos nebuvo atsižvelgta arba atsižvelgta iš dalies</w:t>
            </w:r>
          </w:p>
        </w:tc>
      </w:tr>
      <w:tr w:rsidR="00247F23" w:rsidRPr="00B010BD" w14:paraId="481023FC" w14:textId="77777777" w:rsidTr="00247F23">
        <w:trPr>
          <w:gridAfter w:val="1"/>
          <w:wAfter w:w="36" w:type="dxa"/>
        </w:trPr>
        <w:tc>
          <w:tcPr>
            <w:tcW w:w="846" w:type="dxa"/>
          </w:tcPr>
          <w:p w14:paraId="28C559BB" w14:textId="77777777" w:rsidR="00247F23" w:rsidRPr="00B010BD" w:rsidRDefault="00247F23">
            <w:pPr>
              <w:rPr>
                <w:sz w:val="22"/>
                <w:szCs w:val="22"/>
              </w:rPr>
            </w:pPr>
          </w:p>
        </w:tc>
        <w:tc>
          <w:tcPr>
            <w:tcW w:w="2693" w:type="dxa"/>
          </w:tcPr>
          <w:p w14:paraId="36101767" w14:textId="505B9629" w:rsidR="00247F23" w:rsidRPr="00B010BD" w:rsidRDefault="00FC290E">
            <w:pPr>
              <w:rPr>
                <w:sz w:val="22"/>
                <w:szCs w:val="22"/>
              </w:rPr>
            </w:pPr>
            <w:r>
              <w:rPr>
                <w:sz w:val="22"/>
                <w:szCs w:val="22"/>
              </w:rPr>
              <w:t xml:space="preserve">Lietuvos Respublikos </w:t>
            </w:r>
            <w:r w:rsidR="000C238A">
              <w:rPr>
                <w:sz w:val="22"/>
                <w:szCs w:val="22"/>
              </w:rPr>
              <w:t>e</w:t>
            </w:r>
            <w:r w:rsidRPr="00B010BD">
              <w:rPr>
                <w:sz w:val="22"/>
                <w:szCs w:val="22"/>
              </w:rPr>
              <w:t>konomikos ir inovacijų ministerijos</w:t>
            </w:r>
            <w:r>
              <w:rPr>
                <w:sz w:val="22"/>
                <w:szCs w:val="22"/>
              </w:rPr>
              <w:t xml:space="preserve"> </w:t>
            </w:r>
            <w:r w:rsidRPr="00B010BD">
              <w:rPr>
                <w:sz w:val="22"/>
                <w:szCs w:val="22"/>
                <w:lang w:val="en-US"/>
              </w:rPr>
              <w:t xml:space="preserve">2020 m. </w:t>
            </w:r>
            <w:r w:rsidR="0012478F">
              <w:rPr>
                <w:sz w:val="22"/>
                <w:szCs w:val="22"/>
                <w:lang w:val="en-US"/>
              </w:rPr>
              <w:t>rugs</w:t>
            </w:r>
            <w:r w:rsidR="0012478F">
              <w:rPr>
                <w:sz w:val="22"/>
                <w:szCs w:val="22"/>
              </w:rPr>
              <w:t>ė</w:t>
            </w:r>
            <w:r w:rsidR="000C238A">
              <w:rPr>
                <w:sz w:val="22"/>
                <w:szCs w:val="22"/>
              </w:rPr>
              <w:t>j</w:t>
            </w:r>
            <w:r w:rsidR="0012478F">
              <w:rPr>
                <w:sz w:val="22"/>
                <w:szCs w:val="22"/>
              </w:rPr>
              <w:t>o</w:t>
            </w:r>
            <w:r w:rsidR="00BC627E">
              <w:rPr>
                <w:sz w:val="22"/>
                <w:szCs w:val="22"/>
                <w:lang w:val="en-US"/>
              </w:rPr>
              <w:t xml:space="preserve"> </w:t>
            </w:r>
            <w:r w:rsidR="000565AF">
              <w:rPr>
                <w:sz w:val="22"/>
                <w:szCs w:val="22"/>
                <w:lang w:val="en-US"/>
              </w:rPr>
              <w:t>9</w:t>
            </w:r>
            <w:r w:rsidR="00BC627E">
              <w:rPr>
                <w:sz w:val="22"/>
                <w:szCs w:val="22"/>
                <w:lang w:val="en-US"/>
              </w:rPr>
              <w:t xml:space="preserve"> </w:t>
            </w:r>
            <w:r w:rsidRPr="00B010BD">
              <w:rPr>
                <w:sz w:val="22"/>
                <w:szCs w:val="22"/>
                <w:lang w:val="en-US"/>
              </w:rPr>
              <w:t>d. raštas Nr.</w:t>
            </w:r>
            <w:r w:rsidR="000565AF">
              <w:t xml:space="preserve"> </w:t>
            </w:r>
            <w:r w:rsidR="000565AF" w:rsidRPr="000565AF">
              <w:rPr>
                <w:sz w:val="22"/>
                <w:szCs w:val="22"/>
                <w:lang w:val="en-US"/>
              </w:rPr>
              <w:t>3-3618</w:t>
            </w:r>
          </w:p>
        </w:tc>
        <w:tc>
          <w:tcPr>
            <w:tcW w:w="6804" w:type="dxa"/>
          </w:tcPr>
          <w:p w14:paraId="225E944D" w14:textId="3BA7A508" w:rsidR="00247F23" w:rsidRPr="00575A8D" w:rsidRDefault="00D72ED1" w:rsidP="00D72ED1">
            <w:pPr>
              <w:jc w:val="both"/>
              <w:rPr>
                <w:sz w:val="22"/>
                <w:szCs w:val="22"/>
              </w:rPr>
            </w:pPr>
            <w:r w:rsidRPr="00575A8D">
              <w:rPr>
                <w:sz w:val="22"/>
                <w:szCs w:val="22"/>
              </w:rPr>
              <w:t xml:space="preserve">Lietuvos Respublikos energetikos įstatymo 5 straipsnio 1 dalies 6 punkte nustatyta, kad Lietuvos Respublikos Vyriausybė „nustato atsinaujinančių išteklių energijos gamybos ir vartojimo skatinimo tvarką ir sąlygas“. Tuo tarpu teikiamame Nutarimo projekte siūloma nustatyti </w:t>
            </w:r>
            <w:r w:rsidRPr="00575A8D">
              <w:rPr>
                <w:sz w:val="22"/>
                <w:szCs w:val="22"/>
                <w:shd w:val="clear" w:color="auto" w:fill="FFFFFF"/>
              </w:rPr>
              <w:t>Paramos a</w:t>
            </w:r>
            <w:r w:rsidRPr="00575A8D">
              <w:rPr>
                <w:sz w:val="22"/>
                <w:szCs w:val="22"/>
              </w:rPr>
              <w:t xml:space="preserve">tsinaujinančių išteklių energijos plėtrai </w:t>
            </w:r>
            <w:r w:rsidRPr="00575A8D">
              <w:rPr>
                <w:sz w:val="22"/>
                <w:szCs w:val="22"/>
                <w:shd w:val="clear" w:color="auto" w:fill="FFFFFF"/>
              </w:rPr>
              <w:t xml:space="preserve">Lietuvos Respublikoje administravimo </w:t>
            </w:r>
            <w:r w:rsidRPr="00575A8D">
              <w:rPr>
                <w:sz w:val="22"/>
                <w:szCs w:val="22"/>
              </w:rPr>
              <w:t xml:space="preserve">taisykles, kuriomis nustatomos „paramos šaltinių &lt;...&gt; panaudojimo Lietuvos Respublikoje atsinaujinančių energijos išteklių plėtros ir mokslinių tyrimų atsinaujinančių išteklių energetikos srityje projektų vykdymo, priežiūros ir atrankos reikalavimus, funkcijų, teisių ir atsakomybės pasiskirstymą tarp institucijų ir projekto atrankos komiteto“. Atkreiptinas dėmesys, kad skatinimas paprastai apima palankių sąlygų tam tikro nustatyto dalyko plėtrai, šiuo atveju atsinaujinančių išteklių energijos plėtrai, sudarymą. Parama suprantama kaip kryptinga priemonių visuma nustatytam rezultatui pasiekti, todėl ji galėtų būti laikoma skatinimo dalimi. Atsižvelgiant į tai, kad parama – tai yra skatinimo dalis, siūlytina peržiūrėti pateiktą derinimui Nutarimo projektą ir jame nustatyti tai, kas yra pavesta Įstatymu – atsinaujinančių išteklių energijos gamybos ir vartojimo </w:t>
            </w:r>
            <w:r w:rsidRPr="00575A8D">
              <w:rPr>
                <w:rStyle w:val="Strong"/>
                <w:sz w:val="22"/>
                <w:szCs w:val="22"/>
              </w:rPr>
              <w:t>skatinimo</w:t>
            </w:r>
            <w:r w:rsidRPr="00575A8D">
              <w:rPr>
                <w:sz w:val="22"/>
                <w:szCs w:val="22"/>
              </w:rPr>
              <w:t xml:space="preserve"> tvarką ir sąlygas.</w:t>
            </w:r>
          </w:p>
        </w:tc>
        <w:tc>
          <w:tcPr>
            <w:tcW w:w="4784" w:type="dxa"/>
          </w:tcPr>
          <w:p w14:paraId="216C0532" w14:textId="5C12A5B6" w:rsidR="00081022" w:rsidRPr="007033CC" w:rsidRDefault="003B16DF" w:rsidP="007033CC">
            <w:pPr>
              <w:jc w:val="both"/>
              <w:rPr>
                <w:color w:val="000000"/>
                <w:sz w:val="22"/>
                <w:szCs w:val="22"/>
              </w:rPr>
            </w:pPr>
            <w:r w:rsidRPr="007033CC">
              <w:rPr>
                <w:b/>
                <w:bCs/>
                <w:sz w:val="22"/>
                <w:szCs w:val="22"/>
                <w:lang w:val="en-US"/>
              </w:rPr>
              <w:t>Neatsižvelgta.</w:t>
            </w:r>
            <w:r w:rsidR="00081022" w:rsidRPr="007033CC">
              <w:rPr>
                <w:sz w:val="22"/>
                <w:szCs w:val="22"/>
                <w:lang w:val="en-US"/>
              </w:rPr>
              <w:t xml:space="preserve"> </w:t>
            </w:r>
            <w:r w:rsidR="001245B8" w:rsidRPr="007033CC">
              <w:rPr>
                <w:sz w:val="22"/>
                <w:szCs w:val="22"/>
                <w:lang w:val="en-US"/>
              </w:rPr>
              <w:t xml:space="preserve">Esminė atsinaujinančių išteklių </w:t>
            </w:r>
            <w:r w:rsidR="00467F60">
              <w:rPr>
                <w:sz w:val="22"/>
                <w:szCs w:val="22"/>
                <w:lang w:val="en-US"/>
              </w:rPr>
              <w:t>naudojimo</w:t>
            </w:r>
            <w:r w:rsidR="001245B8" w:rsidRPr="007033CC">
              <w:rPr>
                <w:sz w:val="22"/>
                <w:szCs w:val="22"/>
                <w:lang w:val="en-US"/>
              </w:rPr>
              <w:t xml:space="preserve"> skatinimo tvarka ir sąlygos yra nustatytos</w:t>
            </w:r>
            <w:r w:rsidR="000C238A">
              <w:rPr>
                <w:sz w:val="22"/>
                <w:szCs w:val="22"/>
                <w:lang w:val="en-US"/>
              </w:rPr>
              <w:t xml:space="preserve"> </w:t>
            </w:r>
            <w:r w:rsidR="001245B8" w:rsidRPr="007033CC">
              <w:rPr>
                <w:sz w:val="22"/>
                <w:szCs w:val="22"/>
                <w:lang w:val="en-US"/>
              </w:rPr>
              <w:t xml:space="preserve">Lietuvos Respublikos Vyriausybės </w:t>
            </w:r>
            <w:r w:rsidR="000C238A">
              <w:rPr>
                <w:sz w:val="22"/>
                <w:szCs w:val="22"/>
                <w:lang w:val="en-US"/>
              </w:rPr>
              <w:br/>
            </w:r>
            <w:r w:rsidR="007033CC" w:rsidRPr="007033CC">
              <w:rPr>
                <w:color w:val="000000"/>
                <w:sz w:val="22"/>
                <w:szCs w:val="22"/>
              </w:rPr>
              <w:t>2012 m. liepos 4 d. </w:t>
            </w:r>
            <w:r w:rsidR="001245B8" w:rsidRPr="007033CC">
              <w:rPr>
                <w:sz w:val="22"/>
                <w:szCs w:val="22"/>
                <w:lang w:val="en-US"/>
              </w:rPr>
              <w:t xml:space="preserve">nutarimu </w:t>
            </w:r>
            <w:r w:rsidR="007033CC" w:rsidRPr="007033CC">
              <w:rPr>
                <w:color w:val="000000"/>
                <w:sz w:val="22"/>
                <w:szCs w:val="22"/>
              </w:rPr>
              <w:t>Nr. 827</w:t>
            </w:r>
            <w:r w:rsidR="007033CC" w:rsidRPr="007033CC">
              <w:rPr>
                <w:sz w:val="22"/>
                <w:szCs w:val="22"/>
                <w:lang w:val="en-US"/>
              </w:rPr>
              <w:t xml:space="preserve"> </w:t>
            </w:r>
            <w:r w:rsidR="000C238A">
              <w:rPr>
                <w:sz w:val="22"/>
                <w:szCs w:val="22"/>
                <w:lang w:val="en-US"/>
              </w:rPr>
              <w:t>„</w:t>
            </w:r>
            <w:r w:rsidR="001245B8" w:rsidRPr="007033CC">
              <w:rPr>
                <w:sz w:val="22"/>
                <w:szCs w:val="22"/>
                <w:lang w:val="en-US"/>
              </w:rPr>
              <w:t xml:space="preserve">Dėl </w:t>
            </w:r>
            <w:r w:rsidR="001245B8" w:rsidRPr="007033CC">
              <w:rPr>
                <w:color w:val="000000"/>
                <w:sz w:val="22"/>
                <w:szCs w:val="22"/>
              </w:rPr>
              <w:t>Atsinaujinančių energijos išteklių naudojimo energijai gaminti skatinimo tvarkos aprašo patvirtinimo</w:t>
            </w:r>
            <w:r w:rsidR="007033CC" w:rsidRPr="007033CC">
              <w:rPr>
                <w:color w:val="000000"/>
                <w:sz w:val="22"/>
                <w:szCs w:val="22"/>
              </w:rPr>
              <w:t>“</w:t>
            </w:r>
            <w:r w:rsidR="001245B8" w:rsidRPr="007033CC">
              <w:rPr>
                <w:color w:val="000000"/>
                <w:sz w:val="22"/>
                <w:szCs w:val="22"/>
              </w:rPr>
              <w:t xml:space="preserve"> ir </w:t>
            </w:r>
            <w:r w:rsidR="007033CC" w:rsidRPr="007033CC">
              <w:rPr>
                <w:sz w:val="22"/>
                <w:szCs w:val="22"/>
                <w:lang w:val="en-US"/>
              </w:rPr>
              <w:t xml:space="preserve">Lietuvos Respublikos Vyriausybės </w:t>
            </w:r>
            <w:r w:rsidR="007033CC" w:rsidRPr="007033CC">
              <w:rPr>
                <w:color w:val="000000"/>
                <w:sz w:val="22"/>
                <w:szCs w:val="22"/>
              </w:rPr>
              <w:t xml:space="preserve">2019 m. rugpjūčio 7 d. </w:t>
            </w:r>
            <w:r w:rsidR="007033CC" w:rsidRPr="007033CC">
              <w:rPr>
                <w:sz w:val="22"/>
                <w:szCs w:val="22"/>
                <w:lang w:val="en-US"/>
              </w:rPr>
              <w:t xml:space="preserve">nutarimu  Nr. 829 </w:t>
            </w:r>
            <w:r w:rsidR="000C238A">
              <w:rPr>
                <w:sz w:val="22"/>
                <w:szCs w:val="22"/>
                <w:lang w:val="en-US"/>
              </w:rPr>
              <w:t>„</w:t>
            </w:r>
            <w:r w:rsidR="007033CC" w:rsidRPr="007033CC">
              <w:rPr>
                <w:sz w:val="22"/>
                <w:szCs w:val="22"/>
                <w:lang w:val="en-US"/>
              </w:rPr>
              <w:t>Dėl veiklos elektros energetikos sektoriuje leidimų išdavimo taisyklių patvirtinimo</w:t>
            </w:r>
            <w:r w:rsidR="000C238A">
              <w:rPr>
                <w:sz w:val="22"/>
                <w:szCs w:val="22"/>
                <w:lang w:val="en-US"/>
              </w:rPr>
              <w:t>“</w:t>
            </w:r>
            <w:r w:rsidR="007033CC" w:rsidRPr="007033CC">
              <w:rPr>
                <w:sz w:val="22"/>
                <w:szCs w:val="22"/>
                <w:lang w:val="en-US"/>
              </w:rPr>
              <w:t xml:space="preserve">. Šiuo </w:t>
            </w:r>
            <w:r w:rsidR="0074348B" w:rsidRPr="007033CC">
              <w:rPr>
                <w:sz w:val="22"/>
                <w:szCs w:val="22"/>
                <w:lang w:val="en-US"/>
              </w:rPr>
              <w:t xml:space="preserve">Lietuvos Respublikos Vyriausybės nutarimu siūloma patvirtinti </w:t>
            </w:r>
            <w:r w:rsidR="0074348B" w:rsidRPr="007033CC">
              <w:rPr>
                <w:sz w:val="22"/>
                <w:szCs w:val="22"/>
                <w:shd w:val="clear" w:color="auto" w:fill="FFFFFF"/>
              </w:rPr>
              <w:t>Paramos a</w:t>
            </w:r>
            <w:r w:rsidR="0074348B" w:rsidRPr="007033CC">
              <w:rPr>
                <w:sz w:val="22"/>
                <w:szCs w:val="22"/>
              </w:rPr>
              <w:t xml:space="preserve">tsinaujinančių išteklių energijos plėtrai </w:t>
            </w:r>
            <w:r w:rsidR="0074348B" w:rsidRPr="007033CC">
              <w:rPr>
                <w:sz w:val="22"/>
                <w:szCs w:val="22"/>
                <w:shd w:val="clear" w:color="auto" w:fill="FFFFFF"/>
              </w:rPr>
              <w:t xml:space="preserve">Lietuvos Respublikoje administravimo </w:t>
            </w:r>
            <w:r w:rsidR="0074348B" w:rsidRPr="007033CC">
              <w:rPr>
                <w:sz w:val="22"/>
                <w:szCs w:val="22"/>
              </w:rPr>
              <w:t>taisykles (toliau – Taisyklės)</w:t>
            </w:r>
            <w:r w:rsidR="007033CC" w:rsidRPr="007033CC">
              <w:rPr>
                <w:sz w:val="22"/>
                <w:szCs w:val="22"/>
              </w:rPr>
              <w:t>, kuriomis bus reglamentuota viena iš skatin</w:t>
            </w:r>
            <w:r w:rsidR="000C238A">
              <w:rPr>
                <w:sz w:val="22"/>
                <w:szCs w:val="22"/>
              </w:rPr>
              <w:t>im</w:t>
            </w:r>
            <w:r w:rsidR="007033CC" w:rsidRPr="007033CC">
              <w:rPr>
                <w:sz w:val="22"/>
                <w:szCs w:val="22"/>
              </w:rPr>
              <w:t>o dalių – paramos paskirstymas.</w:t>
            </w:r>
            <w:r w:rsidR="0074348B" w:rsidRPr="007033CC">
              <w:rPr>
                <w:sz w:val="22"/>
                <w:szCs w:val="22"/>
              </w:rPr>
              <w:t xml:space="preserve"> Vadovaujantis Taisyklėmis bus organizuojama</w:t>
            </w:r>
            <w:r w:rsidR="00977789">
              <w:rPr>
                <w:sz w:val="22"/>
                <w:szCs w:val="22"/>
              </w:rPr>
              <w:t>s</w:t>
            </w:r>
            <w:r w:rsidR="0074348B" w:rsidRPr="007033CC">
              <w:rPr>
                <w:sz w:val="22"/>
                <w:szCs w:val="22"/>
              </w:rPr>
              <w:t xml:space="preserve"> </w:t>
            </w:r>
            <w:r w:rsidR="0074348B" w:rsidRPr="007033CC">
              <w:rPr>
                <w:rFonts w:eastAsia="Courier New"/>
                <w:sz w:val="22"/>
                <w:szCs w:val="22"/>
              </w:rPr>
              <w:t>Lietuvos Respublikoje atliekamų mokslinių tyrimų atsinaujinančių išteklių energetikos sektoriuje</w:t>
            </w:r>
            <w:r w:rsidR="0074348B" w:rsidRPr="007033CC">
              <w:rPr>
                <w:rStyle w:val="normaltextrun"/>
                <w:sz w:val="22"/>
                <w:szCs w:val="22"/>
                <w:shd w:val="clear" w:color="auto" w:fill="FFFFFF"/>
              </w:rPr>
              <w:t xml:space="preserve"> p</w:t>
            </w:r>
            <w:r w:rsidR="0074348B" w:rsidRPr="007033CC">
              <w:rPr>
                <w:rFonts w:eastAsia="Courier New"/>
                <w:sz w:val="22"/>
                <w:szCs w:val="22"/>
              </w:rPr>
              <w:t xml:space="preserve">rojektų vykdymas ir </w:t>
            </w:r>
            <w:r w:rsidR="0074348B" w:rsidRPr="007033CC">
              <w:rPr>
                <w:sz w:val="22"/>
                <w:szCs w:val="22"/>
              </w:rPr>
              <w:t>atsinaujinančių energijos išteklių plėtros projektų vykdymas, t. y. e</w:t>
            </w:r>
            <w:r w:rsidR="0074348B" w:rsidRPr="007033CC">
              <w:rPr>
                <w:rFonts w:eastAsia="Courier New"/>
                <w:sz w:val="22"/>
                <w:szCs w:val="22"/>
              </w:rPr>
              <w:t>lektros energijos iš atsinaujinančių išteklių gamybos mažos galios elektrinėse projektai.</w:t>
            </w:r>
            <w:r w:rsidR="00920709" w:rsidRPr="007033CC">
              <w:rPr>
                <w:rFonts w:eastAsia="Courier New"/>
                <w:sz w:val="22"/>
                <w:szCs w:val="22"/>
              </w:rPr>
              <w:t xml:space="preserve"> </w:t>
            </w:r>
            <w:r w:rsidR="000C238A" w:rsidRPr="007033CC">
              <w:rPr>
                <w:rFonts w:eastAsia="Courier New"/>
                <w:sz w:val="22"/>
                <w:szCs w:val="22"/>
              </w:rPr>
              <w:t>Atsižvelg</w:t>
            </w:r>
            <w:r w:rsidR="000C238A">
              <w:rPr>
                <w:rFonts w:eastAsia="Courier New"/>
                <w:sz w:val="22"/>
                <w:szCs w:val="22"/>
              </w:rPr>
              <w:t>dami</w:t>
            </w:r>
            <w:r w:rsidR="000C238A" w:rsidRPr="007033CC">
              <w:rPr>
                <w:rFonts w:eastAsia="Courier New"/>
                <w:sz w:val="22"/>
                <w:szCs w:val="22"/>
              </w:rPr>
              <w:t xml:space="preserve"> </w:t>
            </w:r>
            <w:r w:rsidR="00920709" w:rsidRPr="007033CC">
              <w:rPr>
                <w:rFonts w:eastAsia="Courier New"/>
                <w:sz w:val="22"/>
                <w:szCs w:val="22"/>
              </w:rPr>
              <w:t>į tai</w:t>
            </w:r>
            <w:r w:rsidR="007033CC" w:rsidRPr="007033CC">
              <w:rPr>
                <w:rFonts w:eastAsia="Courier New"/>
                <w:sz w:val="22"/>
                <w:szCs w:val="22"/>
              </w:rPr>
              <w:t>, kad parama gali būti laikoma skatinimo dalimi, siūlome palikti tokį reglamentavimą</w:t>
            </w:r>
            <w:r w:rsidR="000C238A">
              <w:rPr>
                <w:rFonts w:eastAsia="Courier New"/>
                <w:sz w:val="22"/>
                <w:szCs w:val="22"/>
              </w:rPr>
              <w:t>,</w:t>
            </w:r>
            <w:r w:rsidR="007033CC" w:rsidRPr="007033CC">
              <w:rPr>
                <w:rFonts w:eastAsia="Courier New"/>
                <w:sz w:val="22"/>
                <w:szCs w:val="22"/>
              </w:rPr>
              <w:t xml:space="preserve"> koks jis yra numatytas Taisyklių projekte</w:t>
            </w:r>
            <w:r w:rsidR="001A4983">
              <w:rPr>
                <w:rFonts w:eastAsia="Courier New"/>
                <w:sz w:val="22"/>
                <w:szCs w:val="22"/>
              </w:rPr>
              <w:t>.</w:t>
            </w:r>
          </w:p>
        </w:tc>
      </w:tr>
      <w:tr w:rsidR="00247F23" w:rsidRPr="00B010BD" w14:paraId="51EFC16B" w14:textId="77777777" w:rsidTr="00247F23">
        <w:trPr>
          <w:gridAfter w:val="1"/>
          <w:wAfter w:w="36" w:type="dxa"/>
        </w:trPr>
        <w:tc>
          <w:tcPr>
            <w:tcW w:w="846" w:type="dxa"/>
          </w:tcPr>
          <w:p w14:paraId="7D66FE24" w14:textId="77777777" w:rsidR="00247F23" w:rsidRPr="00B010BD" w:rsidRDefault="00247F23">
            <w:pPr>
              <w:rPr>
                <w:sz w:val="22"/>
                <w:szCs w:val="22"/>
              </w:rPr>
            </w:pPr>
          </w:p>
        </w:tc>
        <w:tc>
          <w:tcPr>
            <w:tcW w:w="2693" w:type="dxa"/>
          </w:tcPr>
          <w:p w14:paraId="7330ACA0" w14:textId="6E18C64C" w:rsidR="00247F23" w:rsidRPr="00B010BD" w:rsidRDefault="00247F23">
            <w:pPr>
              <w:rPr>
                <w:sz w:val="22"/>
                <w:szCs w:val="22"/>
              </w:rPr>
            </w:pPr>
          </w:p>
        </w:tc>
        <w:tc>
          <w:tcPr>
            <w:tcW w:w="6804" w:type="dxa"/>
          </w:tcPr>
          <w:p w14:paraId="21E89EF8" w14:textId="77777777" w:rsidR="00A820F2" w:rsidRPr="00575A8D" w:rsidRDefault="00A820F2" w:rsidP="00A820F2">
            <w:pPr>
              <w:jc w:val="both"/>
              <w:rPr>
                <w:sz w:val="22"/>
                <w:szCs w:val="22"/>
              </w:rPr>
            </w:pPr>
            <w:r w:rsidRPr="00575A8D">
              <w:rPr>
                <w:rFonts w:eastAsia="Andale Sans UI"/>
                <w:sz w:val="22"/>
                <w:szCs w:val="22"/>
                <w:lang w:bidi="en-US"/>
              </w:rPr>
              <w:t xml:space="preserve">Taip pat atkreipiame dėmesį, jog Nutarimo projekte numatyta, kad vykdančiųjų institucijų funkcijas vykdo Mokslo, technologijų ir inovacijų agentūra ir </w:t>
            </w:r>
            <w:r w:rsidRPr="00575A8D">
              <w:rPr>
                <w:sz w:val="22"/>
                <w:szCs w:val="22"/>
              </w:rPr>
              <w:t xml:space="preserve">Lietuvos Respublikos aplinkos ministerijos Aplinkos projektų valdymo agentūra. Siekiant aiškumo, siūlome Nutarimo projekte aiškiai </w:t>
            </w:r>
            <w:r w:rsidRPr="00575A8D">
              <w:rPr>
                <w:sz w:val="22"/>
                <w:szCs w:val="22"/>
              </w:rPr>
              <w:lastRenderedPageBreak/>
              <w:t>atskirti kiekvienos iš šių vykdančiųjų institucijų vykdomas funkcijas ir kiekvienai iš jų numatyti konkrečias, bet ne bendrines, funkcijas.</w:t>
            </w:r>
          </w:p>
          <w:p w14:paraId="1A37719F" w14:textId="77777777" w:rsidR="006275C2" w:rsidRPr="00575A8D" w:rsidRDefault="006275C2" w:rsidP="006433DA">
            <w:pPr>
              <w:jc w:val="both"/>
              <w:rPr>
                <w:b/>
                <w:bCs/>
                <w:sz w:val="22"/>
                <w:szCs w:val="22"/>
              </w:rPr>
            </w:pPr>
          </w:p>
          <w:p w14:paraId="2D5B7894" w14:textId="07E02F99" w:rsidR="001A4983" w:rsidRPr="00575A8D" w:rsidRDefault="001A4983" w:rsidP="006433DA">
            <w:pPr>
              <w:jc w:val="both"/>
              <w:rPr>
                <w:sz w:val="22"/>
                <w:szCs w:val="22"/>
              </w:rPr>
            </w:pPr>
          </w:p>
        </w:tc>
        <w:tc>
          <w:tcPr>
            <w:tcW w:w="4784" w:type="dxa"/>
          </w:tcPr>
          <w:p w14:paraId="292D8262" w14:textId="4D7F15E8" w:rsidR="00DC4208" w:rsidRPr="00DE456A" w:rsidRDefault="003B16DF" w:rsidP="00FC290E">
            <w:pPr>
              <w:jc w:val="both"/>
              <w:rPr>
                <w:sz w:val="22"/>
                <w:szCs w:val="22"/>
              </w:rPr>
            </w:pPr>
            <w:r w:rsidRPr="00DE456A">
              <w:rPr>
                <w:b/>
                <w:bCs/>
                <w:sz w:val="22"/>
                <w:szCs w:val="22"/>
              </w:rPr>
              <w:lastRenderedPageBreak/>
              <w:t>Neatsižvelgta.</w:t>
            </w:r>
            <w:r w:rsidR="004B0309" w:rsidRPr="00DE456A">
              <w:rPr>
                <w:b/>
                <w:bCs/>
                <w:sz w:val="22"/>
                <w:szCs w:val="22"/>
              </w:rPr>
              <w:t xml:space="preserve"> </w:t>
            </w:r>
            <w:r w:rsidR="00ED3811" w:rsidRPr="00DE456A">
              <w:rPr>
                <w:sz w:val="22"/>
                <w:szCs w:val="22"/>
              </w:rPr>
              <w:t xml:space="preserve">Nutarimo projektas skirtas </w:t>
            </w:r>
            <w:r w:rsidR="008D0B4C" w:rsidRPr="00DE456A">
              <w:rPr>
                <w:sz w:val="22"/>
                <w:szCs w:val="22"/>
              </w:rPr>
              <w:t xml:space="preserve"> atsinaujinančių energijos išteklių plėtros ir mokslinių tyrimų atsinaujinančių išteklių energetikos sektoriuje projektų</w:t>
            </w:r>
            <w:r w:rsidR="00205468" w:rsidRPr="00DE456A">
              <w:rPr>
                <w:sz w:val="22"/>
                <w:szCs w:val="22"/>
              </w:rPr>
              <w:t xml:space="preserve"> vykdymui</w:t>
            </w:r>
            <w:r w:rsidR="00CC02A3" w:rsidRPr="00DE456A">
              <w:rPr>
                <w:sz w:val="22"/>
                <w:szCs w:val="22"/>
              </w:rPr>
              <w:t xml:space="preserve"> tiek artimiausiu metu</w:t>
            </w:r>
            <w:r w:rsidR="00EF46E8">
              <w:rPr>
                <w:sz w:val="22"/>
                <w:szCs w:val="22"/>
              </w:rPr>
              <w:t>,</w:t>
            </w:r>
            <w:r w:rsidR="00CC02A3" w:rsidRPr="00DE456A">
              <w:rPr>
                <w:sz w:val="22"/>
                <w:szCs w:val="22"/>
              </w:rPr>
              <w:t xml:space="preserve"> tiek ateityje</w:t>
            </w:r>
            <w:r w:rsidR="00856BC9">
              <w:rPr>
                <w:sz w:val="22"/>
                <w:szCs w:val="22"/>
              </w:rPr>
              <w:t>, jei bus lėšų.</w:t>
            </w:r>
            <w:r w:rsidR="00CC02A3" w:rsidRPr="00DE456A">
              <w:rPr>
                <w:sz w:val="22"/>
                <w:szCs w:val="22"/>
              </w:rPr>
              <w:t xml:space="preserve"> </w:t>
            </w:r>
            <w:r w:rsidR="00CC02A3" w:rsidRPr="00DE456A">
              <w:rPr>
                <w:sz w:val="22"/>
                <w:szCs w:val="22"/>
              </w:rPr>
              <w:lastRenderedPageBreak/>
              <w:t>Atsižvelgiant į tai</w:t>
            </w:r>
            <w:r w:rsidR="00EF46E8">
              <w:rPr>
                <w:sz w:val="22"/>
                <w:szCs w:val="22"/>
              </w:rPr>
              <w:t>,</w:t>
            </w:r>
            <w:r w:rsidR="00CC02A3" w:rsidRPr="00DE456A">
              <w:rPr>
                <w:sz w:val="22"/>
                <w:szCs w:val="22"/>
              </w:rPr>
              <w:t xml:space="preserve"> Nutarimu tvirtinamų Taisyklių projekte </w:t>
            </w:r>
            <w:r w:rsidR="00E427B5" w:rsidRPr="00DE456A">
              <w:rPr>
                <w:sz w:val="22"/>
                <w:szCs w:val="22"/>
              </w:rPr>
              <w:t xml:space="preserve">yra įvardijama vykdančioji institucija su jai nustatytomis bendrosiomis funkcijomis, jų nedetalizuojant. </w:t>
            </w:r>
            <w:r w:rsidR="00A77AFD" w:rsidRPr="00DE456A">
              <w:rPr>
                <w:sz w:val="22"/>
                <w:szCs w:val="22"/>
              </w:rPr>
              <w:t>Ateityje</w:t>
            </w:r>
            <w:r w:rsidR="00DE456A" w:rsidRPr="00DE456A">
              <w:rPr>
                <w:sz w:val="22"/>
                <w:szCs w:val="22"/>
              </w:rPr>
              <w:t>,</w:t>
            </w:r>
            <w:r w:rsidR="00A77AFD" w:rsidRPr="00DE456A">
              <w:rPr>
                <w:sz w:val="22"/>
                <w:szCs w:val="22"/>
              </w:rPr>
              <w:t xml:space="preserve"> </w:t>
            </w:r>
            <w:r w:rsidR="00856BC9">
              <w:rPr>
                <w:sz w:val="22"/>
                <w:szCs w:val="22"/>
              </w:rPr>
              <w:t>jei bus</w:t>
            </w:r>
            <w:r w:rsidR="00856BC9" w:rsidRPr="00DE456A">
              <w:rPr>
                <w:sz w:val="22"/>
                <w:szCs w:val="22"/>
              </w:rPr>
              <w:t xml:space="preserve"> </w:t>
            </w:r>
            <w:r w:rsidR="00A77AFD" w:rsidRPr="00DE456A">
              <w:rPr>
                <w:sz w:val="22"/>
                <w:szCs w:val="22"/>
              </w:rPr>
              <w:t>lėšų vykdyti tokius projektus</w:t>
            </w:r>
            <w:r w:rsidR="00DE456A" w:rsidRPr="00DE456A">
              <w:rPr>
                <w:sz w:val="22"/>
                <w:szCs w:val="22"/>
              </w:rPr>
              <w:t>,</w:t>
            </w:r>
            <w:r w:rsidR="00A77AFD" w:rsidRPr="00DE456A">
              <w:rPr>
                <w:sz w:val="22"/>
                <w:szCs w:val="22"/>
              </w:rPr>
              <w:t xml:space="preserve"> nereikėtų vėl papildomai priimti naujo teisės akt</w:t>
            </w:r>
            <w:r w:rsidR="00DE456A" w:rsidRPr="00DE456A">
              <w:rPr>
                <w:sz w:val="22"/>
                <w:szCs w:val="22"/>
              </w:rPr>
              <w:t>o</w:t>
            </w:r>
            <w:r w:rsidR="00445900">
              <w:rPr>
                <w:sz w:val="22"/>
                <w:szCs w:val="22"/>
              </w:rPr>
              <w:t xml:space="preserve">, kadangi bendrosios funkcijos tiktų visoms vykdančiosioms institucijoms. </w:t>
            </w:r>
            <w:r w:rsidR="007033CC">
              <w:rPr>
                <w:sz w:val="22"/>
                <w:szCs w:val="22"/>
              </w:rPr>
              <w:t>Atsižvelgiant į paramos šaltiniams keliamus reikalavimus pagal ES teisės aktus, pagal kuriuos skiriama parama (Bendrasis bendrosios išimties reglamentas) Valstybės pagalbos gairės)</w:t>
            </w:r>
            <w:r w:rsidR="00EF46E8">
              <w:rPr>
                <w:sz w:val="22"/>
                <w:szCs w:val="22"/>
              </w:rPr>
              <w:t>,</w:t>
            </w:r>
            <w:r w:rsidR="007033CC">
              <w:rPr>
                <w:sz w:val="22"/>
                <w:szCs w:val="22"/>
              </w:rPr>
              <w:t xml:space="preserve"> d</w:t>
            </w:r>
            <w:r w:rsidR="00445900">
              <w:rPr>
                <w:sz w:val="22"/>
                <w:szCs w:val="22"/>
              </w:rPr>
              <w:t>etalesnė</w:t>
            </w:r>
            <w:r w:rsidR="00535D95">
              <w:rPr>
                <w:sz w:val="22"/>
                <w:szCs w:val="22"/>
              </w:rPr>
              <w:t>s</w:t>
            </w:r>
            <w:r w:rsidR="00445900">
              <w:rPr>
                <w:sz w:val="22"/>
                <w:szCs w:val="22"/>
              </w:rPr>
              <w:t xml:space="preserve"> vykdančiųjų institucijų funkcijos yra nustatomos </w:t>
            </w:r>
            <w:r w:rsidR="00535D95">
              <w:rPr>
                <w:sz w:val="22"/>
                <w:szCs w:val="22"/>
              </w:rPr>
              <w:t>ministro įsakymu tvirtina</w:t>
            </w:r>
            <w:r w:rsidR="00856BC9">
              <w:rPr>
                <w:sz w:val="22"/>
                <w:szCs w:val="22"/>
              </w:rPr>
              <w:t>ma</w:t>
            </w:r>
            <w:r w:rsidR="00535D95">
              <w:rPr>
                <w:sz w:val="22"/>
                <w:szCs w:val="22"/>
              </w:rPr>
              <w:t xml:space="preserve">me teisės akte, todėl netikslinga būtų </w:t>
            </w:r>
            <w:r w:rsidR="00BC5BCF">
              <w:rPr>
                <w:sz w:val="22"/>
                <w:szCs w:val="22"/>
              </w:rPr>
              <w:t xml:space="preserve">Nutarimu tvirtinamose </w:t>
            </w:r>
            <w:r w:rsidR="00081022">
              <w:rPr>
                <w:sz w:val="22"/>
                <w:szCs w:val="22"/>
              </w:rPr>
              <w:t>T</w:t>
            </w:r>
            <w:r w:rsidR="00BC5BCF">
              <w:rPr>
                <w:sz w:val="22"/>
                <w:szCs w:val="22"/>
              </w:rPr>
              <w:t>aisyklėse įtvirtinti detal</w:t>
            </w:r>
            <w:r w:rsidR="00EF46E8">
              <w:rPr>
                <w:sz w:val="22"/>
                <w:szCs w:val="22"/>
              </w:rPr>
              <w:t>ias</w:t>
            </w:r>
            <w:r w:rsidR="00BC5BCF">
              <w:rPr>
                <w:sz w:val="22"/>
                <w:szCs w:val="22"/>
              </w:rPr>
              <w:t xml:space="preserve"> kiekvienos vykdančiosios institucijos funkcijas.</w:t>
            </w:r>
          </w:p>
        </w:tc>
      </w:tr>
      <w:tr w:rsidR="00F611CB" w:rsidRPr="00B010BD" w14:paraId="0D6CA5EE" w14:textId="77777777" w:rsidTr="00247F23">
        <w:trPr>
          <w:gridAfter w:val="1"/>
          <w:wAfter w:w="36" w:type="dxa"/>
        </w:trPr>
        <w:tc>
          <w:tcPr>
            <w:tcW w:w="846" w:type="dxa"/>
          </w:tcPr>
          <w:p w14:paraId="75DBFB36" w14:textId="77777777" w:rsidR="00F611CB" w:rsidRPr="00B010BD" w:rsidRDefault="00F611CB" w:rsidP="00F611CB">
            <w:pPr>
              <w:rPr>
                <w:sz w:val="22"/>
                <w:szCs w:val="22"/>
              </w:rPr>
            </w:pPr>
          </w:p>
        </w:tc>
        <w:tc>
          <w:tcPr>
            <w:tcW w:w="2693" w:type="dxa"/>
          </w:tcPr>
          <w:p w14:paraId="1341428D" w14:textId="1F7852D4" w:rsidR="00F611CB" w:rsidRPr="00B010BD" w:rsidRDefault="00622FD7" w:rsidP="00F611CB">
            <w:pPr>
              <w:rPr>
                <w:sz w:val="22"/>
                <w:szCs w:val="22"/>
              </w:rPr>
            </w:pPr>
            <w:r>
              <w:rPr>
                <w:sz w:val="22"/>
                <w:szCs w:val="22"/>
              </w:rPr>
              <w:t>Lietuvos Respublikos teisingumo ministerij</w:t>
            </w:r>
            <w:r w:rsidR="00391915">
              <w:rPr>
                <w:sz w:val="22"/>
                <w:szCs w:val="22"/>
              </w:rPr>
              <w:t>os</w:t>
            </w:r>
            <w:r w:rsidR="00F611CB" w:rsidRPr="00B010BD">
              <w:rPr>
                <w:sz w:val="22"/>
                <w:szCs w:val="22"/>
              </w:rPr>
              <w:t xml:space="preserve"> 2020 m. </w:t>
            </w:r>
            <w:r>
              <w:rPr>
                <w:sz w:val="22"/>
                <w:szCs w:val="22"/>
              </w:rPr>
              <w:t>rugsėjo</w:t>
            </w:r>
            <w:r w:rsidR="00F611CB" w:rsidRPr="00B010BD">
              <w:rPr>
                <w:sz w:val="22"/>
                <w:szCs w:val="22"/>
              </w:rPr>
              <w:t xml:space="preserve"> </w:t>
            </w:r>
            <w:r>
              <w:rPr>
                <w:sz w:val="22"/>
                <w:szCs w:val="22"/>
                <w:lang w:val="en-US"/>
              </w:rPr>
              <w:t>8</w:t>
            </w:r>
            <w:r w:rsidR="00F611CB" w:rsidRPr="00B010BD">
              <w:rPr>
                <w:sz w:val="22"/>
                <w:szCs w:val="22"/>
                <w:lang w:val="en-US"/>
              </w:rPr>
              <w:t xml:space="preserve"> d. ra</w:t>
            </w:r>
            <w:r w:rsidR="00F611CB" w:rsidRPr="00B010BD">
              <w:rPr>
                <w:sz w:val="22"/>
                <w:szCs w:val="22"/>
              </w:rPr>
              <w:t>štas Nr.</w:t>
            </w:r>
            <w:r>
              <w:rPr>
                <w:sz w:val="22"/>
                <w:szCs w:val="22"/>
              </w:rPr>
              <w:t xml:space="preserve"> </w:t>
            </w:r>
            <w:r w:rsidRPr="00622FD7">
              <w:rPr>
                <w:sz w:val="22"/>
                <w:szCs w:val="22"/>
              </w:rPr>
              <w:t>(1.6E) 2T-1282</w:t>
            </w:r>
          </w:p>
        </w:tc>
        <w:tc>
          <w:tcPr>
            <w:tcW w:w="6804" w:type="dxa"/>
          </w:tcPr>
          <w:p w14:paraId="49A2DF7B" w14:textId="7D2F00FC" w:rsidR="00C70988" w:rsidRPr="00233436" w:rsidRDefault="00622FD7" w:rsidP="00F61754">
            <w:pPr>
              <w:tabs>
                <w:tab w:val="left" w:pos="798"/>
                <w:tab w:val="left" w:pos="1019"/>
              </w:tabs>
              <w:suppressAutoHyphens/>
              <w:jc w:val="both"/>
              <w:rPr>
                <w:sz w:val="22"/>
                <w:szCs w:val="22"/>
              </w:rPr>
            </w:pPr>
            <w:r w:rsidRPr="00233436">
              <w:rPr>
                <w:color w:val="000000"/>
                <w:sz w:val="22"/>
                <w:szCs w:val="22"/>
              </w:rPr>
              <w:t xml:space="preserve">Iš </w:t>
            </w:r>
            <w:r w:rsidRPr="00233436">
              <w:rPr>
                <w:color w:val="000000" w:themeColor="text1"/>
                <w:sz w:val="22"/>
                <w:szCs w:val="22"/>
              </w:rPr>
              <w:t>Lietuvos Respublikos energetikos įstatymo 5 str. 1 d. 6 p. („</w:t>
            </w:r>
            <w:r w:rsidRPr="00233436">
              <w:rPr>
                <w:i/>
                <w:iCs/>
                <w:color w:val="000000" w:themeColor="text1"/>
                <w:sz w:val="22"/>
                <w:szCs w:val="22"/>
              </w:rPr>
              <w:t>Vyriausybė nustato</w:t>
            </w:r>
            <w:r w:rsidRPr="00233436">
              <w:rPr>
                <w:color w:val="000000" w:themeColor="text1"/>
                <w:sz w:val="22"/>
                <w:szCs w:val="22"/>
              </w:rPr>
              <w:t xml:space="preserve"> </w:t>
            </w:r>
            <w:r w:rsidRPr="00233436">
              <w:rPr>
                <w:color w:val="000000" w:themeColor="text1"/>
                <w:sz w:val="22"/>
                <w:szCs w:val="22"/>
                <w:highlight w:val="white"/>
              </w:rPr>
              <w:t>atsinaujinančių išteklių energijos gamybos ir vartojimo skatinimo tvarką ir sąlygas“</w:t>
            </w:r>
            <w:r w:rsidRPr="00233436">
              <w:rPr>
                <w:color w:val="000000" w:themeColor="text1"/>
                <w:sz w:val="22"/>
                <w:szCs w:val="22"/>
              </w:rPr>
              <w:t>),</w:t>
            </w:r>
            <w:r w:rsidRPr="00233436">
              <w:rPr>
                <w:sz w:val="22"/>
                <w:szCs w:val="22"/>
              </w:rPr>
              <w:t xml:space="preserve"> </w:t>
            </w:r>
            <w:r w:rsidRPr="00233436">
              <w:rPr>
                <w:rStyle w:val="normaltextrun"/>
                <w:color w:val="000000"/>
                <w:sz w:val="22"/>
                <w:szCs w:val="22"/>
                <w:shd w:val="clear" w:color="auto" w:fill="FFFFFF"/>
              </w:rPr>
              <w:t xml:space="preserve">Lietuvos Respublikos atsinaujinančių išteklių energetikos įstatymo 58 str. 9  d. </w:t>
            </w:r>
            <w:r w:rsidRPr="00233436">
              <w:rPr>
                <w:rStyle w:val="normaltextrun"/>
                <w:color w:val="000000" w:themeColor="text1"/>
                <w:sz w:val="22"/>
                <w:szCs w:val="22"/>
                <w:highlight w:val="white"/>
              </w:rPr>
              <w:t xml:space="preserve">(&lt;...&gt; „Gautos lėšos </w:t>
            </w:r>
            <w:r w:rsidRPr="00233436">
              <w:rPr>
                <w:rStyle w:val="normaltextrun"/>
                <w:i/>
                <w:iCs/>
                <w:color w:val="000000" w:themeColor="text1"/>
                <w:sz w:val="22"/>
                <w:szCs w:val="22"/>
                <w:highlight w:val="white"/>
              </w:rPr>
              <w:t>Vyriausybės nustatyta tvarka</w:t>
            </w:r>
            <w:r w:rsidRPr="00233436">
              <w:rPr>
                <w:rStyle w:val="normaltextrun"/>
                <w:color w:val="000000" w:themeColor="text1"/>
                <w:sz w:val="22"/>
                <w:szCs w:val="22"/>
                <w:highlight w:val="white"/>
              </w:rPr>
              <w:t xml:space="preserve"> naudojamos susitarimuose dėl statistinių energijos perdavimų numatytais tikslais, susijusiais su atsinaujinančių energijos išteklių plėtra, energijos efektyvumo didinimu, taip pat moksliniams tyrimams atsinaujinančių išteklių energetikos sektoriuje. Šias lėšas </w:t>
            </w:r>
            <w:r w:rsidRPr="00233436">
              <w:rPr>
                <w:rStyle w:val="normaltextrun"/>
                <w:i/>
                <w:iCs/>
                <w:color w:val="000000" w:themeColor="text1"/>
                <w:sz w:val="22"/>
                <w:szCs w:val="22"/>
                <w:highlight w:val="white"/>
              </w:rPr>
              <w:t>Vyriausybės nustatyta tvarka</w:t>
            </w:r>
            <w:r w:rsidRPr="00233436">
              <w:rPr>
                <w:rStyle w:val="normaltextrun"/>
                <w:color w:val="000000" w:themeColor="text1"/>
                <w:sz w:val="22"/>
                <w:szCs w:val="22"/>
                <w:highlight w:val="white"/>
              </w:rPr>
              <w:t xml:space="preserve"> administruoja Vyriausybės įgaliota institucija.“), kurios nurodomos Projekto preambulėje, sektų, kad atitinkamus teisės aktus, susijusius su para</w:t>
            </w:r>
            <w:r w:rsidRPr="00233436">
              <w:rPr>
                <w:rStyle w:val="normaltextrun"/>
                <w:color w:val="000000"/>
                <w:sz w:val="22"/>
                <w:szCs w:val="22"/>
                <w:shd w:val="clear" w:color="auto" w:fill="FFFFFF"/>
              </w:rPr>
              <w:t>mos teikimu, įgaliotas priimti konkretus teisėkūros subjektas – būtent Vyriausybė. Todėl diskutuotinas Vyriausybės nutarimo projekto 5 p. pavedimo atitinkamus teisės aktus priimti energetikos ministrui, pagrįstumas (šiuo aspektu peržiūrėtinos ir Paramos atsinaujinančių išteklių energijos plėtrai Lietuvos Respublikoje administravimo taisyklių projekto (toliau – Taisyklių projektas) 7.3 p. nuostatos).</w:t>
            </w:r>
          </w:p>
        </w:tc>
        <w:tc>
          <w:tcPr>
            <w:tcW w:w="4784" w:type="dxa"/>
          </w:tcPr>
          <w:p w14:paraId="0EC0EA63" w14:textId="77777777" w:rsidR="00552E4F" w:rsidRPr="00575A8D" w:rsidRDefault="006F0B68" w:rsidP="003D403B">
            <w:pPr>
              <w:jc w:val="both"/>
              <w:rPr>
                <w:b/>
                <w:bCs/>
                <w:sz w:val="22"/>
                <w:szCs w:val="22"/>
              </w:rPr>
            </w:pPr>
            <w:r w:rsidRPr="00575A8D">
              <w:rPr>
                <w:b/>
                <w:bCs/>
                <w:sz w:val="22"/>
                <w:szCs w:val="22"/>
              </w:rPr>
              <w:t xml:space="preserve">Neatsižvelgta. </w:t>
            </w:r>
          </w:p>
          <w:p w14:paraId="45571028" w14:textId="7B4663F3" w:rsidR="00552E4F" w:rsidRPr="00575A8D" w:rsidRDefault="00552E4F" w:rsidP="00575A8D">
            <w:pPr>
              <w:pStyle w:val="ListParagraph"/>
              <w:numPr>
                <w:ilvl w:val="0"/>
                <w:numId w:val="11"/>
              </w:numPr>
              <w:tabs>
                <w:tab w:val="left" w:pos="993"/>
                <w:tab w:val="left" w:pos="6521"/>
              </w:tabs>
              <w:ind w:left="30" w:firstLine="330"/>
              <w:jc w:val="both"/>
              <w:rPr>
                <w:rFonts w:ascii="Times New Roman" w:hAnsi="Times New Roman" w:cs="Times New Roman"/>
                <w:b/>
              </w:rPr>
            </w:pPr>
            <w:r w:rsidRPr="00575A8D">
              <w:rPr>
                <w:rFonts w:ascii="Times New Roman" w:hAnsi="Times New Roman" w:cs="Times New Roman"/>
              </w:rPr>
              <w:t xml:space="preserve">2019 m. </w:t>
            </w:r>
            <w:r w:rsidR="00054EB1" w:rsidRPr="00575A8D">
              <w:rPr>
                <w:rFonts w:ascii="Times New Roman" w:hAnsi="Times New Roman" w:cs="Times New Roman"/>
              </w:rPr>
              <w:t xml:space="preserve">Energetikos ministerija </w:t>
            </w:r>
            <w:r w:rsidRPr="00575A8D">
              <w:rPr>
                <w:rFonts w:ascii="Times New Roman" w:hAnsi="Times New Roman" w:cs="Times New Roman"/>
              </w:rPr>
              <w:t>pareng</w:t>
            </w:r>
            <w:r w:rsidR="00054EB1" w:rsidRPr="00575A8D">
              <w:rPr>
                <w:rFonts w:ascii="Times New Roman" w:hAnsi="Times New Roman" w:cs="Times New Roman"/>
              </w:rPr>
              <w:t>ė</w:t>
            </w:r>
            <w:r w:rsidRPr="00575A8D">
              <w:rPr>
                <w:rFonts w:ascii="Times New Roman" w:hAnsi="Times New Roman" w:cs="Times New Roman"/>
              </w:rPr>
              <w:t xml:space="preserve"> Lietuvo</w:t>
            </w:r>
            <w:r w:rsidR="00054EB1" w:rsidRPr="00575A8D">
              <w:rPr>
                <w:rFonts w:ascii="Times New Roman" w:hAnsi="Times New Roman" w:cs="Times New Roman"/>
              </w:rPr>
              <w:t>s</w:t>
            </w:r>
            <w:r w:rsidRPr="00575A8D">
              <w:rPr>
                <w:rFonts w:ascii="Times New Roman" w:hAnsi="Times New Roman" w:cs="Times New Roman"/>
              </w:rPr>
              <w:t xml:space="preserve"> Respublikos atsinaujinančių išteklių energetikos įstatymo </w:t>
            </w:r>
            <w:r w:rsidR="00054EB1" w:rsidRPr="00575A8D">
              <w:rPr>
                <w:rFonts w:ascii="Times New Roman" w:hAnsi="Times New Roman" w:cs="Times New Roman"/>
              </w:rPr>
              <w:t>Nr.</w:t>
            </w:r>
            <w:r w:rsidR="00054EB1" w:rsidRPr="00575A8D">
              <w:rPr>
                <w:rFonts w:ascii="Times New Roman" w:eastAsia="Times New Roman" w:hAnsi="Times New Roman" w:cs="Times New Roman"/>
                <w:b/>
              </w:rPr>
              <w:t xml:space="preserve"> </w:t>
            </w:r>
            <w:r w:rsidR="00054EB1" w:rsidRPr="00575A8D">
              <w:rPr>
                <w:rFonts w:ascii="Times New Roman" w:eastAsia="Times New Roman" w:hAnsi="Times New Roman" w:cs="Times New Roman"/>
                <w:bCs/>
              </w:rPr>
              <w:t xml:space="preserve">XI-1375 </w:t>
            </w:r>
            <w:r w:rsidR="00054EB1" w:rsidRPr="00575A8D">
              <w:rPr>
                <w:rFonts w:ascii="Times New Roman" w:eastAsia="Times New Roman" w:hAnsi="Times New Roman" w:cs="Times New Roman"/>
                <w:bCs/>
              </w:rPr>
              <w:br/>
              <w:t>2, 3, 5, 6, 11, 13, 14, 17, 20, 28, 29, 37, 38, 39, 47, 48, 50, 55, 58, 59, 60, 61, 62, 63, 63</w:t>
            </w:r>
            <w:r w:rsidR="00054EB1" w:rsidRPr="00575A8D">
              <w:rPr>
                <w:rFonts w:ascii="Times New Roman" w:eastAsia="Times New Roman" w:hAnsi="Times New Roman" w:cs="Times New Roman"/>
                <w:bCs/>
                <w:vertAlign w:val="superscript"/>
              </w:rPr>
              <w:t>1</w:t>
            </w:r>
            <w:r w:rsidR="00054EB1" w:rsidRPr="00575A8D">
              <w:rPr>
                <w:rFonts w:ascii="Times New Roman" w:hAnsi="Times New Roman" w:cs="Times New Roman"/>
                <w:bCs/>
                <w:vertAlign w:val="superscript"/>
              </w:rPr>
              <w:t xml:space="preserve"> </w:t>
            </w:r>
            <w:r w:rsidR="00054EB1" w:rsidRPr="00575A8D">
              <w:rPr>
                <w:rFonts w:ascii="Times New Roman" w:hAnsi="Times New Roman" w:cs="Times New Roman"/>
                <w:bCs/>
              </w:rPr>
              <w:t>straipsnių pakeitimo ir įstatymo papildymo</w:t>
            </w:r>
            <w:r w:rsidR="00054EB1" w:rsidRPr="00575A8D">
              <w:rPr>
                <w:rFonts w:ascii="Times New Roman" w:eastAsia="Times New Roman" w:hAnsi="Times New Roman" w:cs="Times New Roman"/>
                <w:bCs/>
              </w:rPr>
              <w:t xml:space="preserve"> 20</w:t>
            </w:r>
            <w:r w:rsidR="00054EB1" w:rsidRPr="00575A8D">
              <w:rPr>
                <w:rFonts w:ascii="Times New Roman" w:eastAsia="Times New Roman" w:hAnsi="Times New Roman" w:cs="Times New Roman"/>
                <w:bCs/>
                <w:vertAlign w:val="superscript"/>
              </w:rPr>
              <w:t>2</w:t>
            </w:r>
            <w:r w:rsidR="00054EB1" w:rsidRPr="00575A8D">
              <w:rPr>
                <w:rFonts w:ascii="Times New Roman" w:eastAsia="Times New Roman" w:hAnsi="Times New Roman" w:cs="Times New Roman"/>
                <w:bCs/>
              </w:rPr>
              <w:t xml:space="preserve"> </w:t>
            </w:r>
            <w:r w:rsidR="00054EB1" w:rsidRPr="00575A8D">
              <w:rPr>
                <w:rFonts w:ascii="Times New Roman" w:hAnsi="Times New Roman" w:cs="Times New Roman"/>
                <w:bCs/>
              </w:rPr>
              <w:t>straipsniu įstatymo</w:t>
            </w:r>
            <w:r w:rsidR="00054EB1" w:rsidRPr="00575A8D">
              <w:rPr>
                <w:rFonts w:ascii="Times New Roman" w:hAnsi="Times New Roman" w:cs="Times New Roman"/>
                <w:b/>
              </w:rPr>
              <w:t xml:space="preserve"> </w:t>
            </w:r>
            <w:r w:rsidRPr="00575A8D">
              <w:rPr>
                <w:rFonts w:ascii="Times New Roman" w:hAnsi="Times New Roman" w:cs="Times New Roman"/>
              </w:rPr>
              <w:t>projekt</w:t>
            </w:r>
            <w:r w:rsidR="00054EB1" w:rsidRPr="00575A8D">
              <w:rPr>
                <w:rFonts w:ascii="Times New Roman" w:hAnsi="Times New Roman" w:cs="Times New Roman"/>
              </w:rPr>
              <w:t>ą</w:t>
            </w:r>
            <w:r w:rsidR="00575A8D" w:rsidRPr="00575A8D">
              <w:rPr>
                <w:rFonts w:ascii="Times New Roman" w:hAnsi="Times New Roman" w:cs="Times New Roman"/>
              </w:rPr>
              <w:t xml:space="preserve"> (toliau - AIEĮ projektas)</w:t>
            </w:r>
            <w:r w:rsidRPr="00575A8D">
              <w:rPr>
                <w:rFonts w:ascii="Times New Roman" w:hAnsi="Times New Roman" w:cs="Times New Roman"/>
              </w:rPr>
              <w:t xml:space="preserve">, kurio </w:t>
            </w:r>
            <w:r w:rsidRPr="00575A8D">
              <w:rPr>
                <w:rFonts w:ascii="Times New Roman" w:hAnsi="Times New Roman" w:cs="Times New Roman"/>
                <w:lang w:val="en-US"/>
              </w:rPr>
              <w:t>58 straipsnio 9 dalis buvo išdėstyta taip: “</w:t>
            </w:r>
            <w:r w:rsidRPr="00575A8D">
              <w:rPr>
                <w:rFonts w:ascii="Times New Roman" w:eastAsia="Times New Roman" w:hAnsi="Times New Roman" w:cs="Times New Roman"/>
              </w:rPr>
              <w:t xml:space="preserve">9. Pajamos, gautos vykdant susitarimus dėl statistinių energijos perdavimų, pervedamos į valstybės biudžetą ir kaupiamos atskiroje Valstybės iždo sąskaitoje. Gautos lėšos Vyriausybės nustatyta tvarka naudojamos susitarimuose dėl statistinių energijos perdavimų numatytais tikslais, susijusiais su atsinaujinančių energijos išteklių plėtra, energijos efektyvumo didinimu, taip pat moksliniams tyrimams atsinaujinančių išteklių energetikos sektoriuje. Šias lėšas Vyriausybės </w:t>
            </w:r>
            <w:r w:rsidRPr="00575A8D">
              <w:rPr>
                <w:rFonts w:ascii="Times New Roman" w:eastAsia="Times New Roman" w:hAnsi="Times New Roman" w:cs="Times New Roman"/>
                <w:b/>
              </w:rPr>
              <w:t>ar jos įgaliotos institucijos</w:t>
            </w:r>
            <w:r w:rsidRPr="00575A8D">
              <w:rPr>
                <w:rFonts w:ascii="Times New Roman" w:eastAsia="Times New Roman" w:hAnsi="Times New Roman" w:cs="Times New Roman"/>
              </w:rPr>
              <w:t xml:space="preserve"> nustatyta tvarka administruoja </w:t>
            </w:r>
            <w:r w:rsidRPr="00575A8D">
              <w:rPr>
                <w:rFonts w:ascii="Times New Roman" w:eastAsia="Times New Roman" w:hAnsi="Times New Roman" w:cs="Times New Roman"/>
                <w:b/>
              </w:rPr>
              <w:t xml:space="preserve">ir skirsto </w:t>
            </w:r>
            <w:r w:rsidRPr="00575A8D">
              <w:rPr>
                <w:rFonts w:ascii="Times New Roman" w:eastAsia="Times New Roman" w:hAnsi="Times New Roman" w:cs="Times New Roman"/>
              </w:rPr>
              <w:t xml:space="preserve">Vyriausybės </w:t>
            </w:r>
            <w:r w:rsidRPr="00575A8D">
              <w:rPr>
                <w:rFonts w:ascii="Times New Roman" w:eastAsia="Times New Roman" w:hAnsi="Times New Roman" w:cs="Times New Roman"/>
                <w:strike/>
              </w:rPr>
              <w:t>įgaliota institucija</w:t>
            </w:r>
            <w:r w:rsidRPr="00575A8D">
              <w:rPr>
                <w:rFonts w:ascii="Times New Roman" w:eastAsia="Times New Roman" w:hAnsi="Times New Roman" w:cs="Times New Roman"/>
              </w:rPr>
              <w:t xml:space="preserve"> </w:t>
            </w:r>
            <w:r w:rsidRPr="00575A8D">
              <w:rPr>
                <w:rFonts w:ascii="Times New Roman" w:eastAsia="Times New Roman" w:hAnsi="Times New Roman" w:cs="Times New Roman"/>
                <w:b/>
              </w:rPr>
              <w:t>įgaliotos institucijos</w:t>
            </w:r>
            <w:r w:rsidRPr="00575A8D">
              <w:rPr>
                <w:rFonts w:ascii="Times New Roman" w:eastAsia="Times New Roman" w:hAnsi="Times New Roman" w:cs="Times New Roman"/>
              </w:rPr>
              <w:t>.</w:t>
            </w:r>
            <w:r w:rsidR="00054EB1" w:rsidRPr="00575A8D">
              <w:rPr>
                <w:rFonts w:ascii="Times New Roman" w:hAnsi="Times New Roman" w:cs="Times New Roman"/>
                <w:bCs/>
              </w:rPr>
              <w:t>“ Pateikus šį projektą svarstyti Lietuvos Respublikos Vyriausybei</w:t>
            </w:r>
            <w:r w:rsidR="00575A8D" w:rsidRPr="00575A8D">
              <w:rPr>
                <w:rFonts w:ascii="Times New Roman" w:hAnsi="Times New Roman" w:cs="Times New Roman"/>
                <w:bCs/>
              </w:rPr>
              <w:t xml:space="preserve"> (toliau – Vyriausybė)</w:t>
            </w:r>
            <w:r w:rsidR="00054EB1" w:rsidRPr="00575A8D">
              <w:rPr>
                <w:rFonts w:ascii="Times New Roman" w:hAnsi="Times New Roman" w:cs="Times New Roman"/>
                <w:bCs/>
              </w:rPr>
              <w:t xml:space="preserve">, Energetikos ministerijai buvo išaiškinta, kad toks </w:t>
            </w:r>
            <w:r w:rsidR="00054EB1" w:rsidRPr="00575A8D">
              <w:rPr>
                <w:rFonts w:ascii="Times New Roman" w:hAnsi="Times New Roman" w:cs="Times New Roman"/>
                <w:bCs/>
              </w:rPr>
              <w:lastRenderedPageBreak/>
              <w:t xml:space="preserve">pakeitimas nereikalingas norint Lietuvos Respublikos Vyriausybės nutarimu įgalioti Energetikos ministrą </w:t>
            </w:r>
            <w:r w:rsidR="00575A8D" w:rsidRPr="00575A8D">
              <w:rPr>
                <w:rFonts w:ascii="Times New Roman" w:hAnsi="Times New Roman" w:cs="Times New Roman"/>
                <w:bCs/>
              </w:rPr>
              <w:t xml:space="preserve">patvirtinti du įsakymus susijusius su pajamų, gautų vykdant statistinius energijos perdavimus panaudojimu. Vyriausybės teisininkai išaiškino, kad Vyriausybė nutarimu gali įgalioti Energetikos ministrą. Atsižvelgiant į šiuos išaaiškinimus, Energetikos ministerija atsisakė AIEĮ projekte </w:t>
            </w:r>
            <w:r w:rsidR="00575A8D" w:rsidRPr="00575A8D">
              <w:rPr>
                <w:rFonts w:ascii="Times New Roman" w:hAnsi="Times New Roman" w:cs="Times New Roman"/>
                <w:lang w:val="en-US"/>
              </w:rPr>
              <w:t>58 straipsnio 9 dalies keitimo.</w:t>
            </w:r>
          </w:p>
          <w:p w14:paraId="08645DBC" w14:textId="489CE056" w:rsidR="005A77B3" w:rsidRPr="00575A8D" w:rsidRDefault="009F0481" w:rsidP="00575A8D">
            <w:pPr>
              <w:pStyle w:val="ListParagraph"/>
              <w:numPr>
                <w:ilvl w:val="0"/>
                <w:numId w:val="11"/>
              </w:numPr>
              <w:ind w:left="30" w:firstLine="330"/>
              <w:jc w:val="both"/>
              <w:rPr>
                <w:rFonts w:ascii="Times New Roman" w:hAnsi="Times New Roman" w:cs="Times New Roman"/>
              </w:rPr>
            </w:pPr>
            <w:r w:rsidRPr="00575A8D">
              <w:rPr>
                <w:rFonts w:ascii="Times New Roman" w:hAnsi="Times New Roman" w:cs="Times New Roman"/>
              </w:rPr>
              <w:t xml:space="preserve">Vadovaujantis teisės aktų rengimo praktika skirstant paramos lėšas, paprastai Lietuvos Respublikos Vyriausybė nenustato </w:t>
            </w:r>
            <w:r w:rsidR="00FC686C" w:rsidRPr="00575A8D">
              <w:rPr>
                <w:rFonts w:ascii="Times New Roman" w:hAnsi="Times New Roman" w:cs="Times New Roman"/>
              </w:rPr>
              <w:t>techninės tvarkos</w:t>
            </w:r>
            <w:r w:rsidR="006C01AB" w:rsidRPr="00575A8D">
              <w:rPr>
                <w:rFonts w:ascii="Times New Roman" w:hAnsi="Times New Roman" w:cs="Times New Roman"/>
              </w:rPr>
              <w:t>,</w:t>
            </w:r>
            <w:r w:rsidR="00FC686C" w:rsidRPr="00575A8D">
              <w:rPr>
                <w:rFonts w:ascii="Times New Roman" w:hAnsi="Times New Roman" w:cs="Times New Roman"/>
              </w:rPr>
              <w:t xml:space="preserve"> </w:t>
            </w:r>
            <w:r w:rsidR="006C01AB" w:rsidRPr="00575A8D">
              <w:rPr>
                <w:rFonts w:ascii="Times New Roman" w:hAnsi="Times New Roman" w:cs="Times New Roman"/>
              </w:rPr>
              <w:t>kuria vadovaujantis yra organizuojamas paramos paskirstymas, įgyvendinimas bei stebėsena</w:t>
            </w:r>
            <w:r w:rsidR="00391915" w:rsidRPr="00575A8D">
              <w:rPr>
                <w:rFonts w:ascii="Times New Roman" w:hAnsi="Times New Roman" w:cs="Times New Roman"/>
              </w:rPr>
              <w:t>,</w:t>
            </w:r>
            <w:r w:rsidR="00647B51" w:rsidRPr="00575A8D">
              <w:rPr>
                <w:rFonts w:ascii="Times New Roman" w:hAnsi="Times New Roman" w:cs="Times New Roman"/>
              </w:rPr>
              <w:t xml:space="preserve"> </w:t>
            </w:r>
            <w:r w:rsidR="00391915" w:rsidRPr="00575A8D">
              <w:rPr>
                <w:rFonts w:ascii="Times New Roman" w:hAnsi="Times New Roman" w:cs="Times New Roman"/>
              </w:rPr>
              <w:t>t</w:t>
            </w:r>
            <w:r w:rsidR="00647B51" w:rsidRPr="00575A8D">
              <w:rPr>
                <w:rFonts w:ascii="Times New Roman" w:hAnsi="Times New Roman" w:cs="Times New Roman"/>
              </w:rPr>
              <w:t xml:space="preserve">odėl šiuo atveju Lietuvos Respublikos Vyriausybės nutarimu </w:t>
            </w:r>
            <w:r w:rsidR="003D403B" w:rsidRPr="00575A8D">
              <w:rPr>
                <w:rFonts w:ascii="Times New Roman" w:hAnsi="Times New Roman" w:cs="Times New Roman"/>
              </w:rPr>
              <w:t xml:space="preserve">tvirtinamos Paramos </w:t>
            </w:r>
            <w:r w:rsidR="003D403B" w:rsidRPr="00575A8D">
              <w:rPr>
                <w:rStyle w:val="normaltextrun"/>
                <w:rFonts w:ascii="Times New Roman" w:hAnsi="Times New Roman" w:cs="Times New Roman"/>
                <w:color w:val="000000"/>
                <w:shd w:val="clear" w:color="auto" w:fill="FFFFFF"/>
              </w:rPr>
              <w:t>a</w:t>
            </w:r>
            <w:r w:rsidR="003D403B" w:rsidRPr="00575A8D">
              <w:rPr>
                <w:rFonts w:ascii="Times New Roman" w:hAnsi="Times New Roman" w:cs="Times New Roman"/>
                <w:color w:val="000000"/>
              </w:rPr>
              <w:t xml:space="preserve">tsinaujinančių išteklių energijos plėtrai </w:t>
            </w:r>
            <w:r w:rsidR="003D403B" w:rsidRPr="00575A8D">
              <w:rPr>
                <w:rFonts w:ascii="Times New Roman" w:hAnsi="Times New Roman" w:cs="Times New Roman"/>
              </w:rPr>
              <w:t>Lietuvos Respublikoje administravimo taisyklės (toliau – Taisyklės)</w:t>
            </w:r>
            <w:r w:rsidR="00545602" w:rsidRPr="00575A8D">
              <w:rPr>
                <w:rFonts w:ascii="Times New Roman" w:hAnsi="Times New Roman" w:cs="Times New Roman"/>
              </w:rPr>
              <w:t xml:space="preserve">, kuriose Vyriausybė įgalioja </w:t>
            </w:r>
            <w:r w:rsidR="00391915" w:rsidRPr="00575A8D">
              <w:rPr>
                <w:rFonts w:ascii="Times New Roman" w:hAnsi="Times New Roman" w:cs="Times New Roman"/>
              </w:rPr>
              <w:t>e</w:t>
            </w:r>
            <w:r w:rsidR="00545602" w:rsidRPr="00575A8D">
              <w:rPr>
                <w:rFonts w:ascii="Times New Roman" w:hAnsi="Times New Roman" w:cs="Times New Roman"/>
              </w:rPr>
              <w:t xml:space="preserve">nergetikos ministrą </w:t>
            </w:r>
            <w:r w:rsidR="00DB579A" w:rsidRPr="00575A8D">
              <w:rPr>
                <w:rFonts w:ascii="Times New Roman" w:hAnsi="Times New Roman" w:cs="Times New Roman"/>
              </w:rPr>
              <w:t xml:space="preserve">patvirtinti </w:t>
            </w:r>
            <w:r w:rsidR="004E3999" w:rsidRPr="00575A8D">
              <w:rPr>
                <w:rFonts w:ascii="Times New Roman" w:eastAsia="Courier New" w:hAnsi="Times New Roman" w:cs="Times New Roman"/>
              </w:rPr>
              <w:t>Lietuvos Respublikoje atliekamų mokslinių tyrimų atsinaujinančių išteklių energetikos s</w:t>
            </w:r>
            <w:r w:rsidR="003D403B" w:rsidRPr="00575A8D">
              <w:rPr>
                <w:rFonts w:ascii="Times New Roman" w:eastAsia="Courier New" w:hAnsi="Times New Roman" w:cs="Times New Roman"/>
              </w:rPr>
              <w:t>ektoriuje</w:t>
            </w:r>
            <w:r w:rsidR="004E3999" w:rsidRPr="00575A8D">
              <w:rPr>
                <w:rStyle w:val="normaltextrun"/>
                <w:rFonts w:ascii="Times New Roman" w:hAnsi="Times New Roman" w:cs="Times New Roman"/>
                <w:color w:val="000000"/>
                <w:shd w:val="clear" w:color="auto" w:fill="FFFFFF"/>
              </w:rPr>
              <w:t xml:space="preserve"> p</w:t>
            </w:r>
            <w:r w:rsidR="004E3999" w:rsidRPr="00575A8D">
              <w:rPr>
                <w:rFonts w:ascii="Times New Roman" w:eastAsia="Courier New" w:hAnsi="Times New Roman" w:cs="Times New Roman"/>
              </w:rPr>
              <w:t>rojektų atrankos organizavimo aprašą ir Elektros energijos iš atsinaujinančių išteklių gamybos mažos galios elektrinėse projektų atrankos organizavimo apraš</w:t>
            </w:r>
            <w:bookmarkStart w:id="0" w:name="part_8165660f3c8b42998f57f1eea65272ce"/>
            <w:bookmarkEnd w:id="0"/>
            <w:r w:rsidR="004E3999" w:rsidRPr="00575A8D">
              <w:rPr>
                <w:rFonts w:ascii="Times New Roman" w:eastAsia="Courier New" w:hAnsi="Times New Roman" w:cs="Times New Roman"/>
              </w:rPr>
              <w:t>ą</w:t>
            </w:r>
            <w:r w:rsidR="003D403B" w:rsidRPr="00575A8D">
              <w:rPr>
                <w:rFonts w:ascii="Times New Roman" w:eastAsia="Courier New" w:hAnsi="Times New Roman" w:cs="Times New Roman"/>
              </w:rPr>
              <w:t xml:space="preserve"> (toliau – Aprašai)</w:t>
            </w:r>
            <w:r w:rsidR="004E3999" w:rsidRPr="00575A8D">
              <w:rPr>
                <w:rFonts w:ascii="Times New Roman" w:eastAsia="Courier New" w:hAnsi="Times New Roman" w:cs="Times New Roman"/>
              </w:rPr>
              <w:t xml:space="preserve">, kurie </w:t>
            </w:r>
            <w:r w:rsidR="003D403B" w:rsidRPr="00575A8D">
              <w:rPr>
                <w:rFonts w:ascii="Times New Roman" w:eastAsia="Courier New" w:hAnsi="Times New Roman" w:cs="Times New Roman"/>
              </w:rPr>
              <w:t>detalizuoja Administravimo taisyklių nuostatas.</w:t>
            </w:r>
            <w:r w:rsidR="003D403B" w:rsidRPr="00575A8D">
              <w:rPr>
                <w:rFonts w:ascii="Times New Roman" w:hAnsi="Times New Roman" w:cs="Times New Roman"/>
              </w:rPr>
              <w:t xml:space="preserve"> Taip pat atkreipiame dėmesį, kad Lietuvos Respublikos Vyriausybės tvirtinamos Taisyklės yra bendro pobūdžio teisės aktas, kuriuo planuojama vadovautis ir ateityje skirstant paramos šaltinius</w:t>
            </w:r>
            <w:r w:rsidR="00391915" w:rsidRPr="00575A8D">
              <w:rPr>
                <w:rFonts w:ascii="Times New Roman" w:hAnsi="Times New Roman" w:cs="Times New Roman"/>
              </w:rPr>
              <w:t>,</w:t>
            </w:r>
            <w:r w:rsidR="003D403B" w:rsidRPr="00575A8D">
              <w:rPr>
                <w:rFonts w:ascii="Times New Roman" w:hAnsi="Times New Roman" w:cs="Times New Roman"/>
              </w:rPr>
              <w:t xml:space="preserve"> nurodytus Lietuvos Respublikos atsinaujinančių išteklių energetikos įstatymo </w:t>
            </w:r>
            <w:r w:rsidR="00391915" w:rsidRPr="00575A8D">
              <w:rPr>
                <w:rFonts w:ascii="Times New Roman" w:hAnsi="Times New Roman" w:cs="Times New Roman"/>
              </w:rPr>
              <w:br/>
            </w:r>
            <w:r w:rsidR="003D403B" w:rsidRPr="00575A8D">
              <w:rPr>
                <w:rFonts w:ascii="Times New Roman" w:hAnsi="Times New Roman" w:cs="Times New Roman"/>
              </w:rPr>
              <w:t xml:space="preserve">20 straipsnio 24 dalies 1, 3, 4 ir 5 punktuose. </w:t>
            </w:r>
            <w:r w:rsidR="00391915" w:rsidRPr="00575A8D">
              <w:rPr>
                <w:rFonts w:ascii="Times New Roman" w:hAnsi="Times New Roman" w:cs="Times New Roman"/>
              </w:rPr>
              <w:t xml:space="preserve">Energetikos </w:t>
            </w:r>
            <w:r w:rsidR="003D403B" w:rsidRPr="00575A8D">
              <w:rPr>
                <w:rFonts w:ascii="Times New Roman" w:hAnsi="Times New Roman" w:cs="Times New Roman"/>
              </w:rPr>
              <w:t>ministro įsakymu tvirtinam</w:t>
            </w:r>
            <w:r w:rsidR="00391915" w:rsidRPr="00575A8D">
              <w:rPr>
                <w:rFonts w:ascii="Times New Roman" w:hAnsi="Times New Roman" w:cs="Times New Roman"/>
              </w:rPr>
              <w:t>ų</w:t>
            </w:r>
            <w:r w:rsidR="003D403B" w:rsidRPr="00575A8D">
              <w:rPr>
                <w:rFonts w:ascii="Times New Roman" w:hAnsi="Times New Roman" w:cs="Times New Roman"/>
              </w:rPr>
              <w:t xml:space="preserve"> Apraš</w:t>
            </w:r>
            <w:r w:rsidR="00391915" w:rsidRPr="00575A8D">
              <w:rPr>
                <w:rFonts w:ascii="Times New Roman" w:hAnsi="Times New Roman" w:cs="Times New Roman"/>
              </w:rPr>
              <w:t>ų,</w:t>
            </w:r>
            <w:r w:rsidR="003D403B" w:rsidRPr="00575A8D">
              <w:rPr>
                <w:rFonts w:ascii="Times New Roman" w:hAnsi="Times New Roman" w:cs="Times New Roman"/>
              </w:rPr>
              <w:t xml:space="preserve"> </w:t>
            </w:r>
            <w:r w:rsidR="006C01AB" w:rsidRPr="00575A8D">
              <w:rPr>
                <w:rFonts w:ascii="Times New Roman" w:hAnsi="Times New Roman" w:cs="Times New Roman"/>
              </w:rPr>
              <w:t xml:space="preserve">atsižvelgiant į ES teisės aktus, kuriais vadovaujantis </w:t>
            </w:r>
            <w:r w:rsidR="00467F60" w:rsidRPr="00575A8D">
              <w:rPr>
                <w:rFonts w:ascii="Times New Roman" w:hAnsi="Times New Roman" w:cs="Times New Roman"/>
              </w:rPr>
              <w:t xml:space="preserve">rengiama parama, </w:t>
            </w:r>
            <w:r w:rsidR="00391915" w:rsidRPr="00575A8D">
              <w:rPr>
                <w:rFonts w:ascii="Times New Roman" w:hAnsi="Times New Roman" w:cs="Times New Roman"/>
              </w:rPr>
              <w:t xml:space="preserve">reikalavimai </w:t>
            </w:r>
            <w:r w:rsidR="003D403B" w:rsidRPr="00575A8D">
              <w:rPr>
                <w:rFonts w:ascii="Times New Roman" w:hAnsi="Times New Roman" w:cs="Times New Roman"/>
              </w:rPr>
              <w:t>gali kiekvienu atveju keistis, todėl nebūtų tikslinga kiekvienam konkrečiam paramos šaltinių skir</w:t>
            </w:r>
            <w:r w:rsidR="00467F60" w:rsidRPr="00575A8D">
              <w:rPr>
                <w:rFonts w:ascii="Times New Roman" w:hAnsi="Times New Roman" w:cs="Times New Roman"/>
              </w:rPr>
              <w:t>s</w:t>
            </w:r>
            <w:r w:rsidR="003D403B" w:rsidRPr="00575A8D">
              <w:rPr>
                <w:rFonts w:ascii="Times New Roman" w:hAnsi="Times New Roman" w:cs="Times New Roman"/>
              </w:rPr>
              <w:t>tymo atvejui rengti Lietuvos Respublikos Vyriausybės nutarimą.</w:t>
            </w:r>
          </w:p>
        </w:tc>
      </w:tr>
      <w:tr w:rsidR="00074558" w:rsidRPr="00B010BD" w14:paraId="1F73E431" w14:textId="77777777" w:rsidTr="00247F23">
        <w:trPr>
          <w:gridAfter w:val="1"/>
          <w:wAfter w:w="36" w:type="dxa"/>
        </w:trPr>
        <w:tc>
          <w:tcPr>
            <w:tcW w:w="846" w:type="dxa"/>
          </w:tcPr>
          <w:p w14:paraId="3A61AE52" w14:textId="77777777" w:rsidR="00074558" w:rsidRPr="00B010BD" w:rsidRDefault="00074558" w:rsidP="00F611CB">
            <w:pPr>
              <w:rPr>
                <w:sz w:val="22"/>
                <w:szCs w:val="22"/>
              </w:rPr>
            </w:pPr>
          </w:p>
        </w:tc>
        <w:tc>
          <w:tcPr>
            <w:tcW w:w="2693" w:type="dxa"/>
          </w:tcPr>
          <w:p w14:paraId="50694DF0" w14:textId="01BD4900" w:rsidR="00074558" w:rsidRPr="00B010BD" w:rsidRDefault="00DC7CB7" w:rsidP="00F611CB">
            <w:pPr>
              <w:rPr>
                <w:sz w:val="22"/>
                <w:szCs w:val="22"/>
              </w:rPr>
            </w:pPr>
            <w:r>
              <w:rPr>
                <w:sz w:val="22"/>
                <w:szCs w:val="22"/>
              </w:rPr>
              <w:t xml:space="preserve">Lietuvos Respublikos aplinkos ministerijos Aplinkos projektų valdymo agentūros 2020 m. rugsėjo 3 d. raštas Nr. </w:t>
            </w:r>
            <w:r w:rsidRPr="00DC7CB7">
              <w:rPr>
                <w:sz w:val="22"/>
                <w:szCs w:val="22"/>
              </w:rPr>
              <w:t>(29-2-9)-APVA-1377</w:t>
            </w:r>
          </w:p>
        </w:tc>
        <w:tc>
          <w:tcPr>
            <w:tcW w:w="6804" w:type="dxa"/>
          </w:tcPr>
          <w:p w14:paraId="39AF1AFB" w14:textId="69691C31" w:rsidR="00DC7CB7" w:rsidRPr="00233436" w:rsidRDefault="00DC7CB7" w:rsidP="00DC7CB7">
            <w:pPr>
              <w:widowControl w:val="0"/>
              <w:tabs>
                <w:tab w:val="left" w:pos="0"/>
                <w:tab w:val="left" w:pos="993"/>
                <w:tab w:val="left" w:pos="1134"/>
              </w:tabs>
              <w:suppressAutoHyphens/>
              <w:contextualSpacing/>
              <w:jc w:val="both"/>
              <w:rPr>
                <w:sz w:val="22"/>
                <w:szCs w:val="22"/>
              </w:rPr>
            </w:pPr>
            <w:r w:rsidRPr="00233436">
              <w:rPr>
                <w:sz w:val="22"/>
                <w:szCs w:val="22"/>
              </w:rPr>
              <w:t>Taisyklių 8.9 p. nurodytą terminą siūlome pailginti nurodant ne mažiau kaip 30 d.</w:t>
            </w:r>
            <w:r w:rsidR="00643601">
              <w:rPr>
                <w:sz w:val="22"/>
                <w:szCs w:val="22"/>
              </w:rPr>
              <w:t xml:space="preserve"> </w:t>
            </w:r>
            <w:r w:rsidRPr="00233436">
              <w:rPr>
                <w:sz w:val="22"/>
                <w:szCs w:val="22"/>
              </w:rPr>
              <w:t>d., nes 10 d.</w:t>
            </w:r>
            <w:r w:rsidR="00643601">
              <w:rPr>
                <w:sz w:val="22"/>
                <w:szCs w:val="22"/>
              </w:rPr>
              <w:t xml:space="preserve"> </w:t>
            </w:r>
            <w:r w:rsidRPr="00233436">
              <w:rPr>
                <w:sz w:val="22"/>
                <w:szCs w:val="22"/>
              </w:rPr>
              <w:t>d. terminas numatytas mokėjimo prašymų tikslinimui įsakymo „Dėl Elektros energijos iš atsinaujinančių išteklių gamybos mažos galios elektrinėse projektų atrankos organizavimo aprašo patvirtinimo“ projekte.</w:t>
            </w:r>
          </w:p>
          <w:p w14:paraId="72DFDB55" w14:textId="77777777" w:rsidR="00074558" w:rsidRPr="00233436" w:rsidRDefault="00074558" w:rsidP="004F255A">
            <w:pPr>
              <w:tabs>
                <w:tab w:val="left" w:pos="798"/>
                <w:tab w:val="left" w:pos="1019"/>
                <w:tab w:val="left" w:pos="1193"/>
              </w:tabs>
              <w:suppressAutoHyphens/>
              <w:spacing w:line="276" w:lineRule="auto"/>
              <w:jc w:val="both"/>
              <w:rPr>
                <w:rStyle w:val="normaltextrun"/>
                <w:color w:val="000000"/>
                <w:sz w:val="22"/>
                <w:szCs w:val="22"/>
                <w:shd w:val="clear" w:color="auto" w:fill="FFFFFF"/>
              </w:rPr>
            </w:pPr>
          </w:p>
        </w:tc>
        <w:tc>
          <w:tcPr>
            <w:tcW w:w="4784" w:type="dxa"/>
          </w:tcPr>
          <w:p w14:paraId="02B3645E" w14:textId="19C79A47" w:rsidR="00322593" w:rsidRPr="00575A8D" w:rsidRDefault="006C0226" w:rsidP="00282429">
            <w:pPr>
              <w:jc w:val="both"/>
              <w:textAlignment w:val="center"/>
            </w:pPr>
            <w:r w:rsidRPr="00575A8D">
              <w:rPr>
                <w:b/>
                <w:bCs/>
                <w:sz w:val="22"/>
                <w:szCs w:val="22"/>
              </w:rPr>
              <w:t xml:space="preserve">Neatsižvelgta. </w:t>
            </w:r>
            <w:r w:rsidR="004A3E85" w:rsidRPr="00575A8D">
              <w:rPr>
                <w:sz w:val="22"/>
                <w:szCs w:val="22"/>
              </w:rPr>
              <w:t xml:space="preserve">Taisyklių 8.9 </w:t>
            </w:r>
            <w:r w:rsidR="00391915" w:rsidRPr="00575A8D">
              <w:rPr>
                <w:sz w:val="22"/>
                <w:szCs w:val="22"/>
              </w:rPr>
              <w:t xml:space="preserve">papunktyje </w:t>
            </w:r>
            <w:r w:rsidR="004A3E85" w:rsidRPr="00575A8D">
              <w:rPr>
                <w:sz w:val="22"/>
                <w:szCs w:val="22"/>
              </w:rPr>
              <w:t>reglamentuojama</w:t>
            </w:r>
            <w:r w:rsidR="00322593" w:rsidRPr="00575A8D">
              <w:rPr>
                <w:sz w:val="22"/>
                <w:szCs w:val="22"/>
              </w:rPr>
              <w:t xml:space="preserve">s avansinio, tarpinio ar galutinio mokėjimo prašymų įvertinimas per </w:t>
            </w:r>
            <w:r w:rsidR="00322593" w:rsidRPr="00575A8D">
              <w:rPr>
                <w:sz w:val="22"/>
                <w:szCs w:val="22"/>
                <w:lang w:val="en-US"/>
              </w:rPr>
              <w:t>10 darbo dien</w:t>
            </w:r>
            <w:r w:rsidR="00322593" w:rsidRPr="00575A8D">
              <w:rPr>
                <w:sz w:val="22"/>
                <w:szCs w:val="22"/>
              </w:rPr>
              <w:t xml:space="preserve">ų, o </w:t>
            </w:r>
            <w:r w:rsidR="00852714" w:rsidRPr="00575A8D">
              <w:rPr>
                <w:sz w:val="22"/>
                <w:szCs w:val="22"/>
              </w:rPr>
              <w:t>Aprašo 27 punkte reglamentuojamas</w:t>
            </w:r>
            <w:r w:rsidR="00282429" w:rsidRPr="00575A8D">
              <w:rPr>
                <w:sz w:val="22"/>
                <w:szCs w:val="22"/>
              </w:rPr>
              <w:t xml:space="preserve"> projektų paraiškų vertinimas, todėl šie du punktai nesietini tarpusavyje ir nereikalauja terminų derinimo.</w:t>
            </w:r>
          </w:p>
          <w:p w14:paraId="10EE4258" w14:textId="55679B08" w:rsidR="00074558" w:rsidRPr="00575A8D" w:rsidRDefault="004A3E85" w:rsidP="00F611CB">
            <w:pPr>
              <w:rPr>
                <w:sz w:val="22"/>
                <w:szCs w:val="22"/>
              </w:rPr>
            </w:pPr>
            <w:r w:rsidRPr="00575A8D">
              <w:rPr>
                <w:sz w:val="22"/>
                <w:szCs w:val="22"/>
              </w:rPr>
              <w:t xml:space="preserve"> </w:t>
            </w:r>
          </w:p>
        </w:tc>
      </w:tr>
      <w:tr w:rsidR="005268A8" w:rsidRPr="00B010BD" w14:paraId="77CFC09B" w14:textId="77777777" w:rsidTr="00247F23">
        <w:trPr>
          <w:gridAfter w:val="1"/>
          <w:wAfter w:w="36" w:type="dxa"/>
        </w:trPr>
        <w:tc>
          <w:tcPr>
            <w:tcW w:w="846" w:type="dxa"/>
          </w:tcPr>
          <w:p w14:paraId="3789FAB3" w14:textId="77777777" w:rsidR="005268A8" w:rsidRPr="00B010BD" w:rsidRDefault="005268A8" w:rsidP="00F611CB">
            <w:pPr>
              <w:rPr>
                <w:sz w:val="22"/>
                <w:szCs w:val="22"/>
              </w:rPr>
            </w:pPr>
          </w:p>
        </w:tc>
        <w:tc>
          <w:tcPr>
            <w:tcW w:w="2693" w:type="dxa"/>
          </w:tcPr>
          <w:p w14:paraId="43636B29" w14:textId="3A1882E3" w:rsidR="005268A8" w:rsidRDefault="005268A8" w:rsidP="00F611CB">
            <w:pPr>
              <w:rPr>
                <w:sz w:val="22"/>
                <w:szCs w:val="22"/>
              </w:rPr>
            </w:pPr>
            <w:r>
              <w:rPr>
                <w:sz w:val="22"/>
                <w:szCs w:val="22"/>
              </w:rPr>
              <w:t xml:space="preserve">Lietuvos Respublikos švietimo, mokslo ir sporto ministerijos 2020 m. rugsėjo </w:t>
            </w:r>
            <w:r>
              <w:rPr>
                <w:sz w:val="22"/>
                <w:szCs w:val="22"/>
                <w:lang w:val="en-US"/>
              </w:rPr>
              <w:t>18</w:t>
            </w:r>
            <w:r>
              <w:rPr>
                <w:sz w:val="22"/>
                <w:szCs w:val="22"/>
              </w:rPr>
              <w:t xml:space="preserve"> d. raštas Nr.</w:t>
            </w:r>
            <w:r w:rsidR="004F4FA7">
              <w:t xml:space="preserve"> </w:t>
            </w:r>
            <w:r w:rsidR="004F4FA7" w:rsidRPr="004F4FA7">
              <w:rPr>
                <w:sz w:val="22"/>
                <w:szCs w:val="22"/>
              </w:rPr>
              <w:t>SR-4269</w:t>
            </w:r>
            <w:bookmarkStart w:id="1" w:name="_GoBack"/>
            <w:bookmarkEnd w:id="1"/>
          </w:p>
        </w:tc>
        <w:tc>
          <w:tcPr>
            <w:tcW w:w="6804" w:type="dxa"/>
          </w:tcPr>
          <w:p w14:paraId="0F22F283" w14:textId="77777777" w:rsidR="005268A8" w:rsidRPr="005268A8" w:rsidRDefault="005268A8" w:rsidP="005268A8">
            <w:pPr>
              <w:overflowPunct w:val="0"/>
              <w:autoSpaceDE w:val="0"/>
              <w:autoSpaceDN w:val="0"/>
              <w:adjustRightInd w:val="0"/>
              <w:spacing w:after="20"/>
              <w:contextualSpacing/>
              <w:jc w:val="both"/>
              <w:textAlignment w:val="baseline"/>
              <w:rPr>
                <w:sz w:val="22"/>
                <w:szCs w:val="22"/>
              </w:rPr>
            </w:pPr>
            <w:r w:rsidRPr="005268A8">
              <w:rPr>
                <w:sz w:val="22"/>
                <w:szCs w:val="22"/>
              </w:rPr>
              <w:t>Siekiant aiškumo, Nutarimo projektu tvirtinamų Paramos atsinaujinan</w:t>
            </w:r>
            <w:r w:rsidRPr="005268A8">
              <w:rPr>
                <w:rFonts w:hint="eastAsia"/>
                <w:sz w:val="22"/>
                <w:szCs w:val="22"/>
              </w:rPr>
              <w:t>č</w:t>
            </w:r>
            <w:r w:rsidRPr="005268A8">
              <w:rPr>
                <w:sz w:val="22"/>
                <w:szCs w:val="22"/>
              </w:rPr>
              <w:t>i</w:t>
            </w:r>
            <w:r w:rsidRPr="005268A8">
              <w:rPr>
                <w:rFonts w:hint="eastAsia"/>
                <w:sz w:val="22"/>
                <w:szCs w:val="22"/>
              </w:rPr>
              <w:t>ų</w:t>
            </w:r>
            <w:r w:rsidRPr="005268A8">
              <w:rPr>
                <w:sz w:val="22"/>
                <w:szCs w:val="22"/>
              </w:rPr>
              <w:t xml:space="preserve"> ištekli</w:t>
            </w:r>
            <w:r w:rsidRPr="005268A8">
              <w:rPr>
                <w:rFonts w:hint="eastAsia"/>
                <w:sz w:val="22"/>
                <w:szCs w:val="22"/>
              </w:rPr>
              <w:t>ų</w:t>
            </w:r>
            <w:r w:rsidRPr="005268A8">
              <w:rPr>
                <w:sz w:val="22"/>
                <w:szCs w:val="22"/>
              </w:rPr>
              <w:t xml:space="preserve"> energijos pl</w:t>
            </w:r>
            <w:r w:rsidRPr="005268A8">
              <w:rPr>
                <w:rFonts w:hint="eastAsia"/>
                <w:sz w:val="22"/>
                <w:szCs w:val="22"/>
              </w:rPr>
              <w:t>ė</w:t>
            </w:r>
            <w:r w:rsidRPr="005268A8">
              <w:rPr>
                <w:sz w:val="22"/>
                <w:szCs w:val="22"/>
              </w:rPr>
              <w:t xml:space="preserve">trai Lietuvos Respublikoje administravimo taisyklių II skyriaus trečiame skirsnyje „Vykdančioji institucija“ aiškiai atskirti kiekvienos iš vykdančiųjų institucijų (Mokslo, inovacijų ir technologijų agentūros ir Aplinkos projektų valdymo agentūros) vykdomas funkcijas ir kiekvienai iš jų numatyti konkrečias, o ne bendrines funkcijas. </w:t>
            </w:r>
          </w:p>
          <w:p w14:paraId="5812DE55" w14:textId="77777777" w:rsidR="005268A8" w:rsidRPr="00233436" w:rsidRDefault="005268A8" w:rsidP="00DC7CB7">
            <w:pPr>
              <w:widowControl w:val="0"/>
              <w:tabs>
                <w:tab w:val="left" w:pos="0"/>
                <w:tab w:val="left" w:pos="993"/>
                <w:tab w:val="left" w:pos="1134"/>
              </w:tabs>
              <w:suppressAutoHyphens/>
              <w:contextualSpacing/>
              <w:jc w:val="both"/>
              <w:rPr>
                <w:sz w:val="22"/>
                <w:szCs w:val="22"/>
              </w:rPr>
            </w:pPr>
          </w:p>
        </w:tc>
        <w:tc>
          <w:tcPr>
            <w:tcW w:w="4784" w:type="dxa"/>
          </w:tcPr>
          <w:p w14:paraId="66E845EF" w14:textId="187D80A5" w:rsidR="005268A8" w:rsidRPr="00575A8D" w:rsidRDefault="005268A8" w:rsidP="00282429">
            <w:pPr>
              <w:jc w:val="both"/>
              <w:textAlignment w:val="center"/>
              <w:rPr>
                <w:b/>
                <w:bCs/>
                <w:sz w:val="22"/>
                <w:szCs w:val="22"/>
              </w:rPr>
            </w:pPr>
            <w:r w:rsidRPr="00DE456A">
              <w:rPr>
                <w:b/>
                <w:bCs/>
                <w:sz w:val="22"/>
                <w:szCs w:val="22"/>
              </w:rPr>
              <w:t xml:space="preserve">Neatsižvelgta. </w:t>
            </w:r>
            <w:r w:rsidRPr="00DE456A">
              <w:rPr>
                <w:sz w:val="22"/>
                <w:szCs w:val="22"/>
              </w:rPr>
              <w:t>Nutarimo projektas skirtas  atsinaujinančių energijos išteklių plėtros ir mokslinių tyrimų atsinaujinančių išteklių energetikos sektoriuje projektų vykdymui tiek artimiausiu metu</w:t>
            </w:r>
            <w:r>
              <w:rPr>
                <w:sz w:val="22"/>
                <w:szCs w:val="22"/>
              </w:rPr>
              <w:t>,</w:t>
            </w:r>
            <w:r w:rsidRPr="00DE456A">
              <w:rPr>
                <w:sz w:val="22"/>
                <w:szCs w:val="22"/>
              </w:rPr>
              <w:t xml:space="preserve"> tiek ateityje</w:t>
            </w:r>
            <w:r>
              <w:rPr>
                <w:sz w:val="22"/>
                <w:szCs w:val="22"/>
              </w:rPr>
              <w:t>, jei bus lėšų.</w:t>
            </w:r>
            <w:r w:rsidRPr="00DE456A">
              <w:rPr>
                <w:sz w:val="22"/>
                <w:szCs w:val="22"/>
              </w:rPr>
              <w:t xml:space="preserve"> Atsižvelgiant į tai</w:t>
            </w:r>
            <w:r>
              <w:rPr>
                <w:sz w:val="22"/>
                <w:szCs w:val="22"/>
              </w:rPr>
              <w:t>,</w:t>
            </w:r>
            <w:r w:rsidRPr="00DE456A">
              <w:rPr>
                <w:sz w:val="22"/>
                <w:szCs w:val="22"/>
              </w:rPr>
              <w:t xml:space="preserve"> Nutarimu tvirtinamų Taisyklių projekte yra įvardijama vykdančioji institucija su jai nustatytomis bendrosiomis funkcijomis, jų nedetalizuojant. Ateityje, </w:t>
            </w:r>
            <w:r>
              <w:rPr>
                <w:sz w:val="22"/>
                <w:szCs w:val="22"/>
              </w:rPr>
              <w:t>jei bus</w:t>
            </w:r>
            <w:r w:rsidRPr="00DE456A">
              <w:rPr>
                <w:sz w:val="22"/>
                <w:szCs w:val="22"/>
              </w:rPr>
              <w:t xml:space="preserve"> lėšų vykdyti tokius projektus, nereikėtų vėl papildomai priimti naujo teisės akto</w:t>
            </w:r>
            <w:r>
              <w:rPr>
                <w:sz w:val="22"/>
                <w:szCs w:val="22"/>
              </w:rPr>
              <w:t>, kadangi bendrosios funkcijos tiktų visoms vykdančiosioms institucijoms. Atsižvelgiant į paramos šaltiniams keliamus reikalavimus pagal ES teisės aktus, pagal kuriuos skiriama parama (Bendrasis bendrosios išimties reglamentas) Valstybės pagalbos gairės), detalesnės vykdančiųjų institucijų funkcijos yra nustatomos ministro įsakymu tvirtinamame teisės akte, todėl netikslinga būtų Nutarimu tvirtinamose Taisyklėse įtvirtinti detalias kiekvienos vykdančiosios institucijos funkcijas.</w:t>
            </w:r>
          </w:p>
        </w:tc>
      </w:tr>
    </w:tbl>
    <w:p w14:paraId="77027949" w14:textId="0F916D7D" w:rsidR="00C87CB0" w:rsidRPr="00B010BD" w:rsidRDefault="00081022">
      <w:pPr>
        <w:rPr>
          <w:sz w:val="22"/>
          <w:szCs w:val="22"/>
        </w:rPr>
      </w:pPr>
      <w:r>
        <w:rPr>
          <w:noProof/>
          <w:sz w:val="22"/>
          <w:szCs w:val="22"/>
        </w:rPr>
        <mc:AlternateContent>
          <mc:Choice Requires="wpc">
            <w:drawing>
              <wp:anchor distT="0" distB="0" distL="114300" distR="114300" simplePos="0" relativeHeight="251660288" behindDoc="0" locked="0" layoutInCell="1" allowOverlap="1" wp14:anchorId="0F916169" wp14:editId="35A2F214">
                <wp:simplePos x="0" y="0"/>
                <wp:positionH relativeFrom="page">
                  <wp:align>left</wp:align>
                </wp:positionH>
                <wp:positionV relativeFrom="paragraph">
                  <wp:posOffset>827987</wp:posOffset>
                </wp:positionV>
                <wp:extent cx="9611995" cy="36000"/>
                <wp:effectExtent l="0" t="0" r="0" b="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8CD8C66" id="Canvas 4" o:spid="_x0000_s1026" editas="canvas" style="position:absolute;margin-left:0;margin-top:65.2pt;width:756.85pt;height:2.85pt;z-index:251660288;mso-position-horizontal:left;mso-position-horizontal-relative:page" coordsize="96119,3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BQDtwnfAAAACQEAAA8AAABkcnMv ZG93bnJldi54bWxMj1FLwzAUhd8F/0O4gi/i0tqtG7XpEEEQwYdtCntMm7ummtyUJt3qvzd90sd7 zuHc75TbyRp2xsF3jgSkiwQYUuNUR62Aj8PL/QaYD5KUNI5QwA962FbXV6UslLvQDs/70LJYQr6Q AnQIfcG5bzRa6ReuR4reyQ1WhngOLVeDvMRya/hDkuTcyo7iBy17fNbYfO9HK+Ctye++0no82s37 p85W5vgaDkshbm+mp0dgAafwF4YZP6JDFZlqN5LyzAiIQ0JUs2QJbLZXabYGVs9SngKvSv5/QfUL AAD//wMAUEsBAi0AFAAGAAgAAAAhALaDOJL+AAAA4QEAABMAAAAAAAAAAAAAAAAAAAAAAFtDb250 ZW50X1R5cGVzXS54bWxQSwECLQAUAAYACAAAACEAOP0h/9YAAACUAQAACwAAAAAAAAAAAAAAAAAv AQAAX3JlbHMvLnJlbHNQSwECLQAUAAYACAAAACEAYfAgixQBAAA+AgAADgAAAAAAAAAAAAAAAAAu AgAAZHJzL2Uyb0RvYy54bWxQSwECLQAUAAYACAAAACEAFAO3Cd8AAAAJAQAADwAAAAAAAAAAAAAA AABuAwAAZHJzL2Rvd25yZXYueG1sUEsFBgAAAAAEAAQA8wAAAHoE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119;height:355;visibility:visible;mso-wrap-style:square">
                  <v:fill o:detectmouseclick="t"/>
                  <v:path o:connecttype="none"/>
                </v:shape>
                <w10:wrap anchorx="page"/>
              </v:group>
            </w:pict>
          </mc:Fallback>
        </mc:AlternateContent>
      </w:r>
    </w:p>
    <w:sectPr w:rsidR="00C87CB0" w:rsidRPr="00B010BD" w:rsidSect="005A7788">
      <w:headerReference w:type="even" r:id="rId7"/>
      <w:headerReference w:type="default" r:id="rId8"/>
      <w:pgSz w:w="16838" w:h="11906" w:orient="landscape"/>
      <w:pgMar w:top="1134" w:right="56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CE09" w16cex:dateUtc="2020-09-14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9962" w14:textId="77777777" w:rsidR="00DE3B4F" w:rsidRDefault="00DE3B4F">
      <w:r>
        <w:separator/>
      </w:r>
    </w:p>
  </w:endnote>
  <w:endnote w:type="continuationSeparator" w:id="0">
    <w:p w14:paraId="71944435" w14:textId="77777777" w:rsidR="00DE3B4F" w:rsidRDefault="00DE3B4F">
      <w:r>
        <w:continuationSeparator/>
      </w:r>
    </w:p>
  </w:endnote>
  <w:endnote w:type="continuationNotice" w:id="1">
    <w:p w14:paraId="6A266D64" w14:textId="77777777" w:rsidR="00DE3B4F" w:rsidRDefault="00DE3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1F2B5" w14:textId="77777777" w:rsidR="00DE3B4F" w:rsidRDefault="00DE3B4F">
      <w:r>
        <w:separator/>
      </w:r>
    </w:p>
  </w:footnote>
  <w:footnote w:type="continuationSeparator" w:id="0">
    <w:p w14:paraId="44A4E32D" w14:textId="77777777" w:rsidR="00DE3B4F" w:rsidRDefault="00DE3B4F">
      <w:r>
        <w:continuationSeparator/>
      </w:r>
    </w:p>
  </w:footnote>
  <w:footnote w:type="continuationNotice" w:id="1">
    <w:p w14:paraId="58CC6ABA" w14:textId="77777777" w:rsidR="00DE3B4F" w:rsidRDefault="00DE3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D706" w14:textId="77777777" w:rsidR="00B47336" w:rsidRDefault="00DF060F" w:rsidP="008061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403DA" w14:textId="77777777" w:rsidR="00B47336" w:rsidRDefault="00DE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A337" w14:textId="5A4ABCA0" w:rsidR="00B47336" w:rsidRPr="00A62A41" w:rsidRDefault="00DF060F" w:rsidP="0080612F">
    <w:pPr>
      <w:pStyle w:val="Header"/>
      <w:framePr w:wrap="around" w:vAnchor="text" w:hAnchor="page" w:x="8708" w:y="3"/>
      <w:rPr>
        <w:rStyle w:val="PageNumber"/>
        <w:sz w:val="24"/>
        <w:szCs w:val="24"/>
      </w:rPr>
    </w:pPr>
    <w:r w:rsidRPr="00A62A41">
      <w:rPr>
        <w:rStyle w:val="PageNumber"/>
        <w:sz w:val="24"/>
        <w:szCs w:val="24"/>
      </w:rPr>
      <w:fldChar w:fldCharType="begin"/>
    </w:r>
    <w:r w:rsidRPr="00A62A41">
      <w:rPr>
        <w:rStyle w:val="PageNumber"/>
        <w:sz w:val="24"/>
        <w:szCs w:val="24"/>
      </w:rPr>
      <w:instrText xml:space="preserve">PAGE  </w:instrText>
    </w:r>
    <w:r w:rsidRPr="00A62A41">
      <w:rPr>
        <w:rStyle w:val="PageNumber"/>
        <w:sz w:val="24"/>
        <w:szCs w:val="24"/>
      </w:rPr>
      <w:fldChar w:fldCharType="separate"/>
    </w:r>
    <w:r w:rsidR="00E02331">
      <w:rPr>
        <w:rStyle w:val="PageNumber"/>
        <w:noProof/>
        <w:sz w:val="24"/>
        <w:szCs w:val="24"/>
      </w:rPr>
      <w:t>2</w:t>
    </w:r>
    <w:r w:rsidRPr="00A62A41">
      <w:rPr>
        <w:rStyle w:val="PageNumber"/>
        <w:sz w:val="24"/>
        <w:szCs w:val="24"/>
      </w:rPr>
      <w:fldChar w:fldCharType="end"/>
    </w:r>
  </w:p>
  <w:p w14:paraId="0F422935" w14:textId="77777777" w:rsidR="00B47336" w:rsidRDefault="00DE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4919"/>
    <w:multiLevelType w:val="hybridMultilevel"/>
    <w:tmpl w:val="4AF4FFB8"/>
    <w:lvl w:ilvl="0" w:tplc="B45247F8">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F215DB"/>
    <w:multiLevelType w:val="hybridMultilevel"/>
    <w:tmpl w:val="4AF4FFB8"/>
    <w:lvl w:ilvl="0" w:tplc="B45247F8">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2EF6C2C"/>
    <w:multiLevelType w:val="hybridMultilevel"/>
    <w:tmpl w:val="4AF4FFB8"/>
    <w:lvl w:ilvl="0" w:tplc="B45247F8">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FDD78A8"/>
    <w:multiLevelType w:val="hybridMultilevel"/>
    <w:tmpl w:val="ACE8DEE0"/>
    <w:lvl w:ilvl="0" w:tplc="E244E46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DA0850"/>
    <w:multiLevelType w:val="hybridMultilevel"/>
    <w:tmpl w:val="93F80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74734D"/>
    <w:multiLevelType w:val="hybridMultilevel"/>
    <w:tmpl w:val="8CFC1EE2"/>
    <w:lvl w:ilvl="0" w:tplc="BAE68B2C">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6" w15:restartNumberingAfterBreak="0">
    <w:nsid w:val="645E4831"/>
    <w:multiLevelType w:val="multilevel"/>
    <w:tmpl w:val="63C60980"/>
    <w:lvl w:ilvl="0">
      <w:start w:val="1"/>
      <w:numFmt w:val="decimal"/>
      <w:lvlText w:val="%1."/>
      <w:lvlJc w:val="left"/>
      <w:pPr>
        <w:tabs>
          <w:tab w:val="num" w:pos="1518"/>
        </w:tabs>
        <w:ind w:left="1518" w:hanging="360"/>
      </w:pPr>
    </w:lvl>
    <w:lvl w:ilvl="1">
      <w:start w:val="1"/>
      <w:numFmt w:val="decimal"/>
      <w:lvlText w:val="%2."/>
      <w:lvlJc w:val="left"/>
      <w:pPr>
        <w:tabs>
          <w:tab w:val="num" w:pos="1878"/>
        </w:tabs>
        <w:ind w:left="1878" w:hanging="360"/>
      </w:pPr>
    </w:lvl>
    <w:lvl w:ilvl="2">
      <w:start w:val="1"/>
      <w:numFmt w:val="decimal"/>
      <w:lvlText w:val="%3."/>
      <w:lvlJc w:val="left"/>
      <w:pPr>
        <w:tabs>
          <w:tab w:val="num" w:pos="2238"/>
        </w:tabs>
        <w:ind w:left="2238" w:hanging="360"/>
      </w:pPr>
    </w:lvl>
    <w:lvl w:ilvl="3">
      <w:start w:val="1"/>
      <w:numFmt w:val="decimal"/>
      <w:lvlText w:val="%4."/>
      <w:lvlJc w:val="left"/>
      <w:pPr>
        <w:tabs>
          <w:tab w:val="num" w:pos="2598"/>
        </w:tabs>
        <w:ind w:left="2598" w:hanging="360"/>
      </w:pPr>
    </w:lvl>
    <w:lvl w:ilvl="4">
      <w:start w:val="1"/>
      <w:numFmt w:val="decimal"/>
      <w:lvlText w:val="%5."/>
      <w:lvlJc w:val="left"/>
      <w:pPr>
        <w:tabs>
          <w:tab w:val="num" w:pos="2958"/>
        </w:tabs>
        <w:ind w:left="2958" w:hanging="360"/>
      </w:pPr>
    </w:lvl>
    <w:lvl w:ilvl="5">
      <w:start w:val="1"/>
      <w:numFmt w:val="decimal"/>
      <w:lvlText w:val="%6."/>
      <w:lvlJc w:val="left"/>
      <w:pPr>
        <w:tabs>
          <w:tab w:val="num" w:pos="3318"/>
        </w:tabs>
        <w:ind w:left="3318" w:hanging="360"/>
      </w:pPr>
    </w:lvl>
    <w:lvl w:ilvl="6">
      <w:start w:val="1"/>
      <w:numFmt w:val="decimal"/>
      <w:lvlText w:val="%7."/>
      <w:lvlJc w:val="left"/>
      <w:pPr>
        <w:tabs>
          <w:tab w:val="num" w:pos="3678"/>
        </w:tabs>
        <w:ind w:left="3678" w:hanging="360"/>
      </w:pPr>
    </w:lvl>
    <w:lvl w:ilvl="7">
      <w:start w:val="1"/>
      <w:numFmt w:val="decimal"/>
      <w:lvlText w:val="%8."/>
      <w:lvlJc w:val="left"/>
      <w:pPr>
        <w:tabs>
          <w:tab w:val="num" w:pos="4038"/>
        </w:tabs>
        <w:ind w:left="4038" w:hanging="360"/>
      </w:pPr>
    </w:lvl>
    <w:lvl w:ilvl="8">
      <w:start w:val="1"/>
      <w:numFmt w:val="decimal"/>
      <w:lvlText w:val="%9."/>
      <w:lvlJc w:val="left"/>
      <w:pPr>
        <w:tabs>
          <w:tab w:val="num" w:pos="4398"/>
        </w:tabs>
        <w:ind w:left="4398" w:hanging="360"/>
      </w:pPr>
    </w:lvl>
  </w:abstractNum>
  <w:abstractNum w:abstractNumId="7" w15:restartNumberingAfterBreak="0">
    <w:nsid w:val="65DD24CA"/>
    <w:multiLevelType w:val="hybridMultilevel"/>
    <w:tmpl w:val="DE2029AC"/>
    <w:lvl w:ilvl="0" w:tplc="B7920C0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 w15:restartNumberingAfterBreak="0">
    <w:nsid w:val="6F1702D7"/>
    <w:multiLevelType w:val="hybridMultilevel"/>
    <w:tmpl w:val="B5D41A90"/>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4040FDA"/>
    <w:multiLevelType w:val="hybridMultilevel"/>
    <w:tmpl w:val="72BE57B0"/>
    <w:lvl w:ilvl="0" w:tplc="7B026F74">
      <w:start w:val="1"/>
      <w:numFmt w:val="decimal"/>
      <w:lvlText w:val="%1."/>
      <w:lvlJc w:val="left"/>
      <w:pPr>
        <w:ind w:left="927" w:hanging="36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C8C64BA"/>
    <w:multiLevelType w:val="hybridMultilevel"/>
    <w:tmpl w:val="96C22B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CD4348E"/>
    <w:multiLevelType w:val="hybridMultilevel"/>
    <w:tmpl w:val="9804519E"/>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5"/>
  </w:num>
  <w:num w:numId="3">
    <w:abstractNumId w:val="0"/>
  </w:num>
  <w:num w:numId="4">
    <w:abstractNumId w:val="2"/>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5C"/>
    <w:rsid w:val="00010D99"/>
    <w:rsid w:val="00011485"/>
    <w:rsid w:val="0001516B"/>
    <w:rsid w:val="000171A0"/>
    <w:rsid w:val="0002271C"/>
    <w:rsid w:val="00022EFA"/>
    <w:rsid w:val="00035406"/>
    <w:rsid w:val="00047487"/>
    <w:rsid w:val="00047C63"/>
    <w:rsid w:val="00050D38"/>
    <w:rsid w:val="00051D4F"/>
    <w:rsid w:val="0005241E"/>
    <w:rsid w:val="0005465C"/>
    <w:rsid w:val="00054EB1"/>
    <w:rsid w:val="000565AF"/>
    <w:rsid w:val="000634C5"/>
    <w:rsid w:val="00067DCC"/>
    <w:rsid w:val="00072C01"/>
    <w:rsid w:val="00073605"/>
    <w:rsid w:val="000739EB"/>
    <w:rsid w:val="00074558"/>
    <w:rsid w:val="000768DC"/>
    <w:rsid w:val="00080723"/>
    <w:rsid w:val="00081022"/>
    <w:rsid w:val="0009552C"/>
    <w:rsid w:val="000A5E93"/>
    <w:rsid w:val="000A785A"/>
    <w:rsid w:val="000B2BAD"/>
    <w:rsid w:val="000B2CE8"/>
    <w:rsid w:val="000C0149"/>
    <w:rsid w:val="000C0F4F"/>
    <w:rsid w:val="000C1706"/>
    <w:rsid w:val="000C238A"/>
    <w:rsid w:val="000C3018"/>
    <w:rsid w:val="000D375C"/>
    <w:rsid w:val="000D4544"/>
    <w:rsid w:val="000E56F5"/>
    <w:rsid w:val="000F0BD8"/>
    <w:rsid w:val="000F351F"/>
    <w:rsid w:val="000F39E0"/>
    <w:rsid w:val="00101278"/>
    <w:rsid w:val="00101DAD"/>
    <w:rsid w:val="00106327"/>
    <w:rsid w:val="00115F57"/>
    <w:rsid w:val="0012080E"/>
    <w:rsid w:val="001245B8"/>
    <w:rsid w:val="0012478F"/>
    <w:rsid w:val="001275C8"/>
    <w:rsid w:val="001325CB"/>
    <w:rsid w:val="00133DEC"/>
    <w:rsid w:val="001373DC"/>
    <w:rsid w:val="001376E0"/>
    <w:rsid w:val="001416A9"/>
    <w:rsid w:val="00141B94"/>
    <w:rsid w:val="001514C5"/>
    <w:rsid w:val="00152C32"/>
    <w:rsid w:val="001535B0"/>
    <w:rsid w:val="001540BD"/>
    <w:rsid w:val="00157DB3"/>
    <w:rsid w:val="001622E5"/>
    <w:rsid w:val="00164CB2"/>
    <w:rsid w:val="00165134"/>
    <w:rsid w:val="0016536F"/>
    <w:rsid w:val="00166B70"/>
    <w:rsid w:val="00166F46"/>
    <w:rsid w:val="001712DD"/>
    <w:rsid w:val="00174EDB"/>
    <w:rsid w:val="00176573"/>
    <w:rsid w:val="00185F81"/>
    <w:rsid w:val="00185F93"/>
    <w:rsid w:val="00187D23"/>
    <w:rsid w:val="0019160A"/>
    <w:rsid w:val="00191B53"/>
    <w:rsid w:val="00196903"/>
    <w:rsid w:val="001A29BC"/>
    <w:rsid w:val="001A3F44"/>
    <w:rsid w:val="001A4983"/>
    <w:rsid w:val="001A6115"/>
    <w:rsid w:val="001B2F79"/>
    <w:rsid w:val="001B39C3"/>
    <w:rsid w:val="001B42EB"/>
    <w:rsid w:val="001C10B7"/>
    <w:rsid w:val="001D1207"/>
    <w:rsid w:val="001D261C"/>
    <w:rsid w:val="001D30A3"/>
    <w:rsid w:val="001D3B5B"/>
    <w:rsid w:val="001D6533"/>
    <w:rsid w:val="001D6E39"/>
    <w:rsid w:val="001E2F82"/>
    <w:rsid w:val="001F1BA9"/>
    <w:rsid w:val="001F4FE0"/>
    <w:rsid w:val="00200D7F"/>
    <w:rsid w:val="00202498"/>
    <w:rsid w:val="00204CE7"/>
    <w:rsid w:val="00205468"/>
    <w:rsid w:val="00205C4F"/>
    <w:rsid w:val="00206DB5"/>
    <w:rsid w:val="00210CA0"/>
    <w:rsid w:val="00211F54"/>
    <w:rsid w:val="00214A02"/>
    <w:rsid w:val="00215F64"/>
    <w:rsid w:val="00223349"/>
    <w:rsid w:val="002320CC"/>
    <w:rsid w:val="00232D88"/>
    <w:rsid w:val="00233436"/>
    <w:rsid w:val="002362D9"/>
    <w:rsid w:val="0024280D"/>
    <w:rsid w:val="002477C3"/>
    <w:rsid w:val="00247EBF"/>
    <w:rsid w:val="00247F23"/>
    <w:rsid w:val="00250079"/>
    <w:rsid w:val="00250FB1"/>
    <w:rsid w:val="00255E3C"/>
    <w:rsid w:val="00256CA9"/>
    <w:rsid w:val="002620B5"/>
    <w:rsid w:val="00263D48"/>
    <w:rsid w:val="00264D6E"/>
    <w:rsid w:val="002651CB"/>
    <w:rsid w:val="00265F89"/>
    <w:rsid w:val="00270AF2"/>
    <w:rsid w:val="00273B47"/>
    <w:rsid w:val="00273D2D"/>
    <w:rsid w:val="00275E81"/>
    <w:rsid w:val="00282429"/>
    <w:rsid w:val="00282D39"/>
    <w:rsid w:val="00284307"/>
    <w:rsid w:val="00284D2C"/>
    <w:rsid w:val="002862D0"/>
    <w:rsid w:val="00291F11"/>
    <w:rsid w:val="002A0BC0"/>
    <w:rsid w:val="002A414B"/>
    <w:rsid w:val="002B0302"/>
    <w:rsid w:val="002B0FD7"/>
    <w:rsid w:val="002B7502"/>
    <w:rsid w:val="002C035D"/>
    <w:rsid w:val="002C2680"/>
    <w:rsid w:val="002D04CE"/>
    <w:rsid w:val="002D3E67"/>
    <w:rsid w:val="002D4DEE"/>
    <w:rsid w:val="002D561D"/>
    <w:rsid w:val="002D5B13"/>
    <w:rsid w:val="002E5A8B"/>
    <w:rsid w:val="002E63EE"/>
    <w:rsid w:val="002E7523"/>
    <w:rsid w:val="002E7F6C"/>
    <w:rsid w:val="002F2EE9"/>
    <w:rsid w:val="0030103A"/>
    <w:rsid w:val="003024DA"/>
    <w:rsid w:val="0030528F"/>
    <w:rsid w:val="00310542"/>
    <w:rsid w:val="00310E47"/>
    <w:rsid w:val="00317020"/>
    <w:rsid w:val="00322593"/>
    <w:rsid w:val="0032531C"/>
    <w:rsid w:val="003254B7"/>
    <w:rsid w:val="00325C04"/>
    <w:rsid w:val="00326FAE"/>
    <w:rsid w:val="00332A53"/>
    <w:rsid w:val="003375F3"/>
    <w:rsid w:val="0034759A"/>
    <w:rsid w:val="0035073B"/>
    <w:rsid w:val="003519E5"/>
    <w:rsid w:val="00354DA0"/>
    <w:rsid w:val="00355224"/>
    <w:rsid w:val="00361015"/>
    <w:rsid w:val="003662A2"/>
    <w:rsid w:val="0036723D"/>
    <w:rsid w:val="00367414"/>
    <w:rsid w:val="00367F7C"/>
    <w:rsid w:val="00371192"/>
    <w:rsid w:val="003844FF"/>
    <w:rsid w:val="003906F6"/>
    <w:rsid w:val="00391915"/>
    <w:rsid w:val="0039262D"/>
    <w:rsid w:val="003965CD"/>
    <w:rsid w:val="003A40B8"/>
    <w:rsid w:val="003A65C4"/>
    <w:rsid w:val="003B16DF"/>
    <w:rsid w:val="003B2287"/>
    <w:rsid w:val="003B33AC"/>
    <w:rsid w:val="003C1F8F"/>
    <w:rsid w:val="003C3F61"/>
    <w:rsid w:val="003D3317"/>
    <w:rsid w:val="003D403B"/>
    <w:rsid w:val="003E17D7"/>
    <w:rsid w:val="003E51AA"/>
    <w:rsid w:val="003F13B5"/>
    <w:rsid w:val="003F1D70"/>
    <w:rsid w:val="003F60F9"/>
    <w:rsid w:val="00400D2C"/>
    <w:rsid w:val="00403A0D"/>
    <w:rsid w:val="00404AA1"/>
    <w:rsid w:val="00406B88"/>
    <w:rsid w:val="00407499"/>
    <w:rsid w:val="00414877"/>
    <w:rsid w:val="00415D0D"/>
    <w:rsid w:val="00421879"/>
    <w:rsid w:val="00431238"/>
    <w:rsid w:val="004349DB"/>
    <w:rsid w:val="00435588"/>
    <w:rsid w:val="00437486"/>
    <w:rsid w:val="00437E59"/>
    <w:rsid w:val="00443CB2"/>
    <w:rsid w:val="00443E13"/>
    <w:rsid w:val="00445900"/>
    <w:rsid w:val="00450531"/>
    <w:rsid w:val="0045258D"/>
    <w:rsid w:val="00454270"/>
    <w:rsid w:val="004544DF"/>
    <w:rsid w:val="00461E61"/>
    <w:rsid w:val="00462592"/>
    <w:rsid w:val="004654B6"/>
    <w:rsid w:val="00465820"/>
    <w:rsid w:val="00465C32"/>
    <w:rsid w:val="00467F60"/>
    <w:rsid w:val="00471F81"/>
    <w:rsid w:val="00476695"/>
    <w:rsid w:val="00481776"/>
    <w:rsid w:val="0048774F"/>
    <w:rsid w:val="00491040"/>
    <w:rsid w:val="00492E81"/>
    <w:rsid w:val="004931CA"/>
    <w:rsid w:val="004A174B"/>
    <w:rsid w:val="004A28D4"/>
    <w:rsid w:val="004A3BD5"/>
    <w:rsid w:val="004A3E85"/>
    <w:rsid w:val="004A45CF"/>
    <w:rsid w:val="004A6D6E"/>
    <w:rsid w:val="004B0309"/>
    <w:rsid w:val="004B081F"/>
    <w:rsid w:val="004B6024"/>
    <w:rsid w:val="004C3528"/>
    <w:rsid w:val="004C4102"/>
    <w:rsid w:val="004C5AB4"/>
    <w:rsid w:val="004D054A"/>
    <w:rsid w:val="004D4E1F"/>
    <w:rsid w:val="004D4FC9"/>
    <w:rsid w:val="004E1CF1"/>
    <w:rsid w:val="004E32D4"/>
    <w:rsid w:val="004E3999"/>
    <w:rsid w:val="004F255A"/>
    <w:rsid w:val="004F299F"/>
    <w:rsid w:val="004F3AB7"/>
    <w:rsid w:val="004F4FA7"/>
    <w:rsid w:val="004F63B1"/>
    <w:rsid w:val="00500AE0"/>
    <w:rsid w:val="0050382A"/>
    <w:rsid w:val="00504DD6"/>
    <w:rsid w:val="00506166"/>
    <w:rsid w:val="00506BEE"/>
    <w:rsid w:val="005131E5"/>
    <w:rsid w:val="00520D22"/>
    <w:rsid w:val="0052108A"/>
    <w:rsid w:val="005263A3"/>
    <w:rsid w:val="005268A8"/>
    <w:rsid w:val="00535D95"/>
    <w:rsid w:val="005428AD"/>
    <w:rsid w:val="005454F4"/>
    <w:rsid w:val="00545602"/>
    <w:rsid w:val="00552E4F"/>
    <w:rsid w:val="00554EE2"/>
    <w:rsid w:val="00562128"/>
    <w:rsid w:val="00565D1A"/>
    <w:rsid w:val="00567DE3"/>
    <w:rsid w:val="00575A8D"/>
    <w:rsid w:val="005A10A4"/>
    <w:rsid w:val="005A1760"/>
    <w:rsid w:val="005A3C06"/>
    <w:rsid w:val="005A77B3"/>
    <w:rsid w:val="005B23E2"/>
    <w:rsid w:val="005B276D"/>
    <w:rsid w:val="005B2C96"/>
    <w:rsid w:val="005B351E"/>
    <w:rsid w:val="005B551B"/>
    <w:rsid w:val="005B742A"/>
    <w:rsid w:val="005C176A"/>
    <w:rsid w:val="005C21D1"/>
    <w:rsid w:val="005C29C5"/>
    <w:rsid w:val="005C2DC2"/>
    <w:rsid w:val="005C59EB"/>
    <w:rsid w:val="005C7B55"/>
    <w:rsid w:val="005D2B27"/>
    <w:rsid w:val="005D5FD4"/>
    <w:rsid w:val="005E2132"/>
    <w:rsid w:val="005E7237"/>
    <w:rsid w:val="005F11B6"/>
    <w:rsid w:val="005F3760"/>
    <w:rsid w:val="005F50EB"/>
    <w:rsid w:val="006000CA"/>
    <w:rsid w:val="00600E8C"/>
    <w:rsid w:val="0060489B"/>
    <w:rsid w:val="006102A3"/>
    <w:rsid w:val="00612E53"/>
    <w:rsid w:val="006132D2"/>
    <w:rsid w:val="00622FD7"/>
    <w:rsid w:val="00623E0A"/>
    <w:rsid w:val="00625FC0"/>
    <w:rsid w:val="006275C2"/>
    <w:rsid w:val="00630D0B"/>
    <w:rsid w:val="006325A3"/>
    <w:rsid w:val="00637019"/>
    <w:rsid w:val="006433DA"/>
    <w:rsid w:val="00643601"/>
    <w:rsid w:val="00647B51"/>
    <w:rsid w:val="00650423"/>
    <w:rsid w:val="00651CEC"/>
    <w:rsid w:val="00654BCB"/>
    <w:rsid w:val="00655327"/>
    <w:rsid w:val="00664BBE"/>
    <w:rsid w:val="006703A2"/>
    <w:rsid w:val="006720EC"/>
    <w:rsid w:val="00692F78"/>
    <w:rsid w:val="006936BA"/>
    <w:rsid w:val="00693E19"/>
    <w:rsid w:val="006944E2"/>
    <w:rsid w:val="00695025"/>
    <w:rsid w:val="00696231"/>
    <w:rsid w:val="006A0DCA"/>
    <w:rsid w:val="006A5620"/>
    <w:rsid w:val="006A5A8F"/>
    <w:rsid w:val="006A5C55"/>
    <w:rsid w:val="006B3592"/>
    <w:rsid w:val="006B6D5E"/>
    <w:rsid w:val="006C01AB"/>
    <w:rsid w:val="006C0226"/>
    <w:rsid w:val="006C0E6F"/>
    <w:rsid w:val="006C363A"/>
    <w:rsid w:val="006C7F21"/>
    <w:rsid w:val="006D3878"/>
    <w:rsid w:val="006D5134"/>
    <w:rsid w:val="006D7208"/>
    <w:rsid w:val="006E6AD9"/>
    <w:rsid w:val="006F0B68"/>
    <w:rsid w:val="006F5947"/>
    <w:rsid w:val="006F6AEE"/>
    <w:rsid w:val="006F72BB"/>
    <w:rsid w:val="00701114"/>
    <w:rsid w:val="007033CC"/>
    <w:rsid w:val="00704832"/>
    <w:rsid w:val="0070768C"/>
    <w:rsid w:val="00711BF1"/>
    <w:rsid w:val="00712085"/>
    <w:rsid w:val="00712D81"/>
    <w:rsid w:val="00714B32"/>
    <w:rsid w:val="00714F2B"/>
    <w:rsid w:val="00724009"/>
    <w:rsid w:val="00726C7F"/>
    <w:rsid w:val="00727879"/>
    <w:rsid w:val="00727972"/>
    <w:rsid w:val="00736350"/>
    <w:rsid w:val="0074348B"/>
    <w:rsid w:val="00743D31"/>
    <w:rsid w:val="00743E4E"/>
    <w:rsid w:val="00753583"/>
    <w:rsid w:val="00756149"/>
    <w:rsid w:val="00761F06"/>
    <w:rsid w:val="007620E8"/>
    <w:rsid w:val="00765B14"/>
    <w:rsid w:val="00765C3E"/>
    <w:rsid w:val="00766ECD"/>
    <w:rsid w:val="0077318A"/>
    <w:rsid w:val="0078312F"/>
    <w:rsid w:val="00793078"/>
    <w:rsid w:val="007A0E4E"/>
    <w:rsid w:val="007A6D62"/>
    <w:rsid w:val="007A7BF3"/>
    <w:rsid w:val="007B03B2"/>
    <w:rsid w:val="007B5D63"/>
    <w:rsid w:val="007C1013"/>
    <w:rsid w:val="007C5272"/>
    <w:rsid w:val="007C7CC9"/>
    <w:rsid w:val="007D3295"/>
    <w:rsid w:val="007D3B2C"/>
    <w:rsid w:val="007D7857"/>
    <w:rsid w:val="007E0ED0"/>
    <w:rsid w:val="007E317A"/>
    <w:rsid w:val="007E3ED5"/>
    <w:rsid w:val="007F2127"/>
    <w:rsid w:val="007F219D"/>
    <w:rsid w:val="007F660C"/>
    <w:rsid w:val="008017A2"/>
    <w:rsid w:val="00811569"/>
    <w:rsid w:val="00816123"/>
    <w:rsid w:val="00816FF0"/>
    <w:rsid w:val="008173CA"/>
    <w:rsid w:val="00837E6C"/>
    <w:rsid w:val="00842F3D"/>
    <w:rsid w:val="00843346"/>
    <w:rsid w:val="008434E9"/>
    <w:rsid w:val="00844451"/>
    <w:rsid w:val="00845BF8"/>
    <w:rsid w:val="008501A1"/>
    <w:rsid w:val="008522FA"/>
    <w:rsid w:val="0085251B"/>
    <w:rsid w:val="00852714"/>
    <w:rsid w:val="00856BC9"/>
    <w:rsid w:val="00867550"/>
    <w:rsid w:val="00871231"/>
    <w:rsid w:val="008718F6"/>
    <w:rsid w:val="00874873"/>
    <w:rsid w:val="00876463"/>
    <w:rsid w:val="00883BBE"/>
    <w:rsid w:val="008857DE"/>
    <w:rsid w:val="00886345"/>
    <w:rsid w:val="00890D4A"/>
    <w:rsid w:val="00892645"/>
    <w:rsid w:val="008A0511"/>
    <w:rsid w:val="008B50CD"/>
    <w:rsid w:val="008B65AE"/>
    <w:rsid w:val="008B75BC"/>
    <w:rsid w:val="008C0410"/>
    <w:rsid w:val="008C3026"/>
    <w:rsid w:val="008C37E6"/>
    <w:rsid w:val="008C6272"/>
    <w:rsid w:val="008D0B4C"/>
    <w:rsid w:val="008D375C"/>
    <w:rsid w:val="008D41B1"/>
    <w:rsid w:val="008D59D4"/>
    <w:rsid w:val="008D61E2"/>
    <w:rsid w:val="008D73F2"/>
    <w:rsid w:val="008E2289"/>
    <w:rsid w:val="008E41CB"/>
    <w:rsid w:val="008E442A"/>
    <w:rsid w:val="008E4E07"/>
    <w:rsid w:val="008E6C3D"/>
    <w:rsid w:val="008E70DC"/>
    <w:rsid w:val="008E7138"/>
    <w:rsid w:val="008E7B00"/>
    <w:rsid w:val="008F0D4E"/>
    <w:rsid w:val="0090196E"/>
    <w:rsid w:val="009119DA"/>
    <w:rsid w:val="00920652"/>
    <w:rsid w:val="00920709"/>
    <w:rsid w:val="00920956"/>
    <w:rsid w:val="009241D0"/>
    <w:rsid w:val="00924307"/>
    <w:rsid w:val="00924CD4"/>
    <w:rsid w:val="00931E93"/>
    <w:rsid w:val="00935E3E"/>
    <w:rsid w:val="00942666"/>
    <w:rsid w:val="009431B6"/>
    <w:rsid w:val="009505B7"/>
    <w:rsid w:val="0095141F"/>
    <w:rsid w:val="00961394"/>
    <w:rsid w:val="00962DC5"/>
    <w:rsid w:val="00964FF5"/>
    <w:rsid w:val="0096550B"/>
    <w:rsid w:val="00977789"/>
    <w:rsid w:val="00986AF7"/>
    <w:rsid w:val="009A1995"/>
    <w:rsid w:val="009A35C2"/>
    <w:rsid w:val="009A4412"/>
    <w:rsid w:val="009A467E"/>
    <w:rsid w:val="009A79D6"/>
    <w:rsid w:val="009B0516"/>
    <w:rsid w:val="009C1FB5"/>
    <w:rsid w:val="009D35E5"/>
    <w:rsid w:val="009D606E"/>
    <w:rsid w:val="009E1CF7"/>
    <w:rsid w:val="009E1EB7"/>
    <w:rsid w:val="009E7B24"/>
    <w:rsid w:val="009F0291"/>
    <w:rsid w:val="009F0481"/>
    <w:rsid w:val="009F7C1A"/>
    <w:rsid w:val="00A064A2"/>
    <w:rsid w:val="00A0781B"/>
    <w:rsid w:val="00A07926"/>
    <w:rsid w:val="00A1041D"/>
    <w:rsid w:val="00A1779F"/>
    <w:rsid w:val="00A21C78"/>
    <w:rsid w:val="00A224BC"/>
    <w:rsid w:val="00A25A44"/>
    <w:rsid w:val="00A2633B"/>
    <w:rsid w:val="00A27AD2"/>
    <w:rsid w:val="00A303E4"/>
    <w:rsid w:val="00A30ED4"/>
    <w:rsid w:val="00A33832"/>
    <w:rsid w:val="00A366D4"/>
    <w:rsid w:val="00A37C7B"/>
    <w:rsid w:val="00A50D48"/>
    <w:rsid w:val="00A5191E"/>
    <w:rsid w:val="00A53EC5"/>
    <w:rsid w:val="00A54CE0"/>
    <w:rsid w:val="00A5605A"/>
    <w:rsid w:val="00A62EBC"/>
    <w:rsid w:val="00A646C7"/>
    <w:rsid w:val="00A6666C"/>
    <w:rsid w:val="00A73041"/>
    <w:rsid w:val="00A77AFD"/>
    <w:rsid w:val="00A820F2"/>
    <w:rsid w:val="00A8289F"/>
    <w:rsid w:val="00A83BA5"/>
    <w:rsid w:val="00A9774A"/>
    <w:rsid w:val="00AA0169"/>
    <w:rsid w:val="00AA31E5"/>
    <w:rsid w:val="00AA43EC"/>
    <w:rsid w:val="00AA79FA"/>
    <w:rsid w:val="00AB080F"/>
    <w:rsid w:val="00AC7A6B"/>
    <w:rsid w:val="00AD35FC"/>
    <w:rsid w:val="00AD38B4"/>
    <w:rsid w:val="00AD5731"/>
    <w:rsid w:val="00AE053B"/>
    <w:rsid w:val="00AE44BE"/>
    <w:rsid w:val="00AE4D9A"/>
    <w:rsid w:val="00AE69DD"/>
    <w:rsid w:val="00AE6EBD"/>
    <w:rsid w:val="00AF4E77"/>
    <w:rsid w:val="00B010BD"/>
    <w:rsid w:val="00B100B6"/>
    <w:rsid w:val="00B13373"/>
    <w:rsid w:val="00B143E8"/>
    <w:rsid w:val="00B17AF4"/>
    <w:rsid w:val="00B21565"/>
    <w:rsid w:val="00B21B19"/>
    <w:rsid w:val="00B22579"/>
    <w:rsid w:val="00B238B6"/>
    <w:rsid w:val="00B259A7"/>
    <w:rsid w:val="00B26A29"/>
    <w:rsid w:val="00B26B43"/>
    <w:rsid w:val="00B3090C"/>
    <w:rsid w:val="00B429E2"/>
    <w:rsid w:val="00B44983"/>
    <w:rsid w:val="00B50315"/>
    <w:rsid w:val="00B512AD"/>
    <w:rsid w:val="00B53F22"/>
    <w:rsid w:val="00B54DE1"/>
    <w:rsid w:val="00B55DAB"/>
    <w:rsid w:val="00B5683C"/>
    <w:rsid w:val="00B57142"/>
    <w:rsid w:val="00B63231"/>
    <w:rsid w:val="00B6471F"/>
    <w:rsid w:val="00B6495D"/>
    <w:rsid w:val="00B64FCB"/>
    <w:rsid w:val="00B667CF"/>
    <w:rsid w:val="00B6761F"/>
    <w:rsid w:val="00B708D5"/>
    <w:rsid w:val="00B71DAF"/>
    <w:rsid w:val="00B72E52"/>
    <w:rsid w:val="00B92F0B"/>
    <w:rsid w:val="00BA56BA"/>
    <w:rsid w:val="00BB19A3"/>
    <w:rsid w:val="00BB44FF"/>
    <w:rsid w:val="00BC4296"/>
    <w:rsid w:val="00BC5BCF"/>
    <w:rsid w:val="00BC6060"/>
    <w:rsid w:val="00BC627E"/>
    <w:rsid w:val="00BC6AE8"/>
    <w:rsid w:val="00BD0FD8"/>
    <w:rsid w:val="00BD4F1D"/>
    <w:rsid w:val="00BD56E0"/>
    <w:rsid w:val="00BD5D9E"/>
    <w:rsid w:val="00BD720C"/>
    <w:rsid w:val="00BD74EF"/>
    <w:rsid w:val="00BE0F13"/>
    <w:rsid w:val="00BE76AD"/>
    <w:rsid w:val="00BF6089"/>
    <w:rsid w:val="00C00D70"/>
    <w:rsid w:val="00C063CD"/>
    <w:rsid w:val="00C0790B"/>
    <w:rsid w:val="00C12E3F"/>
    <w:rsid w:val="00C17BDC"/>
    <w:rsid w:val="00C2546E"/>
    <w:rsid w:val="00C25EF4"/>
    <w:rsid w:val="00C34742"/>
    <w:rsid w:val="00C3570B"/>
    <w:rsid w:val="00C37879"/>
    <w:rsid w:val="00C41657"/>
    <w:rsid w:val="00C426E8"/>
    <w:rsid w:val="00C42DE3"/>
    <w:rsid w:val="00C439FF"/>
    <w:rsid w:val="00C44DDB"/>
    <w:rsid w:val="00C45900"/>
    <w:rsid w:val="00C5161B"/>
    <w:rsid w:val="00C51ECE"/>
    <w:rsid w:val="00C6029C"/>
    <w:rsid w:val="00C62FAB"/>
    <w:rsid w:val="00C63195"/>
    <w:rsid w:val="00C70069"/>
    <w:rsid w:val="00C70988"/>
    <w:rsid w:val="00C73257"/>
    <w:rsid w:val="00C748DF"/>
    <w:rsid w:val="00C75594"/>
    <w:rsid w:val="00C758D4"/>
    <w:rsid w:val="00C765A0"/>
    <w:rsid w:val="00C8084E"/>
    <w:rsid w:val="00C85A76"/>
    <w:rsid w:val="00C87CB0"/>
    <w:rsid w:val="00C90606"/>
    <w:rsid w:val="00C94650"/>
    <w:rsid w:val="00C94B63"/>
    <w:rsid w:val="00C95A4F"/>
    <w:rsid w:val="00C95FCF"/>
    <w:rsid w:val="00CA296E"/>
    <w:rsid w:val="00CA3ABD"/>
    <w:rsid w:val="00CC02A3"/>
    <w:rsid w:val="00CC6EC0"/>
    <w:rsid w:val="00CD1F6B"/>
    <w:rsid w:val="00CD65B9"/>
    <w:rsid w:val="00CE1D8B"/>
    <w:rsid w:val="00CE285B"/>
    <w:rsid w:val="00CE4AC4"/>
    <w:rsid w:val="00CE5C94"/>
    <w:rsid w:val="00CE66E4"/>
    <w:rsid w:val="00CF2757"/>
    <w:rsid w:val="00CF2DC4"/>
    <w:rsid w:val="00CF3B47"/>
    <w:rsid w:val="00CF3CEC"/>
    <w:rsid w:val="00CF6F34"/>
    <w:rsid w:val="00CF766F"/>
    <w:rsid w:val="00D02C5F"/>
    <w:rsid w:val="00D06F8F"/>
    <w:rsid w:val="00D07C1D"/>
    <w:rsid w:val="00D12703"/>
    <w:rsid w:val="00D12AE8"/>
    <w:rsid w:val="00D22277"/>
    <w:rsid w:val="00D279CC"/>
    <w:rsid w:val="00D33802"/>
    <w:rsid w:val="00D34316"/>
    <w:rsid w:val="00D3659B"/>
    <w:rsid w:val="00D43CD9"/>
    <w:rsid w:val="00D45647"/>
    <w:rsid w:val="00D4587E"/>
    <w:rsid w:val="00D508F5"/>
    <w:rsid w:val="00D511C2"/>
    <w:rsid w:val="00D51397"/>
    <w:rsid w:val="00D57635"/>
    <w:rsid w:val="00D623F3"/>
    <w:rsid w:val="00D70D03"/>
    <w:rsid w:val="00D72984"/>
    <w:rsid w:val="00D72ED1"/>
    <w:rsid w:val="00D75E8F"/>
    <w:rsid w:val="00D779CF"/>
    <w:rsid w:val="00D8459E"/>
    <w:rsid w:val="00D8656A"/>
    <w:rsid w:val="00D87BDC"/>
    <w:rsid w:val="00D9342F"/>
    <w:rsid w:val="00D977E1"/>
    <w:rsid w:val="00DA0BF3"/>
    <w:rsid w:val="00DA1703"/>
    <w:rsid w:val="00DA7EFC"/>
    <w:rsid w:val="00DB0088"/>
    <w:rsid w:val="00DB0820"/>
    <w:rsid w:val="00DB579A"/>
    <w:rsid w:val="00DB7FA9"/>
    <w:rsid w:val="00DC4208"/>
    <w:rsid w:val="00DC7CB7"/>
    <w:rsid w:val="00DD4C51"/>
    <w:rsid w:val="00DD4F3A"/>
    <w:rsid w:val="00DD5168"/>
    <w:rsid w:val="00DD71B4"/>
    <w:rsid w:val="00DE3B4F"/>
    <w:rsid w:val="00DE456A"/>
    <w:rsid w:val="00DE483D"/>
    <w:rsid w:val="00DF060F"/>
    <w:rsid w:val="00E02331"/>
    <w:rsid w:val="00E03542"/>
    <w:rsid w:val="00E03830"/>
    <w:rsid w:val="00E07785"/>
    <w:rsid w:val="00E13F0D"/>
    <w:rsid w:val="00E200A0"/>
    <w:rsid w:val="00E2173F"/>
    <w:rsid w:val="00E22323"/>
    <w:rsid w:val="00E232CC"/>
    <w:rsid w:val="00E27D8A"/>
    <w:rsid w:val="00E40F90"/>
    <w:rsid w:val="00E415BD"/>
    <w:rsid w:val="00E41BA6"/>
    <w:rsid w:val="00E4240C"/>
    <w:rsid w:val="00E427B5"/>
    <w:rsid w:val="00E4459C"/>
    <w:rsid w:val="00E475BF"/>
    <w:rsid w:val="00E47C00"/>
    <w:rsid w:val="00E47EF9"/>
    <w:rsid w:val="00E506CD"/>
    <w:rsid w:val="00E51A8E"/>
    <w:rsid w:val="00E53306"/>
    <w:rsid w:val="00E67D77"/>
    <w:rsid w:val="00E74819"/>
    <w:rsid w:val="00E834D5"/>
    <w:rsid w:val="00E85955"/>
    <w:rsid w:val="00E85F9F"/>
    <w:rsid w:val="00E86E7E"/>
    <w:rsid w:val="00E873E0"/>
    <w:rsid w:val="00E93D66"/>
    <w:rsid w:val="00E94A00"/>
    <w:rsid w:val="00E96B86"/>
    <w:rsid w:val="00E97C60"/>
    <w:rsid w:val="00EA0AAE"/>
    <w:rsid w:val="00EA2111"/>
    <w:rsid w:val="00EA2B67"/>
    <w:rsid w:val="00EA2E7E"/>
    <w:rsid w:val="00EA5D58"/>
    <w:rsid w:val="00EB4856"/>
    <w:rsid w:val="00EB7CAA"/>
    <w:rsid w:val="00EC09B6"/>
    <w:rsid w:val="00EC2F06"/>
    <w:rsid w:val="00EC31DF"/>
    <w:rsid w:val="00EC7325"/>
    <w:rsid w:val="00ED2CFD"/>
    <w:rsid w:val="00ED3811"/>
    <w:rsid w:val="00ED57F2"/>
    <w:rsid w:val="00EE12F4"/>
    <w:rsid w:val="00EE14C5"/>
    <w:rsid w:val="00EF0774"/>
    <w:rsid w:val="00EF2976"/>
    <w:rsid w:val="00EF46E8"/>
    <w:rsid w:val="00EF4821"/>
    <w:rsid w:val="00EF4E3B"/>
    <w:rsid w:val="00EF55E4"/>
    <w:rsid w:val="00F022BE"/>
    <w:rsid w:val="00F04A39"/>
    <w:rsid w:val="00F0506D"/>
    <w:rsid w:val="00F067B4"/>
    <w:rsid w:val="00F109D9"/>
    <w:rsid w:val="00F11EC0"/>
    <w:rsid w:val="00F24583"/>
    <w:rsid w:val="00F24964"/>
    <w:rsid w:val="00F26113"/>
    <w:rsid w:val="00F26417"/>
    <w:rsid w:val="00F33BD0"/>
    <w:rsid w:val="00F351D4"/>
    <w:rsid w:val="00F4010B"/>
    <w:rsid w:val="00F43524"/>
    <w:rsid w:val="00F470D2"/>
    <w:rsid w:val="00F47F8D"/>
    <w:rsid w:val="00F50A5A"/>
    <w:rsid w:val="00F50C1E"/>
    <w:rsid w:val="00F529C9"/>
    <w:rsid w:val="00F55BB3"/>
    <w:rsid w:val="00F55BBF"/>
    <w:rsid w:val="00F56717"/>
    <w:rsid w:val="00F611CB"/>
    <w:rsid w:val="00F61754"/>
    <w:rsid w:val="00F635F3"/>
    <w:rsid w:val="00F64937"/>
    <w:rsid w:val="00F81908"/>
    <w:rsid w:val="00F86755"/>
    <w:rsid w:val="00FA2F5B"/>
    <w:rsid w:val="00FA436C"/>
    <w:rsid w:val="00FB0260"/>
    <w:rsid w:val="00FB526A"/>
    <w:rsid w:val="00FC1268"/>
    <w:rsid w:val="00FC290E"/>
    <w:rsid w:val="00FC686C"/>
    <w:rsid w:val="00FD251E"/>
    <w:rsid w:val="00FD4354"/>
    <w:rsid w:val="00FE03BA"/>
    <w:rsid w:val="00FE24A6"/>
    <w:rsid w:val="00FE2680"/>
    <w:rsid w:val="00FE540D"/>
    <w:rsid w:val="00FF420F"/>
    <w:rsid w:val="00FF4B1C"/>
    <w:rsid w:val="00FF5192"/>
    <w:rsid w:val="00FF54C1"/>
    <w:rsid w:val="00FF7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391F"/>
  <w15:chartTrackingRefBased/>
  <w15:docId w15:val="{B865FA53-8C28-422A-87F3-6F27A27F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375C"/>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
    <w:basedOn w:val="Normal"/>
    <w:link w:val="HeaderChar"/>
    <w:uiPriority w:val="99"/>
    <w:rsid w:val="008D375C"/>
    <w:pPr>
      <w:tabs>
        <w:tab w:val="center" w:pos="4819"/>
        <w:tab w:val="right" w:pos="9638"/>
      </w:tabs>
    </w:pPr>
    <w:rPr>
      <w:lang w:val="x-none"/>
    </w:rPr>
  </w:style>
  <w:style w:type="character" w:customStyle="1" w:styleId="HeaderChar">
    <w:name w:val="Header Char"/>
    <w:aliases w:val="Diagrama Diagrama Diagrama Char"/>
    <w:basedOn w:val="DefaultParagraphFont"/>
    <w:link w:val="Header"/>
    <w:uiPriority w:val="99"/>
    <w:rsid w:val="008D375C"/>
    <w:rPr>
      <w:rFonts w:ascii="Times New Roman" w:eastAsia="Times New Roman" w:hAnsi="Times New Roman" w:cs="Times New Roman"/>
      <w:sz w:val="20"/>
      <w:szCs w:val="20"/>
      <w:lang w:val="x-none" w:eastAsia="lt-LT"/>
    </w:rPr>
  </w:style>
  <w:style w:type="character" w:styleId="PageNumber">
    <w:name w:val="page number"/>
    <w:rsid w:val="008D375C"/>
  </w:style>
  <w:style w:type="paragraph" w:styleId="ListParagraph">
    <w:name w:val="List Paragraph"/>
    <w:basedOn w:val="Normal"/>
    <w:uiPriority w:val="34"/>
    <w:qFormat/>
    <w:rsid w:val="008D375C"/>
    <w:pPr>
      <w:ind w:left="720"/>
    </w:pPr>
    <w:rPr>
      <w:rFonts w:ascii="Calibri" w:eastAsia="Calibri" w:hAnsi="Calibri" w:cs="Calibri"/>
      <w:sz w:val="22"/>
      <w:szCs w:val="22"/>
    </w:rPr>
  </w:style>
  <w:style w:type="paragraph" w:styleId="BodyText">
    <w:name w:val="Body Text"/>
    <w:basedOn w:val="Normal"/>
    <w:link w:val="BodyTextChar"/>
    <w:unhideWhenUsed/>
    <w:rsid w:val="008D375C"/>
    <w:pPr>
      <w:jc w:val="both"/>
    </w:pPr>
    <w:rPr>
      <w:sz w:val="24"/>
      <w:lang w:val="x-none" w:eastAsia="x-none"/>
    </w:rPr>
  </w:style>
  <w:style w:type="character" w:customStyle="1" w:styleId="BodyTextChar">
    <w:name w:val="Body Text Char"/>
    <w:basedOn w:val="DefaultParagraphFont"/>
    <w:link w:val="BodyText"/>
    <w:rsid w:val="008D375C"/>
    <w:rPr>
      <w:rFonts w:ascii="Times New Roman" w:eastAsia="Times New Roman" w:hAnsi="Times New Roman" w:cs="Times New Roman"/>
      <w:sz w:val="24"/>
      <w:szCs w:val="20"/>
      <w:lang w:val="x-none" w:eastAsia="x-none"/>
    </w:rPr>
  </w:style>
  <w:style w:type="character" w:styleId="IntenseReference">
    <w:name w:val="Intense Reference"/>
    <w:uiPriority w:val="32"/>
    <w:qFormat/>
    <w:rsid w:val="008D375C"/>
    <w:rPr>
      <w:b/>
      <w:bCs/>
      <w:smallCaps/>
      <w:color w:val="C0504D"/>
      <w:spacing w:val="5"/>
      <w:u w:val="single"/>
    </w:rPr>
  </w:style>
  <w:style w:type="paragraph" w:customStyle="1" w:styleId="BodyText1">
    <w:name w:val="Body Text1"/>
    <w:rsid w:val="008B50C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2">
    <w:name w:val="Body text (2)_"/>
    <w:basedOn w:val="DefaultParagraphFont"/>
    <w:link w:val="Bodytext20"/>
    <w:rsid w:val="008B50CD"/>
    <w:rPr>
      <w:rFonts w:ascii="Times New Roman" w:eastAsia="Times New Roman" w:hAnsi="Times New Roman" w:cs="Times New Roman"/>
      <w:sz w:val="23"/>
      <w:szCs w:val="23"/>
      <w:shd w:val="clear" w:color="auto" w:fill="FFFFFF"/>
    </w:rPr>
  </w:style>
  <w:style w:type="character" w:customStyle="1" w:styleId="Bodytext0">
    <w:name w:val="Body text_"/>
    <w:basedOn w:val="DefaultParagraphFont"/>
    <w:link w:val="BodyText4"/>
    <w:rsid w:val="008B50CD"/>
    <w:rPr>
      <w:rFonts w:ascii="Tahoma" w:eastAsia="Tahoma" w:hAnsi="Tahoma" w:cs="Tahoma"/>
      <w:sz w:val="19"/>
      <w:szCs w:val="19"/>
      <w:shd w:val="clear" w:color="auto" w:fill="FFFFFF"/>
    </w:rPr>
  </w:style>
  <w:style w:type="paragraph" w:customStyle="1" w:styleId="Bodytext20">
    <w:name w:val="Body text (2)"/>
    <w:basedOn w:val="Normal"/>
    <w:link w:val="Bodytext2"/>
    <w:rsid w:val="008B50CD"/>
    <w:pPr>
      <w:widowControl w:val="0"/>
      <w:shd w:val="clear" w:color="auto" w:fill="FFFFFF"/>
      <w:spacing w:line="278" w:lineRule="exact"/>
      <w:jc w:val="both"/>
    </w:pPr>
    <w:rPr>
      <w:sz w:val="23"/>
      <w:szCs w:val="23"/>
      <w:lang w:eastAsia="en-US"/>
    </w:rPr>
  </w:style>
  <w:style w:type="paragraph" w:customStyle="1" w:styleId="BodyText4">
    <w:name w:val="Body Text4"/>
    <w:basedOn w:val="Normal"/>
    <w:link w:val="Bodytext0"/>
    <w:rsid w:val="008B50CD"/>
    <w:pPr>
      <w:widowControl w:val="0"/>
      <w:shd w:val="clear" w:color="auto" w:fill="FFFFFF"/>
      <w:spacing w:line="0" w:lineRule="atLeast"/>
      <w:ind w:hanging="360"/>
    </w:pPr>
    <w:rPr>
      <w:rFonts w:ascii="Tahoma" w:eastAsia="Tahoma" w:hAnsi="Tahoma" w:cs="Tahoma"/>
      <w:sz w:val="19"/>
      <w:szCs w:val="19"/>
      <w:lang w:eastAsia="en-US"/>
    </w:rPr>
  </w:style>
  <w:style w:type="paragraph" w:styleId="Footer">
    <w:name w:val="footer"/>
    <w:basedOn w:val="Normal"/>
    <w:link w:val="FooterChar"/>
    <w:uiPriority w:val="99"/>
    <w:unhideWhenUsed/>
    <w:rsid w:val="00B3090C"/>
    <w:pPr>
      <w:tabs>
        <w:tab w:val="center" w:pos="4513"/>
        <w:tab w:val="right" w:pos="9026"/>
      </w:tabs>
    </w:pPr>
  </w:style>
  <w:style w:type="character" w:customStyle="1" w:styleId="FooterChar">
    <w:name w:val="Footer Char"/>
    <w:basedOn w:val="DefaultParagraphFont"/>
    <w:link w:val="Footer"/>
    <w:uiPriority w:val="99"/>
    <w:rsid w:val="00B3090C"/>
    <w:rPr>
      <w:rFonts w:ascii="Times New Roman" w:eastAsia="Times New Roman" w:hAnsi="Times New Roman" w:cs="Times New Roman"/>
      <w:sz w:val="20"/>
      <w:szCs w:val="20"/>
      <w:lang w:eastAsia="lt-LT"/>
    </w:rPr>
  </w:style>
  <w:style w:type="paragraph" w:styleId="FootnoteText">
    <w:name w:val="footnote text"/>
    <w:basedOn w:val="Normal"/>
    <w:link w:val="FootnoteTextChar"/>
    <w:uiPriority w:val="99"/>
    <w:semiHidden/>
    <w:unhideWhenUsed/>
    <w:rsid w:val="00F50C1E"/>
    <w:pPr>
      <w:widowControl w:val="0"/>
      <w:suppressAutoHyphens/>
    </w:pPr>
    <w:rPr>
      <w:rFonts w:eastAsia="Andale Sans UI" w:cs="Tahoma"/>
      <w:lang w:eastAsia="en-US" w:bidi="en-US"/>
    </w:rPr>
  </w:style>
  <w:style w:type="character" w:customStyle="1" w:styleId="FootnoteTextChar">
    <w:name w:val="Footnote Text Char"/>
    <w:basedOn w:val="DefaultParagraphFont"/>
    <w:link w:val="FootnoteText"/>
    <w:uiPriority w:val="99"/>
    <w:semiHidden/>
    <w:rsid w:val="00F50C1E"/>
    <w:rPr>
      <w:rFonts w:ascii="Times New Roman" w:eastAsia="Andale Sans UI" w:hAnsi="Times New Roman" w:cs="Tahoma"/>
      <w:sz w:val="20"/>
      <w:szCs w:val="20"/>
      <w:lang w:bidi="en-US"/>
    </w:rPr>
  </w:style>
  <w:style w:type="character" w:styleId="FootnoteReference">
    <w:name w:val="footnote reference"/>
    <w:basedOn w:val="DefaultParagraphFont"/>
    <w:uiPriority w:val="99"/>
    <w:semiHidden/>
    <w:unhideWhenUsed/>
    <w:rsid w:val="00F50C1E"/>
    <w:rPr>
      <w:vertAlign w:val="superscript"/>
    </w:rPr>
  </w:style>
  <w:style w:type="paragraph" w:customStyle="1" w:styleId="Default">
    <w:name w:val="Default"/>
    <w:rsid w:val="00EE12F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E4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E07"/>
    <w:rPr>
      <w:rFonts w:ascii="Segoe UI" w:eastAsia="Times New Roman" w:hAnsi="Segoe UI" w:cs="Segoe UI"/>
      <w:sz w:val="18"/>
      <w:szCs w:val="18"/>
      <w:lang w:eastAsia="lt-LT"/>
    </w:rPr>
  </w:style>
  <w:style w:type="table" w:styleId="TableGrid">
    <w:name w:val="Table Grid"/>
    <w:basedOn w:val="TableNormal"/>
    <w:uiPriority w:val="39"/>
    <w:rsid w:val="001A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7CB0"/>
    <w:rPr>
      <w:rFonts w:ascii="Calibri" w:eastAsiaTheme="minorHAnsi" w:hAnsi="Calibri" w:cs="Calibri"/>
      <w:sz w:val="22"/>
      <w:szCs w:val="22"/>
    </w:rPr>
  </w:style>
  <w:style w:type="paragraph" w:styleId="CommentText">
    <w:name w:val="annotation text"/>
    <w:basedOn w:val="Normal"/>
    <w:link w:val="CommentTextChar"/>
    <w:unhideWhenUsed/>
    <w:rsid w:val="00F529C9"/>
    <w:rPr>
      <w:lang w:eastAsia="en-US"/>
    </w:rPr>
  </w:style>
  <w:style w:type="character" w:customStyle="1" w:styleId="CommentTextChar">
    <w:name w:val="Comment Text Char"/>
    <w:basedOn w:val="DefaultParagraphFont"/>
    <w:link w:val="CommentText"/>
    <w:rsid w:val="00F529C9"/>
    <w:rPr>
      <w:rFonts w:ascii="Times New Roman" w:eastAsia="Times New Roman" w:hAnsi="Times New Roman" w:cs="Times New Roman"/>
      <w:sz w:val="20"/>
      <w:szCs w:val="20"/>
    </w:rPr>
  </w:style>
  <w:style w:type="paragraph" w:styleId="NoSpacing">
    <w:name w:val="No Spacing"/>
    <w:uiPriority w:val="1"/>
    <w:qFormat/>
    <w:rsid w:val="002362D9"/>
    <w:pPr>
      <w:spacing w:after="0" w:line="240" w:lineRule="auto"/>
    </w:pPr>
    <w:rPr>
      <w:rFonts w:ascii="Times New Roman" w:eastAsia="Times New Roman" w:hAnsi="Times New Roman" w:cs="Times New Roman"/>
      <w:sz w:val="24"/>
      <w:szCs w:val="24"/>
    </w:rPr>
  </w:style>
  <w:style w:type="character" w:customStyle="1" w:styleId="dlxnowrap">
    <w:name w:val="dlxnowrap"/>
    <w:basedOn w:val="DefaultParagraphFont"/>
    <w:rsid w:val="002F2EE9"/>
  </w:style>
  <w:style w:type="character" w:styleId="Strong">
    <w:name w:val="Strong"/>
    <w:basedOn w:val="DefaultParagraphFont"/>
    <w:uiPriority w:val="22"/>
    <w:qFormat/>
    <w:rsid w:val="00D72ED1"/>
    <w:rPr>
      <w:b/>
      <w:bCs/>
    </w:rPr>
  </w:style>
  <w:style w:type="character" w:customStyle="1" w:styleId="normaltextrun">
    <w:name w:val="normaltextrun"/>
    <w:basedOn w:val="DefaultParagraphFont"/>
    <w:qFormat/>
    <w:rsid w:val="00622FD7"/>
  </w:style>
  <w:style w:type="character" w:styleId="CommentReference">
    <w:name w:val="annotation reference"/>
    <w:basedOn w:val="DefaultParagraphFont"/>
    <w:uiPriority w:val="99"/>
    <w:semiHidden/>
    <w:unhideWhenUsed/>
    <w:rsid w:val="00BE0F13"/>
    <w:rPr>
      <w:sz w:val="16"/>
      <w:szCs w:val="16"/>
    </w:rPr>
  </w:style>
  <w:style w:type="paragraph" w:styleId="CommentSubject">
    <w:name w:val="annotation subject"/>
    <w:basedOn w:val="CommentText"/>
    <w:next w:val="CommentText"/>
    <w:link w:val="CommentSubjectChar"/>
    <w:uiPriority w:val="99"/>
    <w:semiHidden/>
    <w:unhideWhenUsed/>
    <w:rsid w:val="00BE0F13"/>
    <w:rPr>
      <w:b/>
      <w:bCs/>
      <w:lang w:eastAsia="lt-LT"/>
    </w:rPr>
  </w:style>
  <w:style w:type="character" w:customStyle="1" w:styleId="CommentSubjectChar">
    <w:name w:val="Comment Subject Char"/>
    <w:basedOn w:val="CommentTextChar"/>
    <w:link w:val="CommentSubject"/>
    <w:uiPriority w:val="99"/>
    <w:semiHidden/>
    <w:rsid w:val="00BE0F1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5945">
      <w:bodyDiv w:val="1"/>
      <w:marLeft w:val="0"/>
      <w:marRight w:val="0"/>
      <w:marTop w:val="0"/>
      <w:marBottom w:val="0"/>
      <w:divBdr>
        <w:top w:val="none" w:sz="0" w:space="0" w:color="auto"/>
        <w:left w:val="none" w:sz="0" w:space="0" w:color="auto"/>
        <w:bottom w:val="none" w:sz="0" w:space="0" w:color="auto"/>
        <w:right w:val="none" w:sz="0" w:space="0" w:color="auto"/>
      </w:divBdr>
    </w:div>
    <w:div w:id="156382097">
      <w:bodyDiv w:val="1"/>
      <w:marLeft w:val="0"/>
      <w:marRight w:val="0"/>
      <w:marTop w:val="0"/>
      <w:marBottom w:val="0"/>
      <w:divBdr>
        <w:top w:val="none" w:sz="0" w:space="0" w:color="auto"/>
        <w:left w:val="none" w:sz="0" w:space="0" w:color="auto"/>
        <w:bottom w:val="none" w:sz="0" w:space="0" w:color="auto"/>
        <w:right w:val="none" w:sz="0" w:space="0" w:color="auto"/>
      </w:divBdr>
    </w:div>
    <w:div w:id="196084830">
      <w:bodyDiv w:val="1"/>
      <w:marLeft w:val="0"/>
      <w:marRight w:val="0"/>
      <w:marTop w:val="0"/>
      <w:marBottom w:val="0"/>
      <w:divBdr>
        <w:top w:val="none" w:sz="0" w:space="0" w:color="auto"/>
        <w:left w:val="none" w:sz="0" w:space="0" w:color="auto"/>
        <w:bottom w:val="none" w:sz="0" w:space="0" w:color="auto"/>
        <w:right w:val="none" w:sz="0" w:space="0" w:color="auto"/>
      </w:divBdr>
    </w:div>
    <w:div w:id="212695136">
      <w:bodyDiv w:val="1"/>
      <w:marLeft w:val="0"/>
      <w:marRight w:val="0"/>
      <w:marTop w:val="0"/>
      <w:marBottom w:val="0"/>
      <w:divBdr>
        <w:top w:val="none" w:sz="0" w:space="0" w:color="auto"/>
        <w:left w:val="none" w:sz="0" w:space="0" w:color="auto"/>
        <w:bottom w:val="none" w:sz="0" w:space="0" w:color="auto"/>
        <w:right w:val="none" w:sz="0" w:space="0" w:color="auto"/>
      </w:divBdr>
    </w:div>
    <w:div w:id="324938507">
      <w:bodyDiv w:val="1"/>
      <w:marLeft w:val="0"/>
      <w:marRight w:val="0"/>
      <w:marTop w:val="0"/>
      <w:marBottom w:val="0"/>
      <w:divBdr>
        <w:top w:val="none" w:sz="0" w:space="0" w:color="auto"/>
        <w:left w:val="none" w:sz="0" w:space="0" w:color="auto"/>
        <w:bottom w:val="none" w:sz="0" w:space="0" w:color="auto"/>
        <w:right w:val="none" w:sz="0" w:space="0" w:color="auto"/>
      </w:divBdr>
    </w:div>
    <w:div w:id="395014269">
      <w:bodyDiv w:val="1"/>
      <w:marLeft w:val="0"/>
      <w:marRight w:val="0"/>
      <w:marTop w:val="0"/>
      <w:marBottom w:val="0"/>
      <w:divBdr>
        <w:top w:val="none" w:sz="0" w:space="0" w:color="auto"/>
        <w:left w:val="none" w:sz="0" w:space="0" w:color="auto"/>
        <w:bottom w:val="none" w:sz="0" w:space="0" w:color="auto"/>
        <w:right w:val="none" w:sz="0" w:space="0" w:color="auto"/>
      </w:divBdr>
    </w:div>
    <w:div w:id="429471239">
      <w:bodyDiv w:val="1"/>
      <w:marLeft w:val="0"/>
      <w:marRight w:val="0"/>
      <w:marTop w:val="0"/>
      <w:marBottom w:val="0"/>
      <w:divBdr>
        <w:top w:val="none" w:sz="0" w:space="0" w:color="auto"/>
        <w:left w:val="none" w:sz="0" w:space="0" w:color="auto"/>
        <w:bottom w:val="none" w:sz="0" w:space="0" w:color="auto"/>
        <w:right w:val="none" w:sz="0" w:space="0" w:color="auto"/>
      </w:divBdr>
    </w:div>
    <w:div w:id="450824953">
      <w:bodyDiv w:val="1"/>
      <w:marLeft w:val="0"/>
      <w:marRight w:val="0"/>
      <w:marTop w:val="0"/>
      <w:marBottom w:val="0"/>
      <w:divBdr>
        <w:top w:val="none" w:sz="0" w:space="0" w:color="auto"/>
        <w:left w:val="none" w:sz="0" w:space="0" w:color="auto"/>
        <w:bottom w:val="none" w:sz="0" w:space="0" w:color="auto"/>
        <w:right w:val="none" w:sz="0" w:space="0" w:color="auto"/>
      </w:divBdr>
    </w:div>
    <w:div w:id="508907050">
      <w:bodyDiv w:val="1"/>
      <w:marLeft w:val="0"/>
      <w:marRight w:val="0"/>
      <w:marTop w:val="0"/>
      <w:marBottom w:val="0"/>
      <w:divBdr>
        <w:top w:val="none" w:sz="0" w:space="0" w:color="auto"/>
        <w:left w:val="none" w:sz="0" w:space="0" w:color="auto"/>
        <w:bottom w:val="none" w:sz="0" w:space="0" w:color="auto"/>
        <w:right w:val="none" w:sz="0" w:space="0" w:color="auto"/>
      </w:divBdr>
    </w:div>
    <w:div w:id="643896999">
      <w:bodyDiv w:val="1"/>
      <w:marLeft w:val="0"/>
      <w:marRight w:val="0"/>
      <w:marTop w:val="0"/>
      <w:marBottom w:val="0"/>
      <w:divBdr>
        <w:top w:val="none" w:sz="0" w:space="0" w:color="auto"/>
        <w:left w:val="none" w:sz="0" w:space="0" w:color="auto"/>
        <w:bottom w:val="none" w:sz="0" w:space="0" w:color="auto"/>
        <w:right w:val="none" w:sz="0" w:space="0" w:color="auto"/>
      </w:divBdr>
    </w:div>
    <w:div w:id="670987505">
      <w:bodyDiv w:val="1"/>
      <w:marLeft w:val="0"/>
      <w:marRight w:val="0"/>
      <w:marTop w:val="0"/>
      <w:marBottom w:val="0"/>
      <w:divBdr>
        <w:top w:val="none" w:sz="0" w:space="0" w:color="auto"/>
        <w:left w:val="none" w:sz="0" w:space="0" w:color="auto"/>
        <w:bottom w:val="none" w:sz="0" w:space="0" w:color="auto"/>
        <w:right w:val="none" w:sz="0" w:space="0" w:color="auto"/>
      </w:divBdr>
    </w:div>
    <w:div w:id="672338981">
      <w:bodyDiv w:val="1"/>
      <w:marLeft w:val="0"/>
      <w:marRight w:val="0"/>
      <w:marTop w:val="0"/>
      <w:marBottom w:val="0"/>
      <w:divBdr>
        <w:top w:val="none" w:sz="0" w:space="0" w:color="auto"/>
        <w:left w:val="none" w:sz="0" w:space="0" w:color="auto"/>
        <w:bottom w:val="none" w:sz="0" w:space="0" w:color="auto"/>
        <w:right w:val="none" w:sz="0" w:space="0" w:color="auto"/>
      </w:divBdr>
    </w:div>
    <w:div w:id="697856888">
      <w:bodyDiv w:val="1"/>
      <w:marLeft w:val="0"/>
      <w:marRight w:val="0"/>
      <w:marTop w:val="0"/>
      <w:marBottom w:val="0"/>
      <w:divBdr>
        <w:top w:val="none" w:sz="0" w:space="0" w:color="auto"/>
        <w:left w:val="none" w:sz="0" w:space="0" w:color="auto"/>
        <w:bottom w:val="none" w:sz="0" w:space="0" w:color="auto"/>
        <w:right w:val="none" w:sz="0" w:space="0" w:color="auto"/>
      </w:divBdr>
    </w:div>
    <w:div w:id="710573820">
      <w:bodyDiv w:val="1"/>
      <w:marLeft w:val="0"/>
      <w:marRight w:val="0"/>
      <w:marTop w:val="0"/>
      <w:marBottom w:val="0"/>
      <w:divBdr>
        <w:top w:val="none" w:sz="0" w:space="0" w:color="auto"/>
        <w:left w:val="none" w:sz="0" w:space="0" w:color="auto"/>
        <w:bottom w:val="none" w:sz="0" w:space="0" w:color="auto"/>
        <w:right w:val="none" w:sz="0" w:space="0" w:color="auto"/>
      </w:divBdr>
    </w:div>
    <w:div w:id="804541539">
      <w:bodyDiv w:val="1"/>
      <w:marLeft w:val="0"/>
      <w:marRight w:val="0"/>
      <w:marTop w:val="0"/>
      <w:marBottom w:val="0"/>
      <w:divBdr>
        <w:top w:val="none" w:sz="0" w:space="0" w:color="auto"/>
        <w:left w:val="none" w:sz="0" w:space="0" w:color="auto"/>
        <w:bottom w:val="none" w:sz="0" w:space="0" w:color="auto"/>
        <w:right w:val="none" w:sz="0" w:space="0" w:color="auto"/>
      </w:divBdr>
    </w:div>
    <w:div w:id="854264866">
      <w:bodyDiv w:val="1"/>
      <w:marLeft w:val="0"/>
      <w:marRight w:val="0"/>
      <w:marTop w:val="0"/>
      <w:marBottom w:val="0"/>
      <w:divBdr>
        <w:top w:val="none" w:sz="0" w:space="0" w:color="auto"/>
        <w:left w:val="none" w:sz="0" w:space="0" w:color="auto"/>
        <w:bottom w:val="none" w:sz="0" w:space="0" w:color="auto"/>
        <w:right w:val="none" w:sz="0" w:space="0" w:color="auto"/>
      </w:divBdr>
    </w:div>
    <w:div w:id="941109487">
      <w:bodyDiv w:val="1"/>
      <w:marLeft w:val="0"/>
      <w:marRight w:val="0"/>
      <w:marTop w:val="0"/>
      <w:marBottom w:val="0"/>
      <w:divBdr>
        <w:top w:val="none" w:sz="0" w:space="0" w:color="auto"/>
        <w:left w:val="none" w:sz="0" w:space="0" w:color="auto"/>
        <w:bottom w:val="none" w:sz="0" w:space="0" w:color="auto"/>
        <w:right w:val="none" w:sz="0" w:space="0" w:color="auto"/>
      </w:divBdr>
    </w:div>
    <w:div w:id="1012075899">
      <w:bodyDiv w:val="1"/>
      <w:marLeft w:val="0"/>
      <w:marRight w:val="0"/>
      <w:marTop w:val="0"/>
      <w:marBottom w:val="0"/>
      <w:divBdr>
        <w:top w:val="none" w:sz="0" w:space="0" w:color="auto"/>
        <w:left w:val="none" w:sz="0" w:space="0" w:color="auto"/>
        <w:bottom w:val="none" w:sz="0" w:space="0" w:color="auto"/>
        <w:right w:val="none" w:sz="0" w:space="0" w:color="auto"/>
      </w:divBdr>
    </w:div>
    <w:div w:id="1250386697">
      <w:bodyDiv w:val="1"/>
      <w:marLeft w:val="0"/>
      <w:marRight w:val="0"/>
      <w:marTop w:val="0"/>
      <w:marBottom w:val="0"/>
      <w:divBdr>
        <w:top w:val="none" w:sz="0" w:space="0" w:color="auto"/>
        <w:left w:val="none" w:sz="0" w:space="0" w:color="auto"/>
        <w:bottom w:val="none" w:sz="0" w:space="0" w:color="auto"/>
        <w:right w:val="none" w:sz="0" w:space="0" w:color="auto"/>
      </w:divBdr>
    </w:div>
    <w:div w:id="1351644229">
      <w:bodyDiv w:val="1"/>
      <w:marLeft w:val="0"/>
      <w:marRight w:val="0"/>
      <w:marTop w:val="0"/>
      <w:marBottom w:val="0"/>
      <w:divBdr>
        <w:top w:val="none" w:sz="0" w:space="0" w:color="auto"/>
        <w:left w:val="none" w:sz="0" w:space="0" w:color="auto"/>
        <w:bottom w:val="none" w:sz="0" w:space="0" w:color="auto"/>
        <w:right w:val="none" w:sz="0" w:space="0" w:color="auto"/>
      </w:divBdr>
    </w:div>
    <w:div w:id="1381131649">
      <w:bodyDiv w:val="1"/>
      <w:marLeft w:val="0"/>
      <w:marRight w:val="0"/>
      <w:marTop w:val="0"/>
      <w:marBottom w:val="0"/>
      <w:divBdr>
        <w:top w:val="none" w:sz="0" w:space="0" w:color="auto"/>
        <w:left w:val="none" w:sz="0" w:space="0" w:color="auto"/>
        <w:bottom w:val="none" w:sz="0" w:space="0" w:color="auto"/>
        <w:right w:val="none" w:sz="0" w:space="0" w:color="auto"/>
      </w:divBdr>
    </w:div>
    <w:div w:id="1773357837">
      <w:bodyDiv w:val="1"/>
      <w:marLeft w:val="0"/>
      <w:marRight w:val="0"/>
      <w:marTop w:val="0"/>
      <w:marBottom w:val="0"/>
      <w:divBdr>
        <w:top w:val="none" w:sz="0" w:space="0" w:color="auto"/>
        <w:left w:val="none" w:sz="0" w:space="0" w:color="auto"/>
        <w:bottom w:val="none" w:sz="0" w:space="0" w:color="auto"/>
        <w:right w:val="none" w:sz="0" w:space="0" w:color="auto"/>
      </w:divBdr>
    </w:div>
    <w:div w:id="1930232141">
      <w:bodyDiv w:val="1"/>
      <w:marLeft w:val="0"/>
      <w:marRight w:val="0"/>
      <w:marTop w:val="0"/>
      <w:marBottom w:val="0"/>
      <w:divBdr>
        <w:top w:val="none" w:sz="0" w:space="0" w:color="auto"/>
        <w:left w:val="none" w:sz="0" w:space="0" w:color="auto"/>
        <w:bottom w:val="none" w:sz="0" w:space="0" w:color="auto"/>
        <w:right w:val="none" w:sz="0" w:space="0" w:color="auto"/>
      </w:divBdr>
    </w:div>
    <w:div w:id="1943799658">
      <w:bodyDiv w:val="1"/>
      <w:marLeft w:val="0"/>
      <w:marRight w:val="0"/>
      <w:marTop w:val="0"/>
      <w:marBottom w:val="0"/>
      <w:divBdr>
        <w:top w:val="none" w:sz="0" w:space="0" w:color="auto"/>
        <w:left w:val="none" w:sz="0" w:space="0" w:color="auto"/>
        <w:bottom w:val="none" w:sz="0" w:space="0" w:color="auto"/>
        <w:right w:val="none" w:sz="0" w:space="0" w:color="auto"/>
      </w:divBdr>
    </w:div>
    <w:div w:id="1948386353">
      <w:bodyDiv w:val="1"/>
      <w:marLeft w:val="0"/>
      <w:marRight w:val="0"/>
      <w:marTop w:val="0"/>
      <w:marBottom w:val="0"/>
      <w:divBdr>
        <w:top w:val="none" w:sz="0" w:space="0" w:color="auto"/>
        <w:left w:val="none" w:sz="0" w:space="0" w:color="auto"/>
        <w:bottom w:val="none" w:sz="0" w:space="0" w:color="auto"/>
        <w:right w:val="none" w:sz="0" w:space="0" w:color="auto"/>
      </w:divBdr>
    </w:div>
    <w:div w:id="1963731851">
      <w:bodyDiv w:val="1"/>
      <w:marLeft w:val="0"/>
      <w:marRight w:val="0"/>
      <w:marTop w:val="0"/>
      <w:marBottom w:val="0"/>
      <w:divBdr>
        <w:top w:val="none" w:sz="0" w:space="0" w:color="auto"/>
        <w:left w:val="none" w:sz="0" w:space="0" w:color="auto"/>
        <w:bottom w:val="none" w:sz="0" w:space="0" w:color="auto"/>
        <w:right w:val="none" w:sz="0" w:space="0" w:color="auto"/>
      </w:divBdr>
    </w:div>
    <w:div w:id="1974748858">
      <w:bodyDiv w:val="1"/>
      <w:marLeft w:val="0"/>
      <w:marRight w:val="0"/>
      <w:marTop w:val="0"/>
      <w:marBottom w:val="0"/>
      <w:divBdr>
        <w:top w:val="none" w:sz="0" w:space="0" w:color="auto"/>
        <w:left w:val="none" w:sz="0" w:space="0" w:color="auto"/>
        <w:bottom w:val="none" w:sz="0" w:space="0" w:color="auto"/>
        <w:right w:val="none" w:sz="0" w:space="0" w:color="auto"/>
      </w:divBdr>
    </w:div>
    <w:div w:id="2121366274">
      <w:bodyDiv w:val="1"/>
      <w:marLeft w:val="0"/>
      <w:marRight w:val="0"/>
      <w:marTop w:val="0"/>
      <w:marBottom w:val="0"/>
      <w:divBdr>
        <w:top w:val="none" w:sz="0" w:space="0" w:color="auto"/>
        <w:left w:val="none" w:sz="0" w:space="0" w:color="auto"/>
        <w:bottom w:val="none" w:sz="0" w:space="0" w:color="auto"/>
        <w:right w:val="none" w:sz="0" w:space="0" w:color="auto"/>
      </w:divBdr>
    </w:div>
    <w:div w:id="21416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6872</Words>
  <Characters>3918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2020-09-17T10:11:00Z</dcterms:created>
  <dc:creator>Skirmantė Draginė</dc:creator>
  <cp:lastModifiedBy>Vilija Tomke</cp:lastModifiedBy>
  <cp:lastPrinted>2020-09-09T06:38:00Z</cp:lastPrinted>
  <dcterms:modified xsi:type="dcterms:W3CDTF">2020-09-25T07:36:00Z</dcterms:modified>
  <cp:revision>5</cp:revision>
</cp:coreProperties>
</file>