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f74e5f6b1e09409f83b450f87dc3a377"/>
        <w:lock w:val="sdtLocked"/>
        <w:richText/>
      </w:sdtPr>
      <w:sdtContent>
        <w:p w14:paraId="2AF927A7" w14:textId="77777777">
          <w:pPr>
            <w:tabs>
              <w:tab w:val="center" w:pos="4819"/>
              <w:tab w:val="right" w:pos="9638"/>
            </w:tabs>
            <w:ind w:firstLine="720"/>
            <w:rPr>
              <w:rFonts w:ascii="Arial" w:eastAsia="Arial" w:hAnsi="Arial"/>
              <w:sz w:val="20"/>
              <w:lang w:eastAsia="lt-LT"/>
            </w:rPr>
          </w:pPr>
        </w:p>
        <w:p w14:paraId="2A368FAC" w14:textId="17E30088">
          <w:pPr>
            <w:tabs>
              <w:tab w:val="left" w:pos="916"/>
              <w:tab w:val="left" w:pos="1832"/>
              <w:tab w:val="left" w:pos="2748"/>
              <w:tab w:val="left" w:pos="3664"/>
              <w:tab w:val="left" w:pos="4580"/>
              <w:tab w:val="left" w:pos="5496"/>
              <w:tab w:val="left" w:pos="6412"/>
              <w:tab w:val="left" w:pos="7328"/>
              <w:tab w:val="left" w:pos="8244"/>
              <w:tab w:val="left" w:pos="9160"/>
            </w:tabs>
            <w:ind w:left="7230"/>
            <w:jc w:val="right"/>
            <w:rPr>
              <w:b/>
              <w:szCs w:val="24"/>
              <w:lang w:eastAsia="lt-LT"/>
            </w:rPr>
          </w:pPr>
          <w:r>
            <w:rPr>
              <w:b/>
              <w:szCs w:val="24"/>
              <w:lang w:eastAsia="lt-LT"/>
            </w:rPr>
            <w:t>Projektas</w:t>
          </w:r>
        </w:p>
        <w:p w14:paraId="4EC9A5AA" w14:textId="77777777">
          <w:pPr>
            <w:tabs>
              <w:tab w:val="left" w:pos="916"/>
              <w:tab w:val="left" w:pos="1832"/>
              <w:tab w:val="left" w:pos="2748"/>
              <w:tab w:val="left" w:pos="3664"/>
              <w:tab w:val="left" w:pos="4580"/>
              <w:tab w:val="left" w:pos="5496"/>
              <w:tab w:val="left" w:pos="6412"/>
              <w:tab w:val="left" w:pos="7328"/>
              <w:tab w:val="left" w:pos="8244"/>
              <w:tab w:val="left" w:pos="9160"/>
            </w:tabs>
            <w:jc w:val="center"/>
            <w:rPr>
              <w:b/>
              <w:szCs w:val="24"/>
              <w:lang w:eastAsia="lt-LT"/>
            </w:rPr>
          </w:pPr>
        </w:p>
        <w:p w14:paraId="28E5426D" w14:textId="77777777">
          <w:pPr>
            <w:tabs>
              <w:tab w:val="left" w:pos="916"/>
              <w:tab w:val="left" w:pos="1832"/>
              <w:tab w:val="left" w:pos="2748"/>
              <w:tab w:val="left" w:pos="3664"/>
              <w:tab w:val="left" w:pos="4580"/>
              <w:tab w:val="left" w:pos="5496"/>
              <w:tab w:val="left" w:pos="6412"/>
              <w:tab w:val="left" w:pos="7328"/>
              <w:tab w:val="left" w:pos="8244"/>
              <w:tab w:val="left" w:pos="9160"/>
            </w:tabs>
            <w:jc w:val="center"/>
            <w:rPr>
              <w:b/>
              <w:szCs w:val="24"/>
              <w:lang w:eastAsia="lt-LT"/>
            </w:rPr>
          </w:pPr>
          <w:r>
            <w:rPr>
              <w:b/>
              <w:szCs w:val="24"/>
              <w:lang w:eastAsia="lt-LT"/>
            </w:rPr>
            <w:t>LIETUVOS RESPUBLIKOS VYRIAUSYBĖ</w:t>
          </w:r>
        </w:p>
        <w:p w14:paraId="7E321700" w14:textId="77777777">
          <w:pPr>
            <w:tabs>
              <w:tab w:val="left" w:pos="916"/>
              <w:tab w:val="left" w:pos="1832"/>
              <w:tab w:val="left" w:pos="2748"/>
              <w:tab w:val="left" w:pos="3664"/>
              <w:tab w:val="left" w:pos="4580"/>
              <w:tab w:val="left" w:pos="5496"/>
              <w:tab w:val="left" w:pos="6412"/>
              <w:tab w:val="left" w:pos="7328"/>
              <w:tab w:val="left" w:pos="8244"/>
              <w:tab w:val="left" w:pos="9160"/>
            </w:tabs>
            <w:jc w:val="center"/>
            <w:rPr>
              <w:rFonts w:ascii="Courier New" w:eastAsia="Courier New" w:hAnsi="Courier New"/>
              <w:sz w:val="20"/>
              <w:lang w:eastAsia="lt-LT"/>
            </w:rPr>
          </w:pPr>
        </w:p>
        <w:p w14:paraId="62A95F2C" w14:textId="77777777">
          <w:pPr>
            <w:tabs>
              <w:tab w:val="left" w:pos="916"/>
              <w:tab w:val="left" w:pos="1832"/>
              <w:tab w:val="left" w:pos="2748"/>
              <w:tab w:val="left" w:pos="3664"/>
              <w:tab w:val="left" w:pos="4580"/>
              <w:tab w:val="left" w:pos="5496"/>
              <w:tab w:val="left" w:pos="6412"/>
              <w:tab w:val="left" w:pos="7328"/>
              <w:tab w:val="left" w:pos="8244"/>
              <w:tab w:val="left" w:pos="9160"/>
            </w:tabs>
            <w:jc w:val="center"/>
            <w:rPr>
              <w:b/>
              <w:szCs w:val="24"/>
              <w:lang w:eastAsia="lt-LT"/>
            </w:rPr>
          </w:pPr>
          <w:r>
            <w:rPr>
              <w:b/>
              <w:szCs w:val="24"/>
              <w:lang w:eastAsia="lt-LT"/>
            </w:rPr>
            <w:t>NUTARIMAS</w:t>
          </w:r>
        </w:p>
        <w:p w14:paraId="16B504B6" w14:textId="77777777">
          <w:pPr>
            <w:jc w:val="center"/>
            <w:rPr>
              <w:szCs w:val="24"/>
              <w:lang w:eastAsia="lt-LT"/>
            </w:rPr>
          </w:pPr>
          <w:r>
            <w:rPr>
              <w:b/>
              <w:szCs w:val="24"/>
              <w:lang w:eastAsia="lt-LT"/>
            </w:rPr>
            <w:t>DĖL LIETUVOS RESPUBLIKOS VYRIAUSYBĖS 2016 M. BALANDŽIO 13 D. NUTARIMO NR. 364 „</w:t>
          </w:r>
          <w:r>
            <w:rPr>
              <w:b/>
              <w:color w:val="000000"/>
              <w:szCs w:val="24"/>
              <w:lang w:eastAsia="lt-LT"/>
            </w:rPr>
            <w:t>DĖL UŽ ANTRINĖS TEISINĖS PAGALBOS TEIKIMĄ, KOORDINAVIMĄ IR MEDIACIJĄ MOKAMO UŽMOKESČIO DYDŽIŲ IR MOKĖJIMO TAISYKLIŲ PATVIRTINIMO</w:t>
          </w:r>
          <w:r>
            <w:rPr>
              <w:b/>
              <w:szCs w:val="24"/>
              <w:lang w:eastAsia="lt-LT"/>
            </w:rPr>
            <w:t>“ PAKEITIMO</w:t>
          </w:r>
        </w:p>
        <w:p w14:paraId="398278E8" w14:textId="77777777">
          <w:pPr>
            <w:jc w:val="center"/>
            <w:rPr>
              <w:rFonts w:ascii="Arial" w:eastAsia="Arial" w:hAnsi="Arial"/>
              <w:color w:val="000000"/>
              <w:sz w:val="22"/>
              <w:szCs w:val="22"/>
              <w:lang w:eastAsia="lt-LT"/>
            </w:rPr>
          </w:pPr>
        </w:p>
        <w:p w14:paraId="5D653E5C" w14:textId="77777777">
          <w:pPr>
            <w:jc w:val="center"/>
            <w:rPr>
              <w:szCs w:val="24"/>
              <w:lang w:eastAsia="lt-LT"/>
            </w:rPr>
          </w:pPr>
          <w:r>
            <w:rPr>
              <w:szCs w:val="24"/>
              <w:lang w:eastAsia="lt-LT"/>
            </w:rPr>
            <w:t>2019 m.</w:t>
            <w:tab/>
            <w:tab/>
            <w:t>d. Nr.</w:t>
          </w:r>
        </w:p>
        <w:p w14:paraId="101646B6" w14:textId="77777777">
          <w:pPr>
            <w:jc w:val="center"/>
            <w:rPr>
              <w:szCs w:val="24"/>
              <w:lang w:eastAsia="lt-LT"/>
            </w:rPr>
          </w:pPr>
          <w:r>
            <w:rPr>
              <w:szCs w:val="24"/>
              <w:lang w:eastAsia="lt-LT"/>
            </w:rPr>
            <w:t>Vilnius</w:t>
          </w:r>
        </w:p>
        <w:p w14:paraId="41A36E30" w14:textId="77777777">
          <w:pPr>
            <w:tabs>
              <w:tab w:val="left" w:pos="916"/>
              <w:tab w:val="left" w:pos="1832"/>
              <w:tab w:val="left" w:pos="2748"/>
              <w:tab w:val="left" w:pos="3664"/>
              <w:tab w:val="left" w:pos="4580"/>
              <w:tab w:val="left" w:pos="5496"/>
              <w:tab w:val="left" w:pos="6412"/>
              <w:tab w:val="left" w:pos="7328"/>
              <w:tab w:val="left" w:pos="8244"/>
              <w:tab w:val="left" w:pos="9160"/>
            </w:tabs>
            <w:ind w:firstLine="851"/>
            <w:jc w:val="both"/>
            <w:rPr>
              <w:szCs w:val="24"/>
              <w:lang w:eastAsia="lt-LT"/>
            </w:rPr>
          </w:pPr>
        </w:p>
        <w:sdt>
          <w:sdtPr>
            <w:alias w:val="preambule"/>
            <w:tag w:val="part_7609046e89c946509b2063aaae751220"/>
            <w:lock w:val="sdtLocked"/>
            <w:richText/>
          </w:sdtPr>
          <w:sdtContent>
            <w:p w14:paraId="35C6F883" w14:textId="77777777">
              <w:pPr>
                <w:tabs>
                  <w:tab w:val="left" w:pos="1832"/>
                  <w:tab w:val="left" w:pos="2748"/>
                  <w:tab w:val="left" w:pos="3664"/>
                  <w:tab w:val="left" w:pos="4580"/>
                  <w:tab w:val="left" w:pos="5496"/>
                  <w:tab w:val="left" w:pos="6412"/>
                  <w:tab w:val="left" w:pos="7328"/>
                  <w:tab w:val="left" w:pos="8244"/>
                  <w:tab w:val="left" w:pos="9160"/>
                </w:tabs>
                <w:spacing w:line="360" w:lineRule="atLeast"/>
                <w:ind w:firstLine="851"/>
                <w:jc w:val="both"/>
                <w:rPr>
                  <w:szCs w:val="24"/>
                  <w:lang w:eastAsia="lt-LT"/>
                </w:rPr>
              </w:pPr>
              <w:r>
                <w:rPr>
                  <w:szCs w:val="24"/>
                  <w:lang w:eastAsia="lt-LT"/>
                </w:rPr>
                <w:t xml:space="preserve">Lietuvos Respublikos Vyriausybė </w:t>
              </w:r>
              <w:r>
                <w:rPr>
                  <w:spacing w:val="70"/>
                  <w:szCs w:val="24"/>
                  <w:lang w:eastAsia="lt-LT"/>
                </w:rPr>
                <w:t>nutari</w:t>
              </w:r>
              <w:r>
                <w:rPr>
                  <w:szCs w:val="24"/>
                  <w:lang w:eastAsia="lt-LT"/>
                </w:rPr>
                <w:t>a:</w:t>
              </w:r>
            </w:p>
          </w:sdtContent>
        </w:sdt>
        <w:sdt>
          <w:sdtPr>
            <w:alias w:val="1 p."/>
            <w:tag w:val="part_49f2e55601a54b13be8f4fdf563fcb5e"/>
            <w:lock w:val="sdtLocked"/>
            <w:richText/>
          </w:sdtPr>
          <w:sdtContent>
            <w:p w14:paraId="2D388199" w14:textId="690B9138">
              <w:pPr>
                <w:ind w:firstLine="851"/>
                <w:jc w:val="both"/>
                <w:rPr>
                  <w:rFonts w:eastAsia="Arial"/>
                  <w:color w:val="333333"/>
                  <w:szCs w:val="24"/>
                  <w:shd w:val="clear" w:color="auto" w:fill="F6FAFB"/>
                  <w:lang w:eastAsia="lt-LT"/>
                </w:rPr>
              </w:pPr>
              <w:sdt>
                <w:sdtPr>
                  <w:alias w:val="Numeris"/>
                  <w:tag w:val="nr_49f2e55601a54b13be8f4fdf563fcb5e"/>
                  <w:lock w:val="sdtLocked"/>
                  <w:richText/>
                </w:sdtPr>
                <w:sdtContent>
                  <w:r>
                    <w:rPr>
                      <w:color w:val="000000"/>
                      <w:szCs w:val="24"/>
                      <w:lang w:eastAsia="lt-LT"/>
                    </w:rPr>
                    <w:t>1</w:t>
                  </w:r>
                </w:sdtContent>
              </w:sdt>
              <w:r>
                <w:rPr>
                  <w:color w:val="000000"/>
                  <w:szCs w:val="24"/>
                  <w:lang w:eastAsia="lt-LT"/>
                </w:rPr>
                <w:t>. Pakeisti Lietuvos Respublikos Vyriausybės 2016 m. balandžio 13 d. nutarimą Nr. 364 „Dėl Už antrinės teisinės pagalbos teikimą, koordinavimą ir mediaciją mokamo užmokesčio dydžių ir mokėjimo taisyklių patvirtinimo“ ir 2.1 papunktį išdėstyti taip:</w:t>
              </w:r>
            </w:p>
            <w:sdt>
              <w:sdtPr>
                <w:alias w:val="citata"/>
                <w:tag w:val="part_9213cb1431b84bd0b23f3e517e957f2d"/>
                <w:lock w:val="sdtLocked"/>
                <w:richText/>
              </w:sdtPr>
              <w:sdtContent>
                <w:sdt>
                  <w:sdtPr>
                    <w:alias w:val="2.1 pp."/>
                    <w:tag w:val="part_a80603f092ef4479b396767087b92c35"/>
                    <w:lock w:val="sdtLocked"/>
                    <w:richText/>
                  </w:sdtPr>
                  <w:sdtContent>
                    <w:p w14:paraId="6BD09369" w14:textId="495C931B">
                      <w:pPr>
                        <w:ind w:firstLine="851"/>
                        <w:jc w:val="both"/>
                        <w:rPr>
                          <w:color w:val="000000"/>
                          <w:szCs w:val="24"/>
                          <w:lang w:eastAsia="lt-LT"/>
                        </w:rPr>
                      </w:pPr>
                      <w:r>
                        <w:rPr>
                          <w:color w:val="000000"/>
                          <w:szCs w:val="24"/>
                          <w:lang w:eastAsia="lt-LT"/>
                        </w:rPr>
                        <w:t>„</w:t>
                      </w:r>
                      <w:sdt>
                        <w:sdtPr>
                          <w:alias w:val="Numeris"/>
                          <w:tag w:val="nr_a80603f092ef4479b396767087b92c35"/>
                          <w:lock w:val="sdtLocked"/>
                          <w:richText/>
                        </w:sdtPr>
                        <w:sdtContent>
                          <w:r>
                            <w:rPr>
                              <w:rFonts w:eastAsia="Arial"/>
                              <w:color w:val="000000"/>
                              <w:szCs w:val="24"/>
                              <w:shd w:val="clear" w:color="auto" w:fill="FFFFFF"/>
                              <w:lang w:eastAsia="lt-LT"/>
                            </w:rPr>
                            <w:t>2.1</w:t>
                          </w:r>
                        </w:sdtContent>
                      </w:sdt>
                      <w:r>
                        <w:rPr>
                          <w:rFonts w:eastAsia="Arial"/>
                          <w:color w:val="000000"/>
                          <w:szCs w:val="24"/>
                          <w:shd w:val="clear" w:color="auto" w:fill="FFFFFF"/>
                          <w:lang w:eastAsia="lt-LT"/>
                        </w:rPr>
                        <w:t>. užmokesčio bazinis dydis, kuris taikomas apskaičiuojant užmokestį už suteiktą antrinę teisinę pagalbą ar mediaciją</w:t>
                      </w:r>
                      <w:r>
                        <w:rPr>
                          <w:rFonts w:eastAsia="Arial"/>
                          <w:b/>
                          <w:bCs/>
                          <w:color w:val="000000"/>
                          <w:szCs w:val="24"/>
                          <w:lang w:eastAsia="lt-LT"/>
                        </w:rPr>
                        <w:t xml:space="preserve"> </w:t>
                      </w:r>
                      <w:r>
                        <w:rPr>
                          <w:rFonts w:eastAsia="Arial"/>
                          <w:color w:val="000000"/>
                          <w:szCs w:val="24"/>
                          <w:shd w:val="clear" w:color="auto" w:fill="FFFFFF"/>
                          <w:lang w:eastAsia="lt-LT"/>
                        </w:rPr>
                        <w:t>šiuo nutarimu patvirtintų taisyklių nustatyta tvarka, yra 16 eurų</w:t>
                      </w:r>
                      <w:r>
                        <w:rPr>
                          <w:color w:val="000000"/>
                          <w:szCs w:val="24"/>
                          <w:lang w:eastAsia="lt-LT"/>
                        </w:rPr>
                        <w:t>;“.</w:t>
                      </w:r>
                    </w:p>
                  </w:sdtContent>
                </w:sdt>
              </w:sdtContent>
            </w:sdt>
          </w:sdtContent>
        </w:sdt>
        <w:sdt>
          <w:sdtPr>
            <w:alias w:val="2 p."/>
            <w:tag w:val="part_a315f56446f045a58939c30d56f00208"/>
            <w:lock w:val="sdtLocked"/>
            <w:richText/>
          </w:sdtPr>
          <w:sdtContent>
            <w:p w14:paraId="3BB41244" w14:textId="4FAE76AA">
              <w:pPr>
                <w:ind w:firstLine="851"/>
                <w:jc w:val="both"/>
                <w:rPr>
                  <w:color w:val="000000"/>
                  <w:szCs w:val="24"/>
                  <w:lang w:eastAsia="lt-LT"/>
                </w:rPr>
              </w:pPr>
              <w:sdt>
                <w:sdtPr>
                  <w:alias w:val="Numeris"/>
                  <w:tag w:val="nr_a315f56446f045a58939c30d56f00208"/>
                  <w:lock w:val="sdtLocked"/>
                  <w:richText/>
                </w:sdtPr>
                <w:sdtContent>
                  <w:r>
                    <w:rPr>
                      <w:color w:val="000000"/>
                      <w:szCs w:val="24"/>
                      <w:lang w:eastAsia="lt-LT"/>
                    </w:rPr>
                    <w:t>2</w:t>
                  </w:r>
                </w:sdtContent>
              </w:sdt>
              <w:r>
                <w:rPr>
                  <w:color w:val="000000"/>
                  <w:szCs w:val="24"/>
                  <w:lang w:eastAsia="lt-LT"/>
                </w:rPr>
                <w:t>. Pakeisti nurodytu nutarimu patvirtintus Už antrinės teisinės pagalbos teikimą, koordinavimą ir mediaciją</w:t>
              </w:r>
              <w:r>
                <w:rPr>
                  <w:b/>
                  <w:color w:val="000000"/>
                  <w:szCs w:val="24"/>
                  <w:lang w:eastAsia="lt-LT"/>
                </w:rPr>
                <w:t xml:space="preserve"> </w:t>
              </w:r>
              <w:r>
                <w:rPr>
                  <w:color w:val="000000"/>
                  <w:szCs w:val="24"/>
                  <w:lang w:eastAsia="lt-LT"/>
                </w:rPr>
                <w:t>mokamo užmokesčio dydžius ir mokėjimo taisykles:</w:t>
              </w:r>
            </w:p>
            <w:sdt>
              <w:sdtPr>
                <w:alias w:val="2.1 pp."/>
                <w:tag w:val="part_405582c38f094003aa617eff052130bc"/>
                <w:lock w:val="sdtLocked"/>
                <w:richText/>
              </w:sdtPr>
              <w:sdtContent>
                <w:p w14:paraId="062D7C92" w14:textId="77777777">
                  <w:pPr>
                    <w:ind w:firstLine="851"/>
                    <w:jc w:val="both"/>
                    <w:rPr>
                      <w:color w:val="000000"/>
                      <w:szCs w:val="24"/>
                      <w:lang w:eastAsia="lt-LT"/>
                    </w:rPr>
                  </w:pPr>
                  <w:sdt>
                    <w:sdtPr>
                      <w:alias w:val="Numeris"/>
                      <w:tag w:val="nr_405582c38f094003aa617eff052130bc"/>
                      <w:lock w:val="sdtLocked"/>
                      <w:richText/>
                    </w:sdtPr>
                    <w:sdtContent>
                      <w:r>
                        <w:rPr>
                          <w:color w:val="000000"/>
                          <w:szCs w:val="24"/>
                          <w:lang w:eastAsia="lt-LT"/>
                        </w:rPr>
                        <w:t>2.1</w:t>
                      </w:r>
                    </w:sdtContent>
                  </w:sdt>
                  <w:r>
                    <w:rPr>
                      <w:color w:val="000000"/>
                      <w:szCs w:val="24"/>
                      <w:lang w:eastAsia="lt-LT"/>
                    </w:rPr>
                    <w:t>. Pakeisti 3.1 papunktį ir jį išdėstyti taip:</w:t>
                  </w:r>
                </w:p>
                <w:sdt>
                  <w:sdtPr>
                    <w:alias w:val="citata"/>
                    <w:tag w:val="part_7d77312898a14175ab78ce505cc9f0e7"/>
                    <w:lock w:val="sdtLocked"/>
                    <w:richText/>
                  </w:sdtPr>
                  <w:sdtContent>
                    <w:sdt>
                      <w:sdtPr>
                        <w:alias w:val="3.1 pp."/>
                        <w:tag w:val="part_c44f29ef5f4c42daa2ebdc2a533edcd7"/>
                        <w:lock w:val="sdtLocked"/>
                        <w:richText/>
                      </w:sdtPr>
                      <w:sdtContent>
                        <w:p w14:paraId="1A10938E" w14:textId="447BA6AF">
                          <w:pPr>
                            <w:ind w:firstLine="851"/>
                            <w:jc w:val="both"/>
                            <w:rPr>
                              <w:color w:val="000000"/>
                              <w:szCs w:val="24"/>
                              <w:lang w:eastAsia="lt-LT"/>
                            </w:rPr>
                          </w:pPr>
                          <w:r>
                            <w:rPr>
                              <w:color w:val="000000"/>
                              <w:szCs w:val="24"/>
                              <w:lang w:eastAsia="lt-LT"/>
                            </w:rPr>
                            <w:t>„</w:t>
                          </w:r>
                          <w:sdt>
                            <w:sdtPr>
                              <w:alias w:val="Numeris"/>
                              <w:tag w:val="nr_c44f29ef5f4c42daa2ebdc2a533edcd7"/>
                              <w:lock w:val="sdtLocked"/>
                              <w:richText/>
                            </w:sdtPr>
                            <w:sdtContent>
                              <w:r>
                                <w:rPr>
                                  <w:color w:val="000000"/>
                                  <w:szCs w:val="24"/>
                                  <w:lang w:eastAsia="lt-LT"/>
                                </w:rPr>
                                <w:t>3.1</w:t>
                              </w:r>
                            </w:sdtContent>
                          </w:sdt>
                          <w:r>
                            <w:rPr>
                              <w:color w:val="000000"/>
                              <w:szCs w:val="24"/>
                              <w:lang w:eastAsia="lt-LT"/>
                            </w:rPr>
                            <w:t xml:space="preserve">. </w:t>
                          </w:r>
                          <w:r>
                            <w:rPr>
                              <w:b/>
                              <w:bCs/>
                              <w:color w:val="000000"/>
                              <w:szCs w:val="24"/>
                              <w:lang w:eastAsia="lt-LT"/>
                            </w:rPr>
                            <w:t>Faktinis antrinės teisinės pagalbos teikimo laikas</w:t>
                          </w:r>
                          <w:r>
                            <w:rPr>
                              <w:color w:val="000000"/>
                              <w:szCs w:val="24"/>
                              <w:lang w:eastAsia="lt-LT"/>
                            </w:rPr>
                            <w:t xml:space="preserve"> – advokato procesiniams veiksmams atlikti skirtas laikas (laikas, skirtas konsultacijoms teikti, pasirengti nagrinėti bylą, įrodymams rinkti, procesiniams dokumentams rengti, dalyvauti išankstinio ginčų nagrinėjimo ne teismo tvarka, jeigu tokią tvarką nustato įstatymai ar teismo sprendimas, institucijų posėdžiuose, dalyvauti teismo posėdžiuose, dalyvauti atliekant </w:t>
                          </w:r>
                          <w:r>
                            <w:rPr>
                              <w:rFonts w:eastAsia="Arial"/>
                              <w:color w:val="000000"/>
                              <w:szCs w:val="24"/>
                              <w:lang w:eastAsia="lt-LT"/>
                            </w:rPr>
                            <w:t>ikiteisminio tyrimo veiksmus</w:t>
                          </w:r>
                          <w:r>
                            <w:rPr>
                              <w:color w:val="000000"/>
                              <w:szCs w:val="24"/>
                              <w:lang w:eastAsia="lt-LT"/>
                            </w:rPr>
                            <w:t xml:space="preserve"> ir</w:t>
                          </w:r>
                          <w:r>
                            <w:rPr>
                              <w:b/>
                              <w:color w:val="000000"/>
                              <w:szCs w:val="24"/>
                              <w:lang w:eastAsia="lt-LT"/>
                            </w:rPr>
                            <w:t xml:space="preserve"> </w:t>
                          </w:r>
                          <w:r>
                            <w:rPr>
                              <w:color w:val="000000"/>
                              <w:szCs w:val="24"/>
                              <w:lang w:eastAsia="lt-LT"/>
                            </w:rPr>
                            <w:t>pagalbiniams veiksmams atlikti skirtas laikas (laikas, skirtas pranešimams apie antrinės teisinės pagalbos teikimo nutraukimą ar pabaigimą rengti, išvadoms dėl antrinės teisinės pagalbos teikimo ar neteikimo rengti, prašymams apskaičiuoti antrinės teisinės pagalbos išlaidų dydį rengti, taip pat laikas, skirtas laukti teisminėse ir kitose institucijose, kuriose atliekami procesiniai veiksmai, kai šie veiksmai pradedami vėliau, nei buvo numatyta).“</w:t>
                          </w:r>
                        </w:p>
                      </w:sdtContent>
                    </w:sdt>
                  </w:sdtContent>
                </w:sdt>
              </w:sdtContent>
            </w:sdt>
            <w:sdt>
              <w:sdtPr>
                <w:alias w:val="2.2 pp."/>
                <w:tag w:val="part_7404d5b102c74493949261b898460728"/>
                <w:lock w:val="sdtLocked"/>
                <w:richText/>
              </w:sdtPr>
              <w:sdtContent>
                <w:p w14:paraId="08F97001" w14:textId="77777777">
                  <w:pPr>
                    <w:ind w:firstLine="851"/>
                    <w:jc w:val="both"/>
                    <w:rPr>
                      <w:color w:val="000000"/>
                      <w:szCs w:val="24"/>
                      <w:lang w:eastAsia="lt-LT"/>
                    </w:rPr>
                  </w:pPr>
                  <w:sdt>
                    <w:sdtPr>
                      <w:alias w:val="Numeris"/>
                      <w:tag w:val="nr_7404d5b102c74493949261b898460728"/>
                      <w:lock w:val="sdtLocked"/>
                      <w:richText/>
                    </w:sdtPr>
                    <w:sdtContent>
                      <w:r>
                        <w:rPr>
                          <w:color w:val="000000"/>
                          <w:szCs w:val="24"/>
                          <w:lang w:eastAsia="lt-LT"/>
                        </w:rPr>
                        <w:t>2.2</w:t>
                      </w:r>
                    </w:sdtContent>
                  </w:sdt>
                  <w:r>
                    <w:rPr>
                      <w:color w:val="000000"/>
                      <w:szCs w:val="24"/>
                      <w:lang w:eastAsia="lt-LT"/>
                    </w:rPr>
                    <w:t>. Pakeisti 4 punktą ir jį išdėstyti taip:</w:t>
                  </w:r>
                </w:p>
                <w:sdt>
                  <w:sdtPr>
                    <w:alias w:val="citata"/>
                    <w:tag w:val="part_93af9decf7064fa2a05dd0267a1d75e1"/>
                    <w:lock w:val="sdtLocked"/>
                    <w:richText/>
                  </w:sdtPr>
                  <w:sdtContent>
                    <w:sdt>
                      <w:sdtPr>
                        <w:alias w:val="4 p."/>
                        <w:tag w:val="part_942130828d2041259e9f048a4ee71161"/>
                        <w:lock w:val="sdtLocked"/>
                        <w:richText/>
                      </w:sdtPr>
                      <w:sdtContent>
                        <w:p w14:paraId="644A796E" w14:textId="0503553C">
                          <w:pPr>
                            <w:ind w:firstLine="851"/>
                            <w:jc w:val="both"/>
                            <w:rPr>
                              <w:rFonts w:eastAsia="Arial"/>
                              <w:color w:val="000000"/>
                              <w:szCs w:val="24"/>
                              <w:lang w:eastAsia="lt-LT"/>
                            </w:rPr>
                          </w:pPr>
                          <w:r>
                            <w:rPr>
                              <w:rFonts w:eastAsia="Arial"/>
                              <w:color w:val="000000"/>
                              <w:szCs w:val="24"/>
                              <w:lang w:eastAsia="lt-LT"/>
                            </w:rPr>
                            <w:t>„</w:t>
                          </w:r>
                          <w:sdt>
                            <w:sdtPr>
                              <w:alias w:val="Numeris"/>
                              <w:tag w:val="nr_942130828d2041259e9f048a4ee71161"/>
                              <w:lock w:val="sdtLocked"/>
                              <w:richText/>
                            </w:sdtPr>
                            <w:sdtContent>
                              <w:r>
                                <w:rPr>
                                  <w:rFonts w:eastAsia="Arial"/>
                                  <w:color w:val="000000"/>
                                  <w:szCs w:val="24"/>
                                  <w:lang w:eastAsia="lt-LT"/>
                                </w:rPr>
                                <w:t>4</w:t>
                              </w:r>
                            </w:sdtContent>
                          </w:sdt>
                          <w:r>
                            <w:rPr>
                              <w:rFonts w:eastAsia="Arial"/>
                              <w:color w:val="000000"/>
                              <w:szCs w:val="24"/>
                              <w:lang w:eastAsia="lt-LT"/>
                            </w:rPr>
                            <w:t>. Advokatams, kurie nuolat teikia antrinę teisinę pagalbą, kiekvieną mėnesį už faktinį antrinės teisinės pagalbos teikimo laiką, už laiką, skirtą kelionei į antrinės teisinės pagalbos teikimo ar procesinių veiksmų atlikimo vietą ir atgal, ir už laiką, skirtą susipažinti su bylos medžiaga, mokamas 163,6 UBD užmokestis, išskyrus antrinės teisinės pagalbos teikimo sutartyse nustatytus laikotarpius, kuriais antrinė teisinė pagalba nebuvo teikiama. Advokatams, kurie nuolat teikia antrinę teisinę pagalbą, už budėjimą ne darbo dienomis užmokestis nemokamas.</w:t>
                          </w:r>
                          <w:r>
                            <w:rPr>
                              <w:rFonts w:eastAsia="Arial"/>
                              <w:szCs w:val="24"/>
                              <w:lang w:eastAsia="lt-LT"/>
                            </w:rPr>
                            <w:t xml:space="preserve"> </w:t>
                          </w:r>
                          <w:r>
                            <w:rPr>
                              <w:rFonts w:eastAsia="Arial"/>
                              <w:color w:val="000000"/>
                              <w:szCs w:val="24"/>
                              <w:lang w:eastAsia="lt-LT"/>
                            </w:rPr>
                            <w:t>Jeigu be svarbių (objektyvių ir nuo advokato valios nepriklausančių) priežasčių advokatas nevykdo Lietuvos Respublikos valstybės garantuojamos teisinės pagalbos įstatymo 23 straipsnio 2 dalyje nustatytos pareigos arba nepateikia teismui duomenų apie apskaičiuotas antrinės teisinės pagalbos išlaidas, Valstybės garantuojamos teisinės pagalbos tarnyba (toliau – tarnyba) priima sprendimą nemokėti advokatui užmokesčio dalies, lygios valstybės patirtų antrinės teisinės pagalbos išlaidų sumai. Advokatams, kurie nuolat teikia antrinę teisinę pagalbą, tarnyba apmoka Taisyklių 30 punkte nurodytas išlaidas, susijusias su antrinės teisinės pagalbos teikimu.“</w:t>
                          </w:r>
                        </w:p>
                      </w:sdtContent>
                    </w:sdt>
                  </w:sdtContent>
                </w:sdt>
              </w:sdtContent>
            </w:sdt>
            <w:sdt>
              <w:sdtPr>
                <w:alias w:val="2.3 pp."/>
                <w:tag w:val="part_d3a9d0cb198144f5a8f8ef33f9ce190f"/>
                <w:lock w:val="sdtLocked"/>
                <w:richText/>
              </w:sdtPr>
              <w:sdtContent>
                <w:p w14:paraId="18214B1A" w14:textId="075F0E77">
                  <w:pPr>
                    <w:ind w:firstLine="993"/>
                    <w:jc w:val="both"/>
                    <w:rPr>
                      <w:rFonts w:eastAsia="Arial"/>
                      <w:color w:val="000000"/>
                      <w:szCs w:val="24"/>
                      <w:shd w:val="clear" w:color="auto" w:fill="FFFFFF"/>
                      <w:lang w:eastAsia="lt-LT"/>
                    </w:rPr>
                  </w:pPr>
                  <w:sdt>
                    <w:sdtPr>
                      <w:alias w:val="Numeris"/>
                      <w:tag w:val="nr_d3a9d0cb198144f5a8f8ef33f9ce190f"/>
                      <w:lock w:val="sdtLocked"/>
                      <w:richText/>
                    </w:sdtPr>
                    <w:sdtContent>
                      <w:r>
                        <w:rPr>
                          <w:color w:val="000000"/>
                          <w:szCs w:val="24"/>
                          <w:lang w:eastAsia="lt-LT"/>
                        </w:rPr>
                        <w:t>2.3</w:t>
                      </w:r>
                    </w:sdtContent>
                  </w:sdt>
                  <w:r>
                    <w:rPr>
                      <w:color w:val="000000"/>
                      <w:szCs w:val="24"/>
                      <w:lang w:eastAsia="lt-LT"/>
                    </w:rPr>
                    <w:t>. Pakeisti 7 punktą ir jį išdėstyti taip:</w:t>
                  </w:r>
                </w:p>
                <w:sdt>
                  <w:sdtPr>
                    <w:alias w:val="citata"/>
                    <w:tag w:val="part_094a29e30b6145d6b515a8a82efc03e6"/>
                    <w:lock w:val="sdtLocked"/>
                    <w:richText/>
                  </w:sdtPr>
                  <w:sdtContent>
                    <w:sdt>
                      <w:sdtPr>
                        <w:alias w:val="7 p."/>
                        <w:tag w:val="part_2f3c5c695172481990f9802b6eab541b"/>
                        <w:lock w:val="sdtLocked"/>
                        <w:richText/>
                      </w:sdtPr>
                      <w:sdtContent>
                        <w:p w14:paraId="504AEBA0" w14:textId="308151A0">
                          <w:pPr>
                            <w:ind w:firstLine="993"/>
                            <w:jc w:val="both"/>
                            <w:rPr>
                              <w:rFonts w:eastAsia="Arial"/>
                              <w:color w:val="000000"/>
                              <w:szCs w:val="24"/>
                              <w:shd w:val="clear" w:color="auto" w:fill="FFFFFF"/>
                              <w:lang w:eastAsia="lt-LT"/>
                            </w:rPr>
                          </w:pPr>
                          <w:r>
                            <w:rPr>
                              <w:rFonts w:eastAsia="Arial"/>
                              <w:color w:val="000000"/>
                              <w:szCs w:val="24"/>
                              <w:lang w:eastAsia="lt-LT"/>
                            </w:rPr>
                            <w:t>„</w:t>
                          </w:r>
                          <w:sdt>
                            <w:sdtPr>
                              <w:alias w:val="Numeris"/>
                              <w:tag w:val="nr_2f3c5c695172481990f9802b6eab541b"/>
                              <w:lock w:val="sdtLocked"/>
                              <w:richText/>
                            </w:sdtPr>
                            <w:sdtContent>
                              <w:r>
                                <w:rPr>
                                  <w:rFonts w:eastAsia="Arial"/>
                                  <w:color w:val="000000"/>
                                  <w:szCs w:val="24"/>
                                  <w:lang w:eastAsia="lt-LT"/>
                                </w:rPr>
                                <w:t>7</w:t>
                              </w:r>
                            </w:sdtContent>
                          </w:sdt>
                          <w:r>
                            <w:rPr>
                              <w:rFonts w:eastAsia="Arial"/>
                              <w:color w:val="000000"/>
                              <w:szCs w:val="24"/>
                              <w:lang w:eastAsia="lt-LT"/>
                            </w:rPr>
                            <w:t>. Advokatams, kurie prireikus teikia antrinę teisinę pagalbą, užmokestis mokamas už faktinį antrinės teisinės pagalbos teikimo laiką vienoje bylos stadijoje arba atliekant atskirus procesinius veiksmus, jeigu šie procesiniai veiksmai nurodyti Taisyklėse, už išvados dėl antrinės teisinės pagalbos teikimo ar neteikimo rengimą, už laiką, skirtą kelionei į antrinės teisinės</w:t>
                          </w:r>
                          <w:r>
                            <w:rPr>
                              <w:rFonts w:eastAsia="Arial"/>
                              <w:b/>
                              <w:color w:val="000000"/>
                              <w:szCs w:val="24"/>
                              <w:lang w:eastAsia="lt-LT"/>
                            </w:rPr>
                            <w:t xml:space="preserve"> </w:t>
                          </w:r>
                          <w:r>
                            <w:rPr>
                              <w:rFonts w:eastAsia="Arial"/>
                              <w:color w:val="000000"/>
                              <w:szCs w:val="24"/>
                              <w:lang w:eastAsia="lt-LT"/>
                            </w:rPr>
                            <w:t>pagalbos</w:t>
                          </w:r>
                          <w:r>
                            <w:rPr>
                              <w:rFonts w:eastAsia="Arial"/>
                              <w:b/>
                              <w:color w:val="000000"/>
                              <w:szCs w:val="24"/>
                              <w:lang w:eastAsia="lt-LT"/>
                            </w:rPr>
                            <w:t xml:space="preserve"> </w:t>
                          </w:r>
                          <w:r>
                            <w:rPr>
                              <w:rFonts w:eastAsia="Arial"/>
                              <w:color w:val="000000"/>
                              <w:szCs w:val="24"/>
                              <w:lang w:eastAsia="lt-LT"/>
                            </w:rPr>
                            <w:t xml:space="preserve">teikimo ar procesinių veiksmų atlikimo vietą ir atgal, ir už laiką, skirtą </w:t>
                          </w:r>
                          <w:r>
                            <w:rPr>
                              <w:color w:val="000000"/>
                              <w:szCs w:val="24"/>
                              <w:lang w:eastAsia="lt-LT"/>
                            </w:rPr>
                            <w:t>susipažinti su bylos medžiaga,</w:t>
                          </w:r>
                          <w:r>
                            <w:rPr>
                              <w:b/>
                              <w:color w:val="000000"/>
                              <w:szCs w:val="24"/>
                              <w:lang w:eastAsia="lt-LT"/>
                            </w:rPr>
                            <w:t xml:space="preserve"> </w:t>
                          </w:r>
                          <w:r>
                            <w:rPr>
                              <w:rFonts w:eastAsia="Arial"/>
                              <w:color w:val="000000"/>
                              <w:szCs w:val="24"/>
                              <w:lang w:eastAsia="lt-LT"/>
                            </w:rPr>
                            <w:t>neviršijant Taisyklėse nustatytų dydžių.“</w:t>
                          </w:r>
                        </w:p>
                      </w:sdtContent>
                    </w:sdt>
                  </w:sdtContent>
                </w:sdt>
              </w:sdtContent>
            </w:sdt>
            <w:sdt>
              <w:sdtPr>
                <w:alias w:val="2.4 pp."/>
                <w:tag w:val="part_8a5690e40b7e4752a1794a3faee19596"/>
                <w:lock w:val="sdtLocked"/>
                <w:richText/>
              </w:sdtPr>
              <w:sdtContent>
                <w:p w14:paraId="653E4864" w14:textId="74F00B0B">
                  <w:pPr>
                    <w:ind w:firstLine="851"/>
                    <w:jc w:val="both"/>
                    <w:rPr>
                      <w:color w:val="000000"/>
                      <w:szCs w:val="24"/>
                      <w:lang w:eastAsia="lt-LT"/>
                    </w:rPr>
                  </w:pPr>
                  <w:sdt>
                    <w:sdtPr>
                      <w:alias w:val="Numeris"/>
                      <w:tag w:val="nr_8a5690e40b7e4752a1794a3faee19596"/>
                      <w:lock w:val="sdtLocked"/>
                      <w:richText/>
                    </w:sdtPr>
                    <w:sdtContent>
                      <w:r>
                        <w:rPr>
                          <w:rFonts w:eastAsia="Arial"/>
                          <w:color w:val="000000"/>
                          <w:szCs w:val="24"/>
                          <w:shd w:val="clear" w:color="auto" w:fill="FFFFFF"/>
                          <w:lang w:eastAsia="lt-LT"/>
                        </w:rPr>
                        <w:t>2.4</w:t>
                      </w:r>
                    </w:sdtContent>
                  </w:sdt>
                  <w:r>
                    <w:rPr>
                      <w:rFonts w:eastAsia="Arial"/>
                      <w:color w:val="000000"/>
                      <w:szCs w:val="24"/>
                      <w:shd w:val="clear" w:color="auto" w:fill="FFFFFF"/>
                      <w:lang w:eastAsia="lt-LT"/>
                    </w:rPr>
                    <w:t>.</w:t>
                  </w:r>
                  <w:r>
                    <w:rPr>
                      <w:color w:val="000000"/>
                      <w:szCs w:val="24"/>
                      <w:lang w:eastAsia="lt-LT"/>
                    </w:rPr>
                    <w:t xml:space="preserve"> Pripažinti netekusiais galios 9.1 ir 9.2 papunkčius.</w:t>
                  </w:r>
                </w:p>
              </w:sdtContent>
            </w:sdt>
            <w:sdt>
              <w:sdtPr>
                <w:alias w:val="2.5 pp."/>
                <w:tag w:val="part_0f086a403adc44a785a021b12a38a3d3"/>
                <w:lock w:val="sdtLocked"/>
                <w:richText/>
              </w:sdtPr>
              <w:sdtContent>
                <w:p w14:paraId="38ADE6E2" w14:textId="38AEE056">
                  <w:pPr>
                    <w:ind w:firstLine="851"/>
                    <w:jc w:val="both"/>
                    <w:rPr>
                      <w:rFonts w:eastAsia="Arial"/>
                      <w:color w:val="000000"/>
                      <w:szCs w:val="24"/>
                      <w:shd w:val="clear" w:color="auto" w:fill="FFFFFF"/>
                      <w:lang w:eastAsia="lt-LT"/>
                    </w:rPr>
                  </w:pPr>
                  <w:sdt>
                    <w:sdtPr>
                      <w:alias w:val="Numeris"/>
                      <w:tag w:val="nr_0f086a403adc44a785a021b12a38a3d3"/>
                      <w:lock w:val="sdtLocked"/>
                      <w:richText/>
                    </w:sdtPr>
                    <w:sdtContent>
                      <w:r>
                        <w:rPr>
                          <w:rFonts w:eastAsia="Arial"/>
                          <w:color w:val="000000"/>
                          <w:szCs w:val="24"/>
                          <w:shd w:val="clear" w:color="auto" w:fill="FFFFFF"/>
                          <w:lang w:eastAsia="lt-LT"/>
                        </w:rPr>
                        <w:t>2.5</w:t>
                      </w:r>
                    </w:sdtContent>
                  </w:sdt>
                  <w:r>
                    <w:rPr>
                      <w:rFonts w:eastAsia="Arial"/>
                      <w:color w:val="000000"/>
                      <w:szCs w:val="24"/>
                      <w:shd w:val="clear" w:color="auto" w:fill="FFFFFF"/>
                      <w:lang w:eastAsia="lt-LT"/>
                    </w:rPr>
                    <w:t>. Papildyti 9</w:t>
                  </w:r>
                  <w:r>
                    <w:rPr>
                      <w:rFonts w:eastAsia="Arial"/>
                      <w:color w:val="000000"/>
                      <w:szCs w:val="24"/>
                      <w:shd w:val="clear" w:color="auto" w:fill="FFFFFF"/>
                      <w:vertAlign w:val="superscript"/>
                      <w:lang w:eastAsia="lt-LT"/>
                    </w:rPr>
                    <w:t>1</w:t>
                  </w:r>
                  <w:r>
                    <w:rPr>
                      <w:rFonts w:eastAsia="Arial"/>
                      <w:color w:val="000000"/>
                      <w:szCs w:val="24"/>
                      <w:shd w:val="clear" w:color="auto" w:fill="FFFFFF"/>
                      <w:lang w:eastAsia="lt-LT"/>
                    </w:rPr>
                    <w:t xml:space="preserve"> punktu:</w:t>
                  </w:r>
                </w:p>
                <w:sdt>
                  <w:sdtPr>
                    <w:alias w:val="citata"/>
                    <w:tag w:val="part_13eb9bd65f004662871622c5be2d3850"/>
                    <w:lock w:val="sdtLocked"/>
                    <w:richText/>
                  </w:sdtPr>
                  <w:sdtContent>
                    <w:sdt>
                      <w:sdtPr>
                        <w:alias w:val="9-1 p."/>
                        <w:tag w:val="part_52dfe278112346f7b6b7c9eeefc465dd"/>
                        <w:lock w:val="sdtLocked"/>
                        <w:richText/>
                      </w:sdtPr>
                      <w:sdtContent>
                        <w:p w14:paraId="027F46EB" w14:textId="50509CA6">
                          <w:pPr>
                            <w:ind w:firstLine="851"/>
                            <w:jc w:val="both"/>
                            <w:rPr>
                              <w:rFonts w:eastAsia="Arial"/>
                              <w:color w:val="000000"/>
                              <w:szCs w:val="24"/>
                              <w:shd w:val="clear" w:color="auto" w:fill="FFFFFF"/>
                              <w:lang w:eastAsia="lt-LT"/>
                            </w:rPr>
                          </w:pPr>
                          <w:r>
                            <w:rPr>
                              <w:rFonts w:eastAsia="Arial"/>
                              <w:color w:val="000000"/>
                              <w:szCs w:val="24"/>
                              <w:shd w:val="clear" w:color="auto" w:fill="FFFFFF"/>
                              <w:lang w:eastAsia="lt-LT"/>
                            </w:rPr>
                            <w:t>„</w:t>
                          </w:r>
                          <w:sdt>
                            <w:sdtPr>
                              <w:alias w:val="Numeris"/>
                              <w:tag w:val="nr_52dfe278112346f7b6b7c9eeefc465dd"/>
                              <w:lock w:val="sdtLocked"/>
                              <w:richText/>
                            </w:sdtPr>
                            <w:sdtContent>
                              <w:r>
                                <w:rPr>
                                  <w:rFonts w:eastAsia="Arial"/>
                                  <w:color w:val="000000"/>
                                  <w:szCs w:val="24"/>
                                  <w:shd w:val="clear" w:color="auto" w:fill="FFFFFF"/>
                                  <w:lang w:eastAsia="lt-LT"/>
                                </w:rPr>
                                <w:t>9</w:t>
                              </w:r>
                              <w:r>
                                <w:rPr>
                                  <w:rFonts w:eastAsia="Arial"/>
                                  <w:color w:val="000000"/>
                                  <w:szCs w:val="24"/>
                                  <w:shd w:val="clear" w:color="auto" w:fill="FFFFFF"/>
                                  <w:vertAlign w:val="superscript"/>
                                  <w:lang w:eastAsia="lt-LT"/>
                                </w:rPr>
                                <w:t>1</w:t>
                              </w:r>
                            </w:sdtContent>
                          </w:sdt>
                          <w:r>
                            <w:rPr>
                              <w:rFonts w:eastAsia="Arial"/>
                              <w:color w:val="000000"/>
                              <w:szCs w:val="24"/>
                              <w:shd w:val="clear" w:color="auto" w:fill="FFFFFF"/>
                              <w:lang w:eastAsia="lt-LT"/>
                            </w:rPr>
                            <w:t xml:space="preserve">. Apskaičiuojant užmokestį už laiką, skirtą susipažinti </w:t>
                          </w:r>
                          <w:r>
                            <w:rPr>
                              <w:color w:val="000000"/>
                              <w:szCs w:val="24"/>
                              <w:lang w:eastAsia="lt-LT"/>
                            </w:rPr>
                            <w:t xml:space="preserve">su bylos medžiaga, laikoma, kad </w:t>
                          </w:r>
                          <w:r>
                            <w:rPr>
                              <w:rFonts w:eastAsia="Arial"/>
                              <w:color w:val="000000"/>
                              <w:szCs w:val="24"/>
                              <w:lang w:eastAsia="lt-LT"/>
                            </w:rPr>
                            <w:t>susipažinti su vieno dokumentų bylos tomo medžiaga reikia ne daugiau kaip vienos valandos, o jeigu advokatas antrinę teisinę pagalbą toje pačioje byloje teikė keliose proceso stadijose, susipažinti su vieno dokumentų bylos tomo medžiaga vėlesnėje proceso stadijoje – ne daugiau kaip pusės valandos.“</w:t>
                          </w:r>
                        </w:p>
                      </w:sdtContent>
                    </w:sdt>
                  </w:sdtContent>
                </w:sdt>
              </w:sdtContent>
            </w:sdt>
            <w:sdt>
              <w:sdtPr>
                <w:alias w:val="2.6 pp."/>
                <w:tag w:val="part_66ec28fc7e9645c689f66532c6c4304d"/>
                <w:lock w:val="sdtLocked"/>
                <w:richText/>
              </w:sdtPr>
              <w:sdtContent>
                <w:p w14:paraId="67D05E8A" w14:textId="7F8A9E4D">
                  <w:pPr>
                    <w:ind w:firstLine="851"/>
                    <w:jc w:val="both"/>
                    <w:rPr>
                      <w:rFonts w:eastAsia="Arial"/>
                      <w:color w:val="000000"/>
                      <w:szCs w:val="24"/>
                      <w:shd w:val="clear" w:color="auto" w:fill="FFFFFF"/>
                      <w:lang w:eastAsia="lt-LT"/>
                    </w:rPr>
                  </w:pPr>
                  <w:sdt>
                    <w:sdtPr>
                      <w:alias w:val="Numeris"/>
                      <w:tag w:val="nr_66ec28fc7e9645c689f66532c6c4304d"/>
                      <w:lock w:val="sdtLocked"/>
                      <w:richText/>
                    </w:sdtPr>
                    <w:sdtContent>
                      <w:r>
                        <w:rPr>
                          <w:rFonts w:eastAsia="Arial"/>
                          <w:color w:val="000000"/>
                          <w:szCs w:val="24"/>
                          <w:shd w:val="clear" w:color="auto" w:fill="FFFFFF"/>
                          <w:lang w:eastAsia="lt-LT"/>
                        </w:rPr>
                        <w:t>2.6</w:t>
                      </w:r>
                    </w:sdtContent>
                  </w:sdt>
                  <w:r>
                    <w:rPr>
                      <w:rFonts w:eastAsia="Arial"/>
                      <w:color w:val="000000"/>
                      <w:szCs w:val="24"/>
                      <w:shd w:val="clear" w:color="auto" w:fill="FFFFFF"/>
                      <w:lang w:eastAsia="lt-LT"/>
                    </w:rPr>
                    <w:t>. Papildyti 9</w:t>
                  </w:r>
                  <w:r>
                    <w:rPr>
                      <w:rFonts w:eastAsia="Arial"/>
                      <w:color w:val="000000"/>
                      <w:szCs w:val="24"/>
                      <w:shd w:val="clear" w:color="auto" w:fill="FFFFFF"/>
                      <w:vertAlign w:val="superscript"/>
                      <w:lang w:eastAsia="lt-LT"/>
                    </w:rPr>
                    <w:t>2</w:t>
                  </w:r>
                  <w:r>
                    <w:rPr>
                      <w:rFonts w:eastAsia="Arial"/>
                      <w:color w:val="000000"/>
                      <w:szCs w:val="24"/>
                      <w:shd w:val="clear" w:color="auto" w:fill="FFFFFF"/>
                      <w:lang w:eastAsia="lt-LT"/>
                    </w:rPr>
                    <w:t xml:space="preserve"> punktu:</w:t>
                  </w:r>
                </w:p>
                <w:sdt>
                  <w:sdtPr>
                    <w:alias w:val="citata"/>
                    <w:tag w:val="part_99f01eb9ec5b433993a8ed04e42f2b8d"/>
                    <w:lock w:val="sdtLocked"/>
                    <w:richText/>
                  </w:sdtPr>
                  <w:sdtContent>
                    <w:sdt>
                      <w:sdtPr>
                        <w:alias w:val="9-2 p."/>
                        <w:tag w:val="part_f657726ed5d644f69873b5ab48c04c5d"/>
                        <w:lock w:val="sdtLocked"/>
                        <w:richText/>
                      </w:sdtPr>
                      <w:sdtContent>
                        <w:p w14:paraId="3FC7C4AE" w14:textId="03E7ECBB">
                          <w:pPr>
                            <w:ind w:firstLine="851"/>
                            <w:jc w:val="both"/>
                            <w:rPr>
                              <w:rFonts w:eastAsia="Arial"/>
                              <w:color w:val="000000"/>
                              <w:szCs w:val="24"/>
                              <w:shd w:val="clear" w:color="auto" w:fill="FFFFFF"/>
                              <w:lang w:eastAsia="lt-LT"/>
                            </w:rPr>
                          </w:pPr>
                          <w:r>
                            <w:rPr>
                              <w:rFonts w:eastAsia="Arial"/>
                              <w:color w:val="000000"/>
                              <w:szCs w:val="24"/>
                              <w:shd w:val="clear" w:color="auto" w:fill="FFFFFF"/>
                              <w:lang w:eastAsia="lt-LT"/>
                            </w:rPr>
                            <w:t>„</w:t>
                          </w:r>
                          <w:sdt>
                            <w:sdtPr>
                              <w:alias w:val="Numeris"/>
                              <w:tag w:val="nr_f657726ed5d644f69873b5ab48c04c5d"/>
                              <w:lock w:val="sdtLocked"/>
                              <w:richText/>
                            </w:sdtPr>
                            <w:sdtContent>
                              <w:r>
                                <w:rPr>
                                  <w:rFonts w:eastAsia="Arial"/>
                                  <w:color w:val="000000"/>
                                  <w:szCs w:val="24"/>
                                  <w:shd w:val="clear" w:color="auto" w:fill="FFFFFF"/>
                                  <w:lang w:eastAsia="lt-LT"/>
                                </w:rPr>
                                <w:t>9</w:t>
                              </w:r>
                              <w:r>
                                <w:rPr>
                                  <w:rFonts w:eastAsia="Arial"/>
                                  <w:color w:val="000000"/>
                                  <w:szCs w:val="24"/>
                                  <w:shd w:val="clear" w:color="auto" w:fill="FFFFFF"/>
                                  <w:vertAlign w:val="superscript"/>
                                  <w:lang w:eastAsia="lt-LT"/>
                                </w:rPr>
                                <w:t>2</w:t>
                              </w:r>
                            </w:sdtContent>
                          </w:sdt>
                          <w:r>
                            <w:rPr>
                              <w:rFonts w:eastAsia="Arial"/>
                              <w:color w:val="000000"/>
                              <w:szCs w:val="24"/>
                              <w:shd w:val="clear" w:color="auto" w:fill="FFFFFF"/>
                              <w:lang w:eastAsia="lt-LT"/>
                            </w:rPr>
                            <w:t>. Kelionei į antrinės teisinės pagalbos teikimo ar procesinių veiksmų atlikimo vietą ir atgal skirtas laikas apmokamas pagal normatyvą, apskaičiuojamą teisingumo ministro nustatyta tvarka.“</w:t>
                          </w:r>
                        </w:p>
                      </w:sdtContent>
                    </w:sdt>
                  </w:sdtContent>
                </w:sdt>
              </w:sdtContent>
            </w:sdt>
            <w:sdt>
              <w:sdtPr>
                <w:alias w:val="2.7 pp."/>
                <w:tag w:val="part_df0447fd66f74b978fbb381d638d9ce3"/>
                <w:lock w:val="sdtLocked"/>
                <w:richText/>
              </w:sdtPr>
              <w:sdtContent>
                <w:p w14:paraId="6DD10AF2" w14:textId="6530321B">
                  <w:pPr>
                    <w:ind w:firstLine="851"/>
                    <w:jc w:val="both"/>
                    <w:rPr>
                      <w:rFonts w:eastAsia="Arial"/>
                      <w:color w:val="000000"/>
                      <w:szCs w:val="24"/>
                      <w:shd w:val="clear" w:color="auto" w:fill="FFFFFF"/>
                      <w:lang w:eastAsia="lt-LT"/>
                    </w:rPr>
                  </w:pPr>
                  <w:sdt>
                    <w:sdtPr>
                      <w:alias w:val="Numeris"/>
                      <w:tag w:val="nr_df0447fd66f74b978fbb381d638d9ce3"/>
                      <w:lock w:val="sdtLocked"/>
                      <w:richText/>
                    </w:sdtPr>
                    <w:sdtContent>
                      <w:r>
                        <w:rPr>
                          <w:rFonts w:eastAsia="Arial"/>
                          <w:color w:val="000000"/>
                          <w:szCs w:val="24"/>
                          <w:shd w:val="clear" w:color="auto" w:fill="FFFFFF"/>
                          <w:lang w:eastAsia="lt-LT"/>
                        </w:rPr>
                        <w:t>2.7</w:t>
                      </w:r>
                    </w:sdtContent>
                  </w:sdt>
                  <w:r>
                    <w:rPr>
                      <w:rFonts w:eastAsia="Arial"/>
                      <w:color w:val="000000"/>
                      <w:szCs w:val="24"/>
                      <w:shd w:val="clear" w:color="auto" w:fill="FFFFFF"/>
                      <w:lang w:eastAsia="lt-LT"/>
                    </w:rPr>
                    <w:t>.</w:t>
                  </w:r>
                  <w:r>
                    <w:rPr>
                      <w:color w:val="000000"/>
                      <w:szCs w:val="24"/>
                      <w:lang w:eastAsia="lt-LT"/>
                    </w:rPr>
                    <w:t xml:space="preserve"> Pakeisti 11 punktą ir jį išdėstyti taip:</w:t>
                  </w:r>
                </w:p>
                <w:sdt>
                  <w:sdtPr>
                    <w:alias w:val="citata"/>
                    <w:tag w:val="part_117a3778468a4ad2af60512d3fc59c65"/>
                    <w:lock w:val="sdtLocked"/>
                    <w:richText/>
                  </w:sdtPr>
                  <w:sdtContent>
                    <w:sdt>
                      <w:sdtPr>
                        <w:alias w:val="11 p."/>
                        <w:tag w:val="part_be41b09cdf1347bb91c781556c5e9997"/>
                        <w:lock w:val="sdtLocked"/>
                        <w:richText/>
                      </w:sdtPr>
                      <w:sdtContent>
                        <w:p w14:paraId="49B2630F" w14:textId="35146382">
                          <w:pPr>
                            <w:ind w:firstLine="851"/>
                            <w:jc w:val="both"/>
                            <w:rPr>
                              <w:rFonts w:eastAsia="Arial"/>
                              <w:color w:val="000000"/>
                              <w:szCs w:val="24"/>
                              <w:lang w:eastAsia="lt-LT"/>
                            </w:rPr>
                          </w:pPr>
                          <w:r>
                            <w:rPr>
                              <w:rFonts w:eastAsia="Arial"/>
                              <w:color w:val="000000"/>
                              <w:szCs w:val="24"/>
                              <w:lang w:eastAsia="lt-LT"/>
                            </w:rPr>
                            <w:t>„</w:t>
                          </w:r>
                          <w:sdt>
                            <w:sdtPr>
                              <w:alias w:val="Numeris"/>
                              <w:tag w:val="nr_be41b09cdf1347bb91c781556c5e9997"/>
                              <w:lock w:val="sdtLocked"/>
                              <w:richText/>
                            </w:sdtPr>
                            <w:sdtContent>
                              <w:r>
                                <w:rPr>
                                  <w:rFonts w:eastAsia="Arial"/>
                                  <w:color w:val="000000"/>
                                  <w:szCs w:val="24"/>
                                  <w:lang w:eastAsia="lt-LT"/>
                                </w:rPr>
                                <w:t>11</w:t>
                              </w:r>
                            </w:sdtContent>
                          </w:sdt>
                          <w:r>
                            <w:rPr>
                              <w:rFonts w:eastAsia="Arial"/>
                              <w:color w:val="000000"/>
                              <w:szCs w:val="24"/>
                              <w:lang w:eastAsia="lt-LT"/>
                            </w:rPr>
                            <w:t xml:space="preserve">. Jeigu faktinis advokato antrinės teisinės pagalbos teikimo laikas viršija Taisyklėse </w:t>
                          </w:r>
                          <w:r>
                            <w:rPr>
                              <w:rFonts w:eastAsia="Arial"/>
                              <w:szCs w:val="24"/>
                              <w:lang w:eastAsia="lt-LT"/>
                            </w:rPr>
                            <w:t>nustatytą bylos stadijai (procesiniam veiksmui) skirtą laiką, jis turi būti patvirtintas ikiteisminio</w:t>
                          </w:r>
                          <w:r>
                            <w:rPr>
                              <w:rFonts w:eastAsia="Arial"/>
                              <w:bCs/>
                              <w:szCs w:val="24"/>
                              <w:lang w:eastAsia="lt-LT"/>
                            </w:rPr>
                            <w:t xml:space="preserve"> </w:t>
                          </w:r>
                          <w:r>
                            <w:rPr>
                              <w:rFonts w:eastAsia="Arial"/>
                              <w:szCs w:val="24"/>
                              <w:lang w:eastAsia="lt-LT"/>
                            </w:rPr>
                            <w:t xml:space="preserve">tyrimo pareigūno, prokuroro, teisėjo, antrinę teisinę pagalbą gavusio asmens parašu arba pagrindžiamas Integruotos baudžiamojo proceso </w:t>
                          </w:r>
                          <w:r>
                            <w:rPr>
                              <w:rFonts w:eastAsia="Arial"/>
                              <w:bCs/>
                              <w:szCs w:val="24"/>
                              <w:lang w:eastAsia="lt-LT"/>
                            </w:rPr>
                            <w:t>informacinės sistemos (toliau – IBPS) ar Lietuvos teismų informacinės sistemos (toliau – LITEKO) duomenimis</w:t>
                          </w:r>
                          <w:r>
                            <w:rPr>
                              <w:rFonts w:eastAsia="Arial"/>
                              <w:szCs w:val="24"/>
                              <w:lang w:eastAsia="lt-LT"/>
                            </w:rPr>
                            <w:t>. Laikas, skirtas bylos stadijai (procesiniam veiksmui), negali 0,5 karto viršyti Taisyklėse bylos stadijai (procesiniam veiksmui) skirto laiko, išskyrus bylas, nurodytas Taisyklių 11</w:t>
                          </w:r>
                          <w:r>
                            <w:rPr>
                              <w:rFonts w:eastAsia="Arial"/>
                              <w:szCs w:val="24"/>
                              <w:vertAlign w:val="superscript"/>
                              <w:lang w:eastAsia="lt-LT"/>
                            </w:rPr>
                            <w:t>1</w:t>
                          </w:r>
                          <w:r>
                            <w:rPr>
                              <w:rFonts w:eastAsia="Arial"/>
                              <w:szCs w:val="24"/>
                              <w:lang w:eastAsia="lt-LT"/>
                            </w:rPr>
                            <w:t xml:space="preserve"> punkte,</w:t>
                          </w:r>
                          <w:r>
                            <w:rPr>
                              <w:rFonts w:ascii="Arial" w:eastAsia="Arial" w:hAnsi="Arial"/>
                              <w:sz w:val="20"/>
                              <w:lang w:eastAsia="lt-LT"/>
                            </w:rPr>
                            <w:t xml:space="preserve"> </w:t>
                          </w:r>
                          <w:r>
                            <w:rPr>
                              <w:rFonts w:eastAsia="Arial"/>
                              <w:szCs w:val="24"/>
                              <w:lang w:eastAsia="lt-LT"/>
                            </w:rPr>
                            <w:t xml:space="preserve">ir laiką, skirtą dalyvauti ikiteisminio tyrimo veiksmuose ir teismo posėdžiuose. </w:t>
                          </w:r>
                          <w:r>
                            <w:rPr>
                              <w:rFonts w:eastAsia="Arial"/>
                              <w:lang w:eastAsia="lt-LT"/>
                            </w:rPr>
                            <w:t xml:space="preserve">Advokatui skiriamas 1 UBD užmokestis už kiekvieną papildomai skirtą valandą dalyvauti ikiteisminio tyrimo veiksmuose ar teismo posėdžiuose. Tokiu atveju advokato dalyvavimo ikiteisminio tyrimo veiksmuose ar teismo posėdžiuose laikas patvirtinamas ikiteisminio tyrimo pareigūno, prokuroro, bet kurio bylą nagrinėjančio teisėjo parašu arba pagrindžiamas </w:t>
                          </w:r>
                          <w:r>
                            <w:rPr>
                              <w:rFonts w:eastAsia="Arial"/>
                              <w:szCs w:val="24"/>
                              <w:lang w:eastAsia="lt-LT"/>
                            </w:rPr>
                            <w:t>IBPS</w:t>
                          </w:r>
                          <w:r>
                            <w:rPr>
                              <w:rFonts w:eastAsia="Arial"/>
                              <w:bCs/>
                              <w:szCs w:val="24"/>
                              <w:lang w:eastAsia="lt-LT"/>
                            </w:rPr>
                            <w:t xml:space="preserve"> ar LITEKO duomenimis</w:t>
                          </w:r>
                          <w:r>
                            <w:rPr>
                              <w:rFonts w:eastAsia="Arial"/>
                              <w:lang w:eastAsia="lt-LT"/>
                            </w:rPr>
                            <w:t>.</w:t>
                          </w:r>
                          <w:r>
                            <w:rPr>
                              <w:rFonts w:eastAsia="Arial"/>
                              <w:szCs w:val="24"/>
                              <w:lang w:eastAsia="lt-LT"/>
                            </w:rPr>
                            <w:t xml:space="preserve">“ </w:t>
                          </w:r>
                        </w:p>
                      </w:sdtContent>
                    </w:sdt>
                  </w:sdtContent>
                </w:sdt>
              </w:sdtContent>
            </w:sdt>
            <w:sdt>
              <w:sdtPr>
                <w:alias w:val="2.8 pp."/>
                <w:tag w:val="part_2d81162ee14e4aafac697565da411224"/>
                <w:lock w:val="sdtLocked"/>
                <w:richText/>
              </w:sdtPr>
              <w:sdtContent>
                <w:p w14:paraId="5B8F1755" w14:textId="77777777">
                  <w:pPr>
                    <w:ind w:firstLine="851"/>
                    <w:jc w:val="both"/>
                    <w:rPr>
                      <w:rFonts w:eastAsia="Arial"/>
                      <w:szCs w:val="24"/>
                      <w:shd w:val="clear" w:color="auto" w:fill="FFFFFF"/>
                      <w:lang w:eastAsia="lt-LT"/>
                    </w:rPr>
                  </w:pPr>
                  <w:sdt>
                    <w:sdtPr>
                      <w:alias w:val="Numeris"/>
                      <w:tag w:val="nr_2d81162ee14e4aafac697565da411224"/>
                      <w:lock w:val="sdtLocked"/>
                      <w:richText/>
                    </w:sdtPr>
                    <w:sdtContent>
                      <w:r>
                        <w:rPr>
                          <w:rFonts w:eastAsia="Arial"/>
                          <w:szCs w:val="24"/>
                          <w:lang w:eastAsia="lt-LT"/>
                        </w:rPr>
                        <w:t>2.8</w:t>
                      </w:r>
                    </w:sdtContent>
                  </w:sdt>
                  <w:r>
                    <w:rPr>
                      <w:rFonts w:eastAsia="Arial"/>
                      <w:szCs w:val="24"/>
                      <w:lang w:eastAsia="lt-LT"/>
                    </w:rPr>
                    <w:t xml:space="preserve">. </w:t>
                  </w:r>
                  <w:r>
                    <w:rPr>
                      <w:szCs w:val="24"/>
                      <w:lang w:eastAsia="lt-LT"/>
                    </w:rPr>
                    <w:t>Pakeisti 11</w:t>
                  </w:r>
                  <w:r>
                    <w:rPr>
                      <w:szCs w:val="24"/>
                      <w:vertAlign w:val="superscript"/>
                      <w:lang w:eastAsia="lt-LT"/>
                    </w:rPr>
                    <w:t>1</w:t>
                  </w:r>
                  <w:r>
                    <w:rPr>
                      <w:szCs w:val="24"/>
                      <w:lang w:eastAsia="lt-LT"/>
                    </w:rPr>
                    <w:t xml:space="preserve"> punktą ir jį išdėstyti taip:</w:t>
                  </w:r>
                </w:p>
                <w:sdt>
                  <w:sdtPr>
                    <w:alias w:val="citata"/>
                    <w:tag w:val="part_f3ea65d36a4d4a31a3f8e9ee6ca1f50d"/>
                    <w:lock w:val="sdtLocked"/>
                    <w:richText/>
                  </w:sdtPr>
                  <w:sdtContent>
                    <w:sdt>
                      <w:sdtPr>
                        <w:alias w:val="11-1 p."/>
                        <w:tag w:val="part_10d51b5fb8204fb28723f988c15f3cde"/>
                        <w:lock w:val="sdtLocked"/>
                        <w:richText/>
                      </w:sdtPr>
                      <w:sdtContent>
                        <w:p w14:paraId="69DE7CE8" w14:textId="54611CD3">
                          <w:pPr>
                            <w:ind w:firstLine="851"/>
                            <w:jc w:val="both"/>
                            <w:rPr>
                              <w:rFonts w:eastAsia="Arial"/>
                              <w:color w:val="000000"/>
                              <w:szCs w:val="24"/>
                              <w:lang w:eastAsia="lt-LT"/>
                            </w:rPr>
                          </w:pPr>
                          <w:r>
                            <w:rPr>
                              <w:rFonts w:eastAsia="Arial"/>
                              <w:szCs w:val="24"/>
                              <w:lang w:eastAsia="lt-LT"/>
                            </w:rPr>
                            <w:t>„</w:t>
                          </w:r>
                          <w:sdt>
                            <w:sdtPr>
                              <w:alias w:val="Numeris"/>
                              <w:tag w:val="nr_10d51b5fb8204fb28723f988c15f3cde"/>
                              <w:lock w:val="sdtLocked"/>
                              <w:richText/>
                            </w:sdtPr>
                            <w:sdtContent>
                              <w:r>
                                <w:rPr>
                                  <w:rFonts w:eastAsia="Arial"/>
                                  <w:szCs w:val="24"/>
                                  <w:lang w:eastAsia="lt-LT"/>
                                </w:rPr>
                                <w:t>11</w:t>
                              </w:r>
                              <w:r>
                                <w:rPr>
                                  <w:rFonts w:eastAsia="Arial"/>
                                  <w:szCs w:val="24"/>
                                  <w:vertAlign w:val="superscript"/>
                                  <w:lang w:eastAsia="lt-LT"/>
                                </w:rPr>
                                <w:t>1</w:t>
                              </w:r>
                            </w:sdtContent>
                          </w:sdt>
                          <w:r>
                            <w:rPr>
                              <w:rFonts w:eastAsia="Arial"/>
                              <w:szCs w:val="24"/>
                              <w:lang w:eastAsia="lt-LT"/>
                            </w:rPr>
                            <w:t xml:space="preserve">. Baudžiamosiose bylose dėl tyčinių sunkių ir tyčinių labai sunkių nusikaltimų advokato faktinis antrinės teisinės pagalbos teikimo laikas, viršijantis Taisyklių 14.1 ir 14.4 papunkčiuose nustatytą bylos stadijai (procesiniam veiksmui) skirtą laiką, turi būti patvirtintas ikiteisminio tyrimo pareigūno, prokuroro, teisėjo, antrinę teisinę pagalbą gavusio asmens parašu </w:t>
                          </w:r>
                          <w:r>
                            <w:rPr>
                              <w:rFonts w:eastAsia="Arial"/>
                              <w:lang w:eastAsia="lt-LT"/>
                            </w:rPr>
                            <w:t>arba pagrindžiamas</w:t>
                          </w:r>
                          <w:r>
                            <w:rPr>
                              <w:rFonts w:eastAsia="Arial"/>
                              <w:szCs w:val="24"/>
                              <w:lang w:eastAsia="lt-LT"/>
                            </w:rPr>
                            <w:t xml:space="preserve"> IBPS ar LITEKO duomenimis. Laikas, skirtas bylos stadijai (procesiniam veiksmui), negali 2 kartus viršyti Taisyklėse bylos stadijai (procesiniam veiksmui) skirto laiko, išskyrus laiką, skirtą dalyvauti ikiteisminio tyrimo veiksmuose ir teismo posėdžiuose. Advokatui skiriamas 1 UBD užmokestis už kiekvieną </w:t>
                          </w:r>
                          <w:r>
                            <w:rPr>
                              <w:rFonts w:eastAsia="Arial"/>
                              <w:lang w:eastAsia="lt-LT"/>
                            </w:rPr>
                            <w:t>papildomai skirtą valandą dalyvauti ikiteisminio tyrimo veiksmuose ar teismo posėdžiuose</w:t>
                          </w:r>
                          <w:r>
                            <w:rPr>
                              <w:rFonts w:eastAsia="Arial"/>
                              <w:szCs w:val="24"/>
                              <w:lang w:eastAsia="lt-LT"/>
                            </w:rPr>
                            <w:t xml:space="preserve">. Tokiu atveju advokato </w:t>
                          </w:r>
                          <w:r>
                            <w:rPr>
                              <w:rFonts w:eastAsia="Arial"/>
                              <w:lang w:eastAsia="lt-LT"/>
                            </w:rPr>
                            <w:t>dalyvavimo teismo posėdžiuose laikas</w:t>
                          </w:r>
                          <w:r>
                            <w:rPr>
                              <w:rFonts w:eastAsia="Arial"/>
                              <w:szCs w:val="24"/>
                              <w:lang w:eastAsia="lt-LT"/>
                            </w:rPr>
                            <w:t xml:space="preserve"> patvirtinamas ikiteisminio tyrimo pareigūno, prokuroro, bet kurio bylą nagrinėjančio teisėjo parašu arba pagrindžiamas IBPS</w:t>
                          </w:r>
                          <w:r>
                            <w:rPr>
                              <w:rFonts w:eastAsia="Arial"/>
                              <w:bCs/>
                              <w:szCs w:val="24"/>
                              <w:lang w:eastAsia="lt-LT"/>
                            </w:rPr>
                            <w:t xml:space="preserve"> ar LITEKO duomenimis</w:t>
                          </w:r>
                          <w:r>
                            <w:rPr>
                              <w:rFonts w:eastAsia="Arial"/>
                              <w:szCs w:val="24"/>
                              <w:lang w:eastAsia="lt-LT"/>
                            </w:rPr>
                            <w:t>.</w:t>
                          </w:r>
                          <w:r>
                            <w:rPr>
                              <w:rFonts w:eastAsia="Arial"/>
                              <w:color w:val="000000"/>
                              <w:szCs w:val="24"/>
                              <w:lang w:eastAsia="lt-LT"/>
                            </w:rPr>
                            <w:t>“</w:t>
                          </w:r>
                        </w:p>
                      </w:sdtContent>
                    </w:sdt>
                  </w:sdtContent>
                </w:sdt>
              </w:sdtContent>
            </w:sdt>
            <w:sdt>
              <w:sdtPr>
                <w:alias w:val="2.9 pp."/>
                <w:tag w:val="part_e69f84cfb98f4b52a01f0fcdb82b4b12"/>
                <w:lock w:val="sdtLocked"/>
                <w:richText/>
              </w:sdtPr>
              <w:sdtContent>
                <w:p w14:paraId="689D225A" w14:textId="4F01D04E">
                  <w:pPr>
                    <w:ind w:firstLine="851"/>
                    <w:jc w:val="both"/>
                    <w:rPr>
                      <w:rFonts w:eastAsia="Arial"/>
                      <w:color w:val="000000"/>
                      <w:szCs w:val="24"/>
                      <w:lang w:eastAsia="lt-LT"/>
                    </w:rPr>
                  </w:pPr>
                  <w:sdt>
                    <w:sdtPr>
                      <w:alias w:val="Numeris"/>
                      <w:tag w:val="nr_e69f84cfb98f4b52a01f0fcdb82b4b12"/>
                      <w:lock w:val="sdtLocked"/>
                      <w:richText/>
                    </w:sdtPr>
                    <w:sdtContent>
                      <w:r>
                        <w:rPr>
                          <w:rFonts w:eastAsia="Arial"/>
                          <w:color w:val="000000"/>
                          <w:szCs w:val="24"/>
                          <w:lang w:eastAsia="lt-LT"/>
                        </w:rPr>
                        <w:t>2.9</w:t>
                      </w:r>
                    </w:sdtContent>
                  </w:sdt>
                  <w:r>
                    <w:rPr>
                      <w:rFonts w:eastAsia="Arial"/>
                      <w:color w:val="000000"/>
                      <w:szCs w:val="24"/>
                      <w:lang w:eastAsia="lt-LT"/>
                    </w:rPr>
                    <w:t>.</w:t>
                  </w:r>
                  <w:r>
                    <w:rPr>
                      <w:color w:val="000000"/>
                      <w:szCs w:val="24"/>
                      <w:lang w:eastAsia="lt-LT"/>
                    </w:rPr>
                    <w:t xml:space="preserve"> Pakeisti 32 punktą ir jį išdėstyti taip:</w:t>
                  </w:r>
                </w:p>
                <w:sdt>
                  <w:sdtPr>
                    <w:alias w:val="citata"/>
                    <w:tag w:val="part_1dbfe2ef71064d008b41934ec7aad27d"/>
                    <w:lock w:val="sdtLocked"/>
                    <w:richText/>
                  </w:sdtPr>
                  <w:sdtContent>
                    <w:sdt>
                      <w:sdtPr>
                        <w:alias w:val="32 p."/>
                        <w:tag w:val="part_0d228af166df45d393d838f6138dda16"/>
                        <w:lock w:val="sdtLocked"/>
                        <w:richText/>
                      </w:sdtPr>
                      <w:sdtContent>
                        <w:p w14:paraId="6F3BBC25" w14:textId="7DEE43B8">
                          <w:pPr>
                            <w:ind w:firstLine="851"/>
                            <w:jc w:val="both"/>
                            <w:rPr>
                              <w:color w:val="000000"/>
                              <w:szCs w:val="24"/>
                              <w:lang w:eastAsia="lt-LT"/>
                            </w:rPr>
                          </w:pPr>
                          <w:r>
                            <w:rPr>
                              <w:color w:val="000000"/>
                              <w:szCs w:val="24"/>
                              <w:lang w:eastAsia="lt-LT"/>
                            </w:rPr>
                            <w:t>„</w:t>
                          </w:r>
                          <w:sdt>
                            <w:sdtPr>
                              <w:alias w:val="Numeris"/>
                              <w:tag w:val="nr_0d228af166df45d393d838f6138dda16"/>
                              <w:lock w:val="sdtLocked"/>
                              <w:richText/>
                            </w:sdtPr>
                            <w:sdtContent>
                              <w:r>
                                <w:rPr>
                                  <w:color w:val="000000"/>
                                  <w:szCs w:val="24"/>
                                  <w:lang w:eastAsia="lt-LT"/>
                                </w:rPr>
                                <w:t>32</w:t>
                              </w:r>
                            </w:sdtContent>
                          </w:sdt>
                          <w:r>
                            <w:rPr>
                              <w:color w:val="000000"/>
                              <w:szCs w:val="24"/>
                              <w:lang w:eastAsia="lt-LT"/>
                            </w:rPr>
                            <w:t>. Advokatai, kurie nuolat teikia antrinę teisinę pagalbą, kas mėnesį teikia tarnybai teikiamos (suteiktos) antrinės teisinės pagalbos ataskaitas teisingumo ministro nustatyta tvarka. Taisyklių 4 punkte nurodytas užmokestis jiems išmokamas ne vėliau kaip per 10 darbo dienų nuo ataskaitų pateikimo tarnybai. Jeigu advokato pateiktoje ataskaitoje yra trūkumų, tarnyba turi teisę per 5 darbo dienas nuo ataskaitos gavimo prašyti advokato pateikti papildomą informaciją ar dokumentus arba grąžinti ataskaitą, nurodydama trūkumus. Tokiu atveju Taisyklių 4 punkte nurodytas užmokestis advokatui išmokamas ne vėliau kaip per 7 darbo dienas nuo papildomos informacijos ar dokumentų arba pataisytos ataskaitos pateikimo tarnybai.“</w:t>
                          </w:r>
                        </w:p>
                      </w:sdtContent>
                    </w:sdt>
                  </w:sdtContent>
                </w:sdt>
              </w:sdtContent>
            </w:sdt>
            <w:sdt>
              <w:sdtPr>
                <w:alias w:val="2.10 pp."/>
                <w:tag w:val="part_6e23c38097e84b98b8876a6861013fd1"/>
                <w:lock w:val="sdtLocked"/>
                <w:richText/>
              </w:sdtPr>
              <w:sdtContent>
                <w:p w14:paraId="7B9CC1F1" w14:textId="05005A44">
                  <w:pPr>
                    <w:ind w:firstLine="851"/>
                    <w:jc w:val="both"/>
                    <w:rPr>
                      <w:rFonts w:eastAsia="Arial"/>
                      <w:color w:val="000000"/>
                      <w:szCs w:val="24"/>
                      <w:lang w:eastAsia="lt-LT"/>
                    </w:rPr>
                  </w:pPr>
                  <w:sdt>
                    <w:sdtPr>
                      <w:alias w:val="Numeris"/>
                      <w:tag w:val="nr_6e23c38097e84b98b8876a6861013fd1"/>
                      <w:lock w:val="sdtLocked"/>
                      <w:richText/>
                    </w:sdtPr>
                    <w:sdtContent>
                      <w:r>
                        <w:rPr>
                          <w:color w:val="000000"/>
                          <w:szCs w:val="24"/>
                          <w:lang w:eastAsia="lt-LT"/>
                        </w:rPr>
                        <w:t>2.10</w:t>
                      </w:r>
                    </w:sdtContent>
                  </w:sdt>
                  <w:r>
                    <w:rPr>
                      <w:color w:val="000000"/>
                      <w:szCs w:val="24"/>
                      <w:lang w:eastAsia="lt-LT"/>
                    </w:rPr>
                    <w:t>. Pakeisti 33 punktą ir jį išdėstyti taip:</w:t>
                  </w:r>
                </w:p>
                <w:sdt>
                  <w:sdtPr>
                    <w:alias w:val="citata"/>
                    <w:tag w:val="part_2a9d13b013294f29b6ee1c05451f1784"/>
                    <w:lock w:val="sdtLocked"/>
                    <w:richText/>
                  </w:sdtPr>
                  <w:sdtContent>
                    <w:sdt>
                      <w:sdtPr>
                        <w:alias w:val="33 p."/>
                        <w:tag w:val="part_a1e091cab8164878b9add951a3364b62"/>
                        <w:lock w:val="sdtLocked"/>
                        <w:richText/>
                      </w:sdtPr>
                      <w:sdtContent>
                        <w:p w14:paraId="2F3D4971" w14:textId="04AF1544">
                          <w:pPr>
                            <w:ind w:firstLine="851"/>
                            <w:jc w:val="both"/>
                            <w:rPr>
                              <w:color w:val="000000"/>
                              <w:szCs w:val="24"/>
                              <w:lang w:eastAsia="lt-LT"/>
                            </w:rPr>
                          </w:pPr>
                          <w:r>
                            <w:rPr>
                              <w:color w:val="000000"/>
                              <w:szCs w:val="24"/>
                              <w:lang w:eastAsia="lt-LT"/>
                            </w:rPr>
                            <w:t>„</w:t>
                          </w:r>
                          <w:sdt>
                            <w:sdtPr>
                              <w:alias w:val="Numeris"/>
                              <w:tag w:val="nr_a1e091cab8164878b9add951a3364b62"/>
                              <w:lock w:val="sdtLocked"/>
                              <w:richText/>
                            </w:sdtPr>
                            <w:sdtContent>
                              <w:r>
                                <w:rPr>
                                  <w:color w:val="000000"/>
                                  <w:szCs w:val="24"/>
                                  <w:lang w:eastAsia="lt-LT"/>
                                </w:rPr>
                                <w:t>33</w:t>
                              </w:r>
                            </w:sdtContent>
                          </w:sdt>
                          <w:r>
                            <w:rPr>
                              <w:color w:val="000000"/>
                              <w:szCs w:val="24"/>
                              <w:lang w:eastAsia="lt-LT"/>
                            </w:rPr>
                            <w:t>. Advokatai, kurie prireikus teikia antrinę teisinę pagalbą, tarnybai, priėmusiai sprendimą dėl antrinės teisinės pagalbos teikimo, pateikia prašymą išmokėti užmokestį už suteiktą antrinę teisinę pagalbą (toliau – prašymas), dokumentus, patvirtinančius antrinės teisinės pagalbos suteikimą (procesinius dokumentus, teismo sprendimus ir panašiai) ir patirtas Taisyklių 30 punkte nurodytas išlaidas, ne vėliau kaip per 6 mėnesius nuo bylos stadijos (procesinio veiksmo), kurioje suteikta antrinė teisinė pagalba, pabaigos. Jeigu advokatas dėl svarbių (objektyvių ir nuo advokato valios nepriklausančių) priežasčių praleidžia nurodytą 6 mėnesių terminą, jis turi prašyme nurodyti šias priežastis ir prie prašymo pridėti tai patvirtinančius įrodymus. Jeigu advokatas dokumentų, patvirtinančių antrinės teisinės pagalbos suteikimą, pateikti negali, tai gali patvirtinti antrinę teisinę pagalbą gavęs asmuo, ikiteisminio tyrimo pareigūnas, prokuroras ar teisėjas. Prašymo formą tvirtina teisingumo ministras. Prašymas gali būti siunčiamas paštu arba pateikiamas elektroninėmis ryšių priemonėmis, jeigu yra galimybė nustatyti advokato tapatybę. Prašyme turi būti nurodytas sprendimas, kuriuo remiantis buvo teikiama antrinė teisinė pagalba, aprašyta advokato suteikta antrinė teisinė pagalba ir nurodytas faktinis antrinės teisinės pagalbos teikimo laikas. Sprendimą dėl užmokesčio už suteiktą antrinę teisinę pagalbą išmokėjimo tarnyba priima ne vėliau kaip per 10</w:t>
                          </w:r>
                          <w:r>
                            <w:rPr>
                              <w:b/>
                              <w:color w:val="000000"/>
                              <w:szCs w:val="24"/>
                              <w:lang w:eastAsia="lt-LT"/>
                            </w:rPr>
                            <w:t xml:space="preserve"> </w:t>
                          </w:r>
                          <w:r>
                            <w:rPr>
                              <w:color w:val="000000"/>
                              <w:szCs w:val="24"/>
                              <w:lang w:eastAsia="lt-LT"/>
                            </w:rPr>
                            <w:t>darbo dienų nuo šiame punkte nurodytų dokumentų gavimo. Kilus abejonių dėl advokato pateiktame prašyme nurodytų duomenų, tarnyba turi teisę kreiptis į antrinę teisinę pagalbą gavusį asmenį, ikiteisminio tyrimo pareigūną, prokurorą ar teisėją ir patikrinti duomenis Lietuvos teismų informacinėje sistemoje. Tarnyba taip pat turi teisę per 5 darbo dienas nuo prašymo gavimo prašyti advokato pateikti papildomą informaciją ar dokumentus arba grąžinti prašymą, nurodydama trūkumus. Tokiu atveju sprendimą dėl užmokesčio už suteiktą antrinę teisinę pagalbą išmokėjimo tarnyba priima ne vėliau kaip per 7 darbo dienas nuo papildomos informacijos ar dokumentų arba pataisyto prašymo gavimo. Apie priimtą sprendimą tarnyba praneša advokatui. Užmokestis išmokamas ne vėliau kaip per 10</w:t>
                          </w:r>
                          <w:r>
                            <w:rPr>
                              <w:b/>
                              <w:color w:val="000000"/>
                              <w:szCs w:val="24"/>
                              <w:lang w:eastAsia="lt-LT"/>
                            </w:rPr>
                            <w:t xml:space="preserve"> </w:t>
                          </w:r>
                          <w:r>
                            <w:rPr>
                              <w:color w:val="000000"/>
                              <w:szCs w:val="24"/>
                              <w:lang w:eastAsia="lt-LT"/>
                            </w:rPr>
                            <w:t>darbo dienų nuo sprendimo priėmimo.“</w:t>
                          </w:r>
                        </w:p>
                      </w:sdtContent>
                    </w:sdt>
                  </w:sdtContent>
                </w:sdt>
              </w:sdtContent>
            </w:sdt>
            <w:sdt>
              <w:sdtPr>
                <w:alias w:val="2.11 pp."/>
                <w:tag w:val="part_80563bd369d24f23a435840fbb2e2d47"/>
                <w:lock w:val="sdtLocked"/>
                <w:richText/>
              </w:sdtPr>
              <w:sdtContent>
                <w:p w14:paraId="075592E5" w14:textId="20D01094">
                  <w:pPr>
                    <w:ind w:firstLine="851"/>
                    <w:jc w:val="both"/>
                    <w:rPr>
                      <w:color w:val="000000"/>
                      <w:szCs w:val="24"/>
                      <w:lang w:eastAsia="lt-LT"/>
                    </w:rPr>
                  </w:pPr>
                  <w:sdt>
                    <w:sdtPr>
                      <w:alias w:val="Numeris"/>
                      <w:tag w:val="nr_80563bd369d24f23a435840fbb2e2d47"/>
                      <w:lock w:val="sdtLocked"/>
                      <w:richText/>
                    </w:sdtPr>
                    <w:sdtContent>
                      <w:r>
                        <w:rPr>
                          <w:color w:val="000000"/>
                          <w:szCs w:val="24"/>
                          <w:lang w:eastAsia="lt-LT"/>
                        </w:rPr>
                        <w:t>2.11</w:t>
                      </w:r>
                    </w:sdtContent>
                  </w:sdt>
                  <w:r>
                    <w:rPr>
                      <w:color w:val="000000"/>
                      <w:szCs w:val="24"/>
                      <w:lang w:eastAsia="lt-LT"/>
                    </w:rPr>
                    <w:t>. Pakeisti 47 punktą ir jį išdėstyti taip:</w:t>
                  </w:r>
                </w:p>
                <w:sdt>
                  <w:sdtPr>
                    <w:alias w:val="citata"/>
                    <w:tag w:val="part_b9f710e64715472689178e01efa70526"/>
                    <w:lock w:val="sdtLocked"/>
                    <w:richText/>
                  </w:sdtPr>
                  <w:sdtContent>
                    <w:sdt>
                      <w:sdtPr>
                        <w:alias w:val="47 p."/>
                        <w:tag w:val="part_5aec6040181d4de78cfcbdf3ca316dd9"/>
                        <w:lock w:val="sdtLocked"/>
                        <w:richText/>
                      </w:sdtPr>
                      <w:sdtContent>
                        <w:p w14:paraId="78F10D64" w14:textId="306D9CCA">
                          <w:pPr>
                            <w:ind w:firstLine="851"/>
                            <w:jc w:val="both"/>
                            <w:rPr>
                              <w:color w:val="000000"/>
                              <w:szCs w:val="24"/>
                              <w:lang w:eastAsia="lt-LT"/>
                            </w:rPr>
                          </w:pPr>
                          <w:r>
                            <w:rPr>
                              <w:color w:val="000000"/>
                              <w:szCs w:val="24"/>
                              <w:lang w:eastAsia="lt-LT"/>
                            </w:rPr>
                            <w:t>„</w:t>
                          </w:r>
                          <w:sdt>
                            <w:sdtPr>
                              <w:alias w:val="Numeris"/>
                              <w:tag w:val="nr_5aec6040181d4de78cfcbdf3ca316dd9"/>
                              <w:lock w:val="sdtLocked"/>
                              <w:richText/>
                            </w:sdtPr>
                            <w:sdtContent>
                              <w:r>
                                <w:rPr>
                                  <w:color w:val="000000"/>
                                  <w:szCs w:val="24"/>
                                  <w:lang w:eastAsia="lt-LT"/>
                                </w:rPr>
                                <w:t>47</w:t>
                              </w:r>
                            </w:sdtContent>
                          </w:sdt>
                          <w:r>
                            <w:rPr>
                              <w:color w:val="000000"/>
                              <w:szCs w:val="24"/>
                              <w:lang w:eastAsia="lt-LT"/>
                            </w:rPr>
                            <w:t>. Mediatorius ne vėliau kaip per 6 mėnesius nuo neteisminės mediacijos pabaigos pateikia tarnybai prašymą išmokėti užmokestį už neteisminę mediaciją, dokumentus, patvirtinančius vykdytą neteisminę mediaciją ir patirtas Taisyklių 46 punkte nurodytas išlaidas. Jeigu mediatorius dėl svarbių (objektyvių ir nuo jo valios nepriklausančių) priežasčių praleidžia nurodytą 6 mėnesių terminą, jis turi prašyme išmokėti užmokestį už neteisminę mediaciją nurodyti šias priežastis ir prie šio prašymo pridėti tai patvirtinančius įrodymus. Prašymo išmokėti užmokestį už mediaciją formą tvirtina teisingumo ministras. Šis prašymas gali būti siunčiamas paštu arba teikiamas elektroninėmis ryšių priemonėmis, jeigu yra galimybė nustatyti mediatoriaus tapatybę. Prašyme turi būti nurodytas sprendimas, kuriuo remiantis buvo vykdoma neteisminė mediacija, aprašyti mediatoriaus veiksmai vykdant neteisminę mediaciją ir nurodytas faktinis mediacijos vykdymo laikas. Sprendimą dėl užmokesčio už neteisminę mediaciją išmokėjimo tarnyba priima ne vėliau kaip per 10</w:t>
                          </w:r>
                          <w:r>
                            <w:rPr>
                              <w:b/>
                              <w:color w:val="000000"/>
                              <w:szCs w:val="24"/>
                              <w:lang w:eastAsia="lt-LT"/>
                            </w:rPr>
                            <w:t xml:space="preserve"> </w:t>
                          </w:r>
                          <w:r>
                            <w:rPr>
                              <w:color w:val="000000"/>
                              <w:szCs w:val="24"/>
                              <w:lang w:eastAsia="lt-LT"/>
                            </w:rPr>
                            <w:t>darbo dienų nuo šiame punkte nurodytų dokumentų gavimo. Jeigu mediatoriaus pateiktame prašyme yra trūkumų, tarnyba turi teisę per 5 darbo dienas nuo prašymo gavimo prašyti mediatoriaus pateikti papildomą informaciją ar dokumentus arba grąžinti prašymą, nurodydama trūkumus. Tokiu atveju sprendimą dėl užmokesčio už neteisminę mediaciją išmokėjimo tarnyba priima ne vėliau kaip per 7 darbo dienas nuo papildomos informacijos ar pataisyto prašymo gavimo. Apie priimtą sprendimą tarnyba praneša mediatoriui. Užmokestis išmokamas ne vėliau kaip per 10</w:t>
                          </w:r>
                          <w:r>
                            <w:rPr>
                              <w:b/>
                              <w:color w:val="000000"/>
                              <w:szCs w:val="24"/>
                              <w:lang w:eastAsia="lt-LT"/>
                            </w:rPr>
                            <w:t xml:space="preserve"> </w:t>
                          </w:r>
                          <w:r>
                            <w:rPr>
                              <w:color w:val="000000"/>
                              <w:szCs w:val="24"/>
                              <w:lang w:eastAsia="lt-LT"/>
                            </w:rPr>
                            <w:t>darbo dienų nuo sprendimo priėmimo.“</w:t>
                          </w:r>
                        </w:p>
                      </w:sdtContent>
                    </w:sdt>
                  </w:sdtContent>
                </w:sdt>
              </w:sdtContent>
            </w:sdt>
          </w:sdtContent>
        </w:sdt>
        <w:sdt>
          <w:sdtPr>
            <w:alias w:val="3 p."/>
            <w:tag w:val="part_5edf77fc63d645d8af233bc67f3c30f4"/>
            <w:lock w:val="sdtLocked"/>
            <w:richText/>
          </w:sdtPr>
          <w:sdtContent>
            <w:p w14:paraId="176AC15A" w14:textId="6D02A429">
              <w:pPr>
                <w:ind w:firstLine="851"/>
                <w:jc w:val="both"/>
                <w:rPr>
                  <w:color w:val="000000"/>
                  <w:szCs w:val="24"/>
                  <w:lang w:eastAsia="lt-LT"/>
                </w:rPr>
              </w:pPr>
              <w:sdt>
                <w:sdtPr>
                  <w:alias w:val="Numeris"/>
                  <w:tag w:val="nr_5edf77fc63d645d8af233bc67f3c30f4"/>
                  <w:lock w:val="sdtLocked"/>
                  <w:richText/>
                </w:sdtPr>
                <w:sdtContent>
                  <w:r>
                    <w:rPr>
                      <w:color w:val="000000"/>
                      <w:szCs w:val="24"/>
                      <w:lang w:eastAsia="lt-LT"/>
                    </w:rPr>
                    <w:t>3</w:t>
                  </w:r>
                </w:sdtContent>
              </w:sdt>
              <w:r>
                <w:rPr>
                  <w:color w:val="000000"/>
                  <w:szCs w:val="24"/>
                  <w:lang w:eastAsia="lt-LT"/>
                </w:rPr>
                <w:t>. Nustatyti, kad:</w:t>
              </w:r>
            </w:p>
            <w:sdt>
              <w:sdtPr>
                <w:alias w:val="3.1 pp."/>
                <w:tag w:val="part_d032f07692854d7fa5ac1c6bb8349aff"/>
                <w:lock w:val="sdtLocked"/>
                <w:richText/>
              </w:sdtPr>
              <w:sdtContent>
                <w:p w14:paraId="758850D7" w14:textId="730B2B00">
                  <w:pPr>
                    <w:ind w:firstLine="851"/>
                    <w:jc w:val="both"/>
                    <w:rPr>
                      <w:color w:val="000000"/>
                      <w:szCs w:val="24"/>
                      <w:lang w:eastAsia="lt-LT"/>
                    </w:rPr>
                  </w:pPr>
                  <w:sdt>
                    <w:sdtPr>
                      <w:alias w:val="Numeris"/>
                      <w:tag w:val="nr_d032f07692854d7fa5ac1c6bb8349aff"/>
                      <w:lock w:val="sdtLocked"/>
                      <w:richText/>
                    </w:sdtPr>
                    <w:sdtContent>
                      <w:r>
                        <w:rPr>
                          <w:color w:val="000000"/>
                          <w:szCs w:val="24"/>
                          <w:lang w:eastAsia="lt-LT"/>
                        </w:rPr>
                        <w:t>3.1</w:t>
                      </w:r>
                    </w:sdtContent>
                  </w:sdt>
                  <w:r>
                    <w:rPr>
                      <w:color w:val="000000"/>
                      <w:szCs w:val="24"/>
                      <w:lang w:eastAsia="lt-LT"/>
                    </w:rPr>
                    <w:t>. Apskaičiuojant užmokestį už suteiktą antrinę teisinę pagalbą ar mediaciją, pradėtas teikti pagal sprendimus dėl antrinės teisinės pagalbos teikimo ar mediacijos vykdymo, priimtus iki šio nutarimo įsigaliojimo, taikomas iki šio nutarimo įsigaliojimo nustatytas užmokesčio bazinis dydis, išskyrus šio nutarimo 2.2 papunktyje nurodytą atvejį.</w:t>
                  </w:r>
                </w:p>
              </w:sdtContent>
            </w:sdt>
            <w:sdt>
              <w:sdtPr>
                <w:alias w:val="3.2 pp."/>
                <w:tag w:val="part_8e0ada995188471d94dd8b0e8009eb60"/>
                <w:lock w:val="sdtLocked"/>
                <w:richText/>
              </w:sdtPr>
              <w:sdtContent>
                <w:p w14:paraId="09923C53" w14:textId="7A4F26EB">
                  <w:pPr>
                    <w:ind w:firstLine="851"/>
                    <w:jc w:val="both"/>
                    <w:rPr>
                      <w:color w:val="000000"/>
                      <w:szCs w:val="24"/>
                      <w:lang w:eastAsia="lt-LT"/>
                    </w:rPr>
                  </w:pPr>
                  <w:sdt>
                    <w:sdtPr>
                      <w:alias w:val="Numeris"/>
                      <w:tag w:val="nr_8e0ada995188471d94dd8b0e8009eb60"/>
                      <w:lock w:val="sdtLocked"/>
                      <w:richText/>
                    </w:sdtPr>
                    <w:sdtContent>
                      <w:r>
                        <w:rPr>
                          <w:color w:val="000000"/>
                          <w:szCs w:val="24"/>
                          <w:lang w:eastAsia="lt-LT"/>
                        </w:rPr>
                        <w:t>3.2</w:t>
                      </w:r>
                    </w:sdtContent>
                  </w:sdt>
                  <w:r>
                    <w:rPr>
                      <w:color w:val="000000"/>
                      <w:szCs w:val="24"/>
                      <w:lang w:eastAsia="lt-LT"/>
                    </w:rPr>
                    <w:t>. Jeigu antrinė teisinė pagalba ar mediacija, pradėtos teikti pagal sprendimus dėl antrinės teisinės pagalbos teikimo ar mediacijos vykdymo, priimtus iki šio nutarimo įsigaliojimo, toliau teikiamos įsigaliojus šiam nutarimui, apskaičiuojant užmokestį už antrinę teisinę pagalbą ar mediaciją, suteiktą po šio nutarimo įsigaliojimo, taikomas šiuo nutarimu nustatytas užmokesčio bazinis dydis.</w:t>
                  </w:r>
                </w:p>
              </w:sdtContent>
            </w:sdt>
          </w:sdtContent>
        </w:sdt>
        <w:sdt>
          <w:sdtPr>
            <w:alias w:val="4 p."/>
            <w:tag w:val="part_fde5819c05c4433291791553eb2589c9"/>
            <w:lock w:val="sdtLocked"/>
            <w:richText/>
          </w:sdtPr>
          <w:sdtContent>
            <w:p w14:paraId="7A37A697" w14:textId="5D238454">
              <w:pPr>
                <w:ind w:firstLine="851"/>
                <w:jc w:val="both"/>
                <w:rPr>
                  <w:color w:val="000000"/>
                  <w:szCs w:val="24"/>
                  <w:lang w:eastAsia="lt-LT"/>
                </w:rPr>
              </w:pPr>
              <w:sdt>
                <w:sdtPr>
                  <w:alias w:val="Numeris"/>
                  <w:tag w:val="nr_fde5819c05c4433291791553eb2589c9"/>
                  <w:lock w:val="sdtLocked"/>
                  <w:richText/>
                </w:sdtPr>
                <w:sdtContent>
                  <w:r>
                    <w:rPr>
                      <w:color w:val="000000"/>
                      <w:szCs w:val="24"/>
                      <w:lang w:eastAsia="lt-LT"/>
                    </w:rPr>
                    <w:t>4</w:t>
                  </w:r>
                </w:sdtContent>
              </w:sdt>
              <w:r>
                <w:rPr>
                  <w:color w:val="000000"/>
                  <w:szCs w:val="24"/>
                  <w:lang w:eastAsia="lt-LT"/>
                </w:rPr>
                <w:t>. Šis nutarimas, išskyrus šio nutarimo 2.7 ir 2.8 papunkčius, įsigalioja 2020 m. sausio 1 d.</w:t>
              </w:r>
            </w:p>
            <w:p w14:paraId="32DDA630" w14:textId="77777777">
              <w:pPr>
                <w:spacing w:line="360" w:lineRule="atLeast"/>
                <w:jc w:val="both"/>
                <w:rPr>
                  <w:szCs w:val="24"/>
                  <w:lang w:eastAsia="lt-LT"/>
                </w:rPr>
              </w:pPr>
            </w:p>
          </w:sdtContent>
        </w:sdt>
        <w:sdt>
          <w:sdtPr>
            <w:alias w:val="signatura"/>
            <w:tag w:val="part_56487711e25d455785b97b01ae424e6f"/>
            <w:lock w:val="sdtLocked"/>
            <w:richText/>
          </w:sdtPr>
          <w:sdtContent>
            <w:p w14:paraId="43FED56F" w14:textId="77777777">
              <w:pPr>
                <w:spacing w:line="360" w:lineRule="atLeast"/>
                <w:jc w:val="both"/>
                <w:rPr>
                  <w:szCs w:val="24"/>
                  <w:lang w:eastAsia="lt-LT"/>
                </w:rPr>
              </w:pPr>
              <w:r>
                <w:rPr>
                  <w:szCs w:val="24"/>
                  <w:lang w:eastAsia="lt-LT"/>
                </w:rPr>
                <w:t xml:space="preserve">Ministras Pirmininkas </w:t>
                <w:tab/>
                <w:t xml:space="preserve"> </w:t>
              </w:r>
            </w:p>
            <w:p w14:paraId="224ED06D" w14:textId="77777777">
              <w:pPr>
                <w:spacing w:line="360" w:lineRule="atLeast"/>
                <w:jc w:val="both"/>
                <w:rPr>
                  <w:szCs w:val="24"/>
                  <w:lang w:eastAsia="lt-LT"/>
                </w:rPr>
              </w:pPr>
            </w:p>
            <w:p w14:paraId="189BE371" w14:textId="77777777">
              <w:pPr>
                <w:spacing w:line="360" w:lineRule="atLeast"/>
                <w:jc w:val="both"/>
                <w:rPr>
                  <w:rFonts w:ascii="NanumGothic" w:eastAsia="NanumGothic" w:hAnsi="NanumGothic"/>
                  <w:sz w:val="20"/>
                  <w:lang w:eastAsia="lt-LT"/>
                </w:rPr>
              </w:pPr>
              <w:r>
                <w:rPr>
                  <w:szCs w:val="24"/>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11A26" w14:textId="77777777">
      <w:pPr>
        <w:ind w:firstLine="720"/>
        <w:rPr>
          <w:rFonts w:ascii="Arial" w:eastAsia="Arial" w:hAnsi="Arial"/>
          <w:sz w:val="20"/>
          <w:lang w:eastAsia="lt-LT"/>
        </w:rPr>
      </w:pPr>
      <w:r>
        <w:rPr>
          <w:rFonts w:ascii="Arial" w:eastAsia="Arial" w:hAnsi="Arial"/>
          <w:sz w:val="20"/>
          <w:lang w:eastAsia="lt-LT"/>
        </w:rPr>
        <w:separator/>
      </w:r>
    </w:p>
  </w:endnote>
  <w:endnote w:type="continuationSeparator" w:id="0">
    <w:p w14:paraId="4A9FB2B0" w14:textId="77777777">
      <w:pPr>
        <w:ind w:firstLine="720"/>
        <w:rPr>
          <w:rFonts w:ascii="Arial" w:eastAsia="Arial" w:hAnsi="Arial"/>
          <w:sz w:val="20"/>
          <w:lang w:eastAsia="lt-LT"/>
        </w:rPr>
      </w:pPr>
      <w:r>
        <w:rPr>
          <w:rFonts w:ascii="Arial" w:eastAsia="Arial" w:hAnsi="Arial"/>
          <w:sz w:val="20"/>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anumGothic">
    <w:altName w:val="Arial Unicode MS"/>
    <w:charset w:val="00"/>
    <w:family w:val="auto"/>
    <w:pitch w:val="variable"/>
    <w:sig w:usb0="00000000" w:usb1="4000207B" w:usb2="00000000" w:usb3="00000000" w:csb0="FFFFFF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A911D" w14:textId="77777777">
    <w:pPr>
      <w:tabs>
        <w:tab w:val="center" w:pos="4819"/>
        <w:tab w:val="right" w:pos="9638"/>
      </w:tabs>
      <w:ind w:firstLine="720"/>
      <w:rPr>
        <w:rFonts w:ascii="Arial" w:eastAsia="Arial" w:hAnsi="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A007E" w14:textId="77777777">
    <w:pPr>
      <w:tabs>
        <w:tab w:val="center" w:pos="4819"/>
        <w:tab w:val="right" w:pos="9638"/>
      </w:tabs>
      <w:ind w:firstLine="720"/>
      <w:rPr>
        <w:rFonts w:ascii="Arial" w:eastAsia="Arial" w:hAnsi="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2D9A6" w14:textId="77777777">
    <w:pPr>
      <w:tabs>
        <w:tab w:val="center" w:pos="4819"/>
        <w:tab w:val="right" w:pos="9638"/>
      </w:tabs>
      <w:ind w:firstLine="720"/>
      <w:rPr>
        <w:rFonts w:ascii="Arial" w:eastAsia="Arial" w:hAnsi="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242A0" w14:textId="77777777">
      <w:pPr>
        <w:ind w:firstLine="720"/>
        <w:rPr>
          <w:rFonts w:ascii="Arial" w:eastAsia="Arial" w:hAnsi="Arial"/>
          <w:sz w:val="20"/>
          <w:lang w:eastAsia="lt-LT"/>
        </w:rPr>
      </w:pPr>
      <w:r>
        <w:rPr>
          <w:rFonts w:ascii="Arial" w:eastAsia="Arial" w:hAnsi="Arial"/>
          <w:sz w:val="20"/>
          <w:lang w:eastAsia="lt-LT"/>
        </w:rPr>
        <w:separator/>
      </w:r>
    </w:p>
  </w:footnote>
  <w:footnote w:type="continuationSeparator" w:id="0">
    <w:p w14:paraId="59AD9C0E" w14:textId="77777777">
      <w:pPr>
        <w:ind w:firstLine="720"/>
        <w:rPr>
          <w:rFonts w:ascii="Arial" w:eastAsia="Arial" w:hAnsi="Arial"/>
          <w:sz w:val="20"/>
          <w:lang w:eastAsia="lt-LT"/>
        </w:rPr>
      </w:pPr>
      <w:r>
        <w:rPr>
          <w:rFonts w:ascii="Arial" w:eastAsia="Arial" w:hAnsi="Arial"/>
          <w:sz w:val="20"/>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7BC88" w14:textId="77777777">
    <w:pPr>
      <w:tabs>
        <w:tab w:val="center" w:pos="4819"/>
        <w:tab w:val="right" w:pos="9638"/>
      </w:tabs>
      <w:ind w:firstLine="720"/>
      <w:rPr>
        <w:rFonts w:ascii="Arial" w:eastAsia="Arial" w:hAnsi="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9D3CF" w14:textId="7A5D22DC">
    <w:pPr>
      <w:tabs>
        <w:tab w:val="center" w:pos="4819"/>
        <w:tab w:val="right" w:pos="9638"/>
      </w:tabs>
      <w:ind w:firstLine="720"/>
      <w:jc w:val="center"/>
      <w:rPr>
        <w:rFonts w:ascii="Arial" w:eastAsia="Arial" w:hAnsi="Arial"/>
        <w:sz w:val="20"/>
        <w:lang w:eastAsia="lt-LT"/>
      </w:rPr>
    </w:pPr>
    <w:r>
      <w:rPr>
        <w:rFonts w:ascii="Arial" w:eastAsia="Arial" w:hAnsi="Arial"/>
        <w:sz w:val="20"/>
        <w:lang w:eastAsia="lt-LT"/>
      </w:rPr>
      <w:fldChar w:fldCharType="begin"/>
    </w:r>
    <w:r>
      <w:rPr>
        <w:rFonts w:ascii="Arial" w:eastAsia="Arial" w:hAnsi="Arial"/>
        <w:sz w:val="20"/>
        <w:lang w:eastAsia="lt-LT"/>
      </w:rPr>
      <w:instrText>PAGE  \* MERGEFORMAT</w:instrText>
    </w:r>
    <w:r>
      <w:rPr>
        <w:rFonts w:ascii="Arial" w:eastAsia="Arial" w:hAnsi="Arial"/>
        <w:sz w:val="20"/>
        <w:lang w:eastAsia="lt-LT"/>
      </w:rPr>
      <w:fldChar w:fldCharType="separate"/>
    </w:r>
    <w:r>
      <w:rPr>
        <w:szCs w:val="24"/>
        <w:lang w:eastAsia="lt-LT"/>
      </w:rPr>
      <w:t>4</w:t>
    </w:r>
    <w:r>
      <w:rPr>
        <w:rFonts w:ascii="Arial" w:eastAsia="Arial" w:hAnsi="Arial"/>
        <w:sz w:val="20"/>
        <w:lang w:eastAsia="lt-LT"/>
      </w:rPr>
      <w:fldChar w:fldCharType="end"/>
    </w:r>
  </w:p>
  <w:p w14:paraId="135FA79C" w14:textId="77777777">
    <w:pPr>
      <w:tabs>
        <w:tab w:val="center" w:pos="4819"/>
        <w:tab w:val="right" w:pos="9638"/>
      </w:tabs>
      <w:ind w:firstLine="720"/>
      <w:rPr>
        <w:rFonts w:ascii="Arial" w:eastAsia="Arial" w:hAnsi="Arial"/>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4E61E" w14:textId="77777777">
    <w:pPr>
      <w:tabs>
        <w:tab w:val="center" w:pos="4819"/>
        <w:tab w:val="right" w:pos="9638"/>
      </w:tabs>
      <w:ind w:firstLine="720"/>
      <w:rPr>
        <w:rFonts w:ascii="Arial" w:eastAsia="Arial" w:hAnsi="Arial"/>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bordersDoNotSurroundFooter/>
  <w:defaultTabStop w:val="1296"/>
  <w:hyphenationZone w:val="396"/>
  <w:doNotHyphenateCaps/>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07"/>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91846C"/>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51216293">
      <w:bodyDiv w:val="1"/>
      <w:marLeft w:val="0"/>
      <w:marRight w:val="0"/>
      <w:marTop w:val="0"/>
      <w:marBottom w:val="0"/>
      <w:divBdr>
        <w:top w:val="none" w:sz="0" w:space="0" w:color="auto"/>
        <w:left w:val="none" w:sz="0" w:space="0" w:color="auto"/>
        <w:bottom w:val="none" w:sz="0" w:space="0" w:color="auto"/>
        <w:right w:val="none" w:sz="0" w:space="0" w:color="auto"/>
      </w:divBdr>
    </w:div>
    <w:div w:id="1113672363">
      <w:bodyDiv w:val="1"/>
      <w:marLeft w:val="0"/>
      <w:marRight w:val="0"/>
      <w:marTop w:val="0"/>
      <w:marBottom w:val="0"/>
      <w:divBdr>
        <w:top w:val="none" w:sz="0" w:space="0" w:color="auto"/>
        <w:left w:val="none" w:sz="0" w:space="0" w:color="auto"/>
        <w:bottom w:val="none" w:sz="0" w:space="0" w:color="auto"/>
        <w:right w:val="none" w:sz="0" w:space="0" w:color="auto"/>
      </w:divBdr>
    </w:div>
    <w:div w:id="1484009181">
      <w:bodyDiv w:val="1"/>
      <w:marLeft w:val="0"/>
      <w:marRight w:val="0"/>
      <w:marTop w:val="0"/>
      <w:marBottom w:val="0"/>
      <w:divBdr>
        <w:top w:val="none" w:sz="0" w:space="0" w:color="auto"/>
        <w:left w:val="none" w:sz="0" w:space="0" w:color="auto"/>
        <w:bottom w:val="none" w:sz="0" w:space="0" w:color="auto"/>
        <w:right w:val="none" w:sz="0" w:space="0" w:color="auto"/>
      </w:divBdr>
    </w:div>
    <w:div w:id="1679649475">
      <w:bodyDiv w:val="1"/>
      <w:marLeft w:val="0"/>
      <w:marRight w:val="0"/>
      <w:marTop w:val="0"/>
      <w:marBottom w:val="0"/>
      <w:divBdr>
        <w:top w:val="none" w:sz="0" w:space="0" w:color="auto"/>
        <w:left w:val="none" w:sz="0" w:space="0" w:color="auto"/>
        <w:bottom w:val="none" w:sz="0" w:space="0" w:color="auto"/>
        <w:right w:val="none" w:sz="0" w:space="0" w:color="auto"/>
      </w:divBdr>
      <w:divsChild>
        <w:div w:id="386881671">
          <w:marLeft w:val="0"/>
          <w:marRight w:val="0"/>
          <w:marTop w:val="0"/>
          <w:marBottom w:val="0"/>
          <w:divBdr>
            <w:top w:val="none" w:sz="0" w:space="0" w:color="auto"/>
            <w:left w:val="none" w:sz="0" w:space="0" w:color="auto"/>
            <w:bottom w:val="none" w:sz="0" w:space="0" w:color="auto"/>
            <w:right w:val="none" w:sz="0" w:space="0" w:color="auto"/>
          </w:divBdr>
          <w:divsChild>
            <w:div w:id="142016686">
              <w:marLeft w:val="0"/>
              <w:marRight w:val="0"/>
              <w:marTop w:val="0"/>
              <w:marBottom w:val="0"/>
              <w:divBdr>
                <w:top w:val="none" w:sz="0" w:space="0" w:color="auto"/>
                <w:left w:val="none" w:sz="0" w:space="0" w:color="auto"/>
                <w:bottom w:val="none" w:sz="0" w:space="0" w:color="auto"/>
                <w:right w:val="none" w:sz="0" w:space="0" w:color="auto"/>
              </w:divBdr>
              <w:divsChild>
                <w:div w:id="839739483">
                  <w:marLeft w:val="0"/>
                  <w:marRight w:val="0"/>
                  <w:marTop w:val="0"/>
                  <w:marBottom w:val="0"/>
                  <w:divBdr>
                    <w:top w:val="none" w:sz="0" w:space="0" w:color="auto"/>
                    <w:left w:val="none" w:sz="0" w:space="0" w:color="auto"/>
                    <w:bottom w:val="none" w:sz="0" w:space="0" w:color="auto"/>
                    <w:right w:val="none" w:sz="0" w:space="0" w:color="auto"/>
                  </w:divBdr>
                  <w:divsChild>
                    <w:div w:id="810749747">
                      <w:marLeft w:val="0"/>
                      <w:marRight w:val="0"/>
                      <w:marTop w:val="0"/>
                      <w:marBottom w:val="0"/>
                      <w:divBdr>
                        <w:top w:val="none" w:sz="0" w:space="0" w:color="auto"/>
                        <w:left w:val="none" w:sz="0" w:space="0" w:color="auto"/>
                        <w:bottom w:val="none" w:sz="0" w:space="0" w:color="auto"/>
                        <w:right w:val="none" w:sz="0" w:space="0" w:color="auto"/>
                      </w:divBdr>
                      <w:divsChild>
                        <w:div w:id="662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068b39f7928441408981d60b87f4fb6b" PartId="f74e5f6b1e09409f83b450f87dc3a377">
    <Part Type="preambule" DocPartId="5e9630f618e3414480cc1a0fc16a7b95" PartId="7609046e89c946509b2063aaae751220"/>
    <Part Type="punktas" Nr="1" Abbr="1 p." DocPartId="caee0d8491a64a97b27f19cc03693429" PartId="49f2e55601a54b13be8f4fdf563fcb5e">
      <Part Type="citata" DocPartId="5cdd12feb6a74c65b37cd3a59b2f945a" PartId="9213cb1431b84bd0b23f3e517e957f2d">
        <Part Type="papunktis" Nr="2.1" Abbr="2.1 pp." DocPartId="ce0d30f8770f4401ad4fabf3106ec25d" PartId="a80603f092ef4479b396767087b92c35"/>
      </Part>
    </Part>
    <Part Type="punktas" Nr="2" Abbr="2 p." DocPartId="6516bc4c73a0490095430ee1fe75023c" PartId="a315f56446f045a58939c30d56f00208">
      <Part Type="papunktis" Nr="2.1" Abbr="2.1 pp." DocPartId="0cba1e7c68b446b6a3f83cef6fcf6c56" PartId="405582c38f094003aa617eff052130bc">
        <Part Type="citata" DocPartId="e966b5aee0d943c3b04e76ca1fb34496" PartId="7d77312898a14175ab78ce505cc9f0e7">
          <Part Type="papunktis" Nr="3.1" Abbr="3.1 pp." DocPartId="a678334da72745d5b8b6ee2da68a521a" PartId="c44f29ef5f4c42daa2ebdc2a533edcd7"/>
        </Part>
      </Part>
      <Part Type="papunktis" Nr="2.2" Abbr="2.2 pp." DocPartId="e7814ca80eea436eb19aa87bdb83ea9c" PartId="7404d5b102c74493949261b898460728">
        <Part Type="citata" DocPartId="1ff3189f5238464a8288689454662ec9" PartId="93af9decf7064fa2a05dd0267a1d75e1">
          <Part Type="punktas" Nr="4" Abbr="4 p." DocPartId="e889390e8517409d9edbfb50d3585af8" PartId="942130828d2041259e9f048a4ee71161"/>
        </Part>
      </Part>
      <Part Type="papunktis" Nr="2.3" Abbr="2.3 pp." DocPartId="624f44faebdf4e6ba9a77efe10c9a886" PartId="d3a9d0cb198144f5a8f8ef33f9ce190f">
        <Part Type="citata" DocPartId="3c113ee8cc6d454b8a852266405bcda1" PartId="094a29e30b6145d6b515a8a82efc03e6">
          <Part Type="punktas" Nr="7" Abbr="7 p." DocPartId="d6bf5cfc8afa4a6c951dd777fe1b52dd" PartId="2f3c5c695172481990f9802b6eab541b"/>
        </Part>
      </Part>
      <Part Type="papunktis" Nr="2.4" Abbr="2.4 pp." DocPartId="91682597525544eeaa888dc34cc571a9" PartId="8a5690e40b7e4752a1794a3faee19596"/>
      <Part Type="papunktis" Nr="2.5" Abbr="2.5 pp." DocPartId="92463b0ba06f452a897b387e87f097d8" PartId="0f086a403adc44a785a021b12a38a3d3">
        <Part Type="citata" DocPartId="b6d827506f8f4ef2bf6c2c6bb9eda532" PartId="13eb9bd65f004662871622c5be2d3850">
          <Part Type="punktas" Nr="9-1" Abbr="9-1 p." DocPartId="9907d897428b4870ac9adc46b83356ec" PartId="52dfe278112346f7b6b7c9eeefc465dd"/>
        </Part>
      </Part>
      <Part Type="papunktis" Nr="2.6" Abbr="2.6 pp." DocPartId="af391d0db3b840708e55018120756141" PartId="66ec28fc7e9645c689f66532c6c4304d">
        <Part Type="citata" DocPartId="e92665cb5f8147478af574de578c389d" PartId="99f01eb9ec5b433993a8ed04e42f2b8d">
          <Part Type="punktas" Nr="9-2" Abbr="9-2 p." DocPartId="28ab4c0230ee438984b4abdd5b6e79f3" PartId="f657726ed5d644f69873b5ab48c04c5d"/>
        </Part>
      </Part>
      <Part Type="papunktis" Nr="2.7" Abbr="2.7 pp." DocPartId="244a44774fe54eceb0041f84e9284f46" PartId="df0447fd66f74b978fbb381d638d9ce3">
        <Part Type="citata" DocPartId="85db19c20c3246578baccd4ecf85ffd4" PartId="117a3778468a4ad2af60512d3fc59c65">
          <Part Type="punktas" Nr="11" Abbr="11 p." DocPartId="3e0d67ce6d8d42d49bcb19ef7684b350" PartId="be41b09cdf1347bb91c781556c5e9997"/>
        </Part>
      </Part>
      <Part Type="papunktis" Nr="2.8" Abbr="2.8 pp." DocPartId="278763142d5843899936b433c09543d6" PartId="2d81162ee14e4aafac697565da411224">
        <Part Type="citata" DocPartId="b475197786044c77a6ecd2186523c56e" PartId="f3ea65d36a4d4a31a3f8e9ee6ca1f50d">
          <Part Type="punktas" Nr="11-1" Abbr="11-1 p." DocPartId="593ad1e0ea70441089c95db4ecfc366a" PartId="10d51b5fb8204fb28723f988c15f3cde"/>
        </Part>
      </Part>
      <Part Type="papunktis" Nr="2.9" Abbr="2.9 pp." DocPartId="641f0e9824234457a1a6e4a56791d6b3" PartId="e69f84cfb98f4b52a01f0fcdb82b4b12">
        <Part Type="citata" DocPartId="7237d72e10dc47d0a455a76e70b3583a" PartId="1dbfe2ef71064d008b41934ec7aad27d">
          <Part Type="punktas" Nr="32" Abbr="32 p." DocPartId="91e445629c37459d8a38ab47fdfdc6c6" PartId="0d228af166df45d393d838f6138dda16"/>
        </Part>
      </Part>
      <Part Type="papunktis" Nr="2.10" Abbr="2.10 pp." DocPartId="7ee900574e6d45e5a4251b7845dbebf7" PartId="6e23c38097e84b98b8876a6861013fd1">
        <Part Type="citata" DocPartId="19dee4d0fccd45f391d655b4985b2d31" PartId="2a9d13b013294f29b6ee1c05451f1784">
          <Part Type="punktas" Nr="33" Abbr="33 p." DocPartId="5b2723681feb4bb98079497ae829d452" PartId="a1e091cab8164878b9add951a3364b62"/>
        </Part>
      </Part>
      <Part Type="papunktis" Nr="2.11" Abbr="2.11 pp." DocPartId="05c48496268f4422a26375d5ba013ea6" PartId="80563bd369d24f23a435840fbb2e2d47">
        <Part Type="citata" DocPartId="72da5fdd40404ea6bd0451d43da403a4" PartId="b9f710e64715472689178e01efa70526">
          <Part Type="punktas" Nr="47" Abbr="47 p." DocPartId="ffebb9d29eb7464d897b96cafa6df0e0" PartId="5aec6040181d4de78cfcbdf3ca316dd9"/>
        </Part>
      </Part>
    </Part>
    <Part Type="punktas" Nr="3" Abbr="3 p." DocPartId="e93053c506294962946841e715155740" PartId="5edf77fc63d645d8af233bc67f3c30f4">
      <Part Type="papunktis" Nr="3.1" Abbr="3.1 pp." DocPartId="7d337c0acd2146f99bae0ed941fc9088" PartId="d032f07692854d7fa5ac1c6bb8349aff"/>
      <Part Type="papunktis" Nr="3.2" Abbr="3.2 pp." DocPartId="03823a17500e4507bdbf7fd35784a509" PartId="8e0ada995188471d94dd8b0e8009eb60"/>
    </Part>
    <Part Type="punktas" Nr="4" Abbr="4 p." DocPartId="89ac7eb24640495e97b64bff403a6f38" PartId="fde5819c05c4433291791553eb2589c9"/>
    <Part Type="signatura" DocPartId="e5f1b5bf519d42ffbc142fa872a4e301" PartId="56487711e25d455785b97b01ae424e6f"/>
  </Part>
</Parts>
</file>

<file path=customXml/itemProps1.xml><?xml version="1.0" encoding="utf-8"?>
<ds:datastoreItem xmlns:ds="http://schemas.openxmlformats.org/officeDocument/2006/customXml" ds:itemID="{21348B2E-F7D1-44D2-8376-1C7A99B18BB3}">
  <ds:schemaRefs>
    <ds:schemaRef ds:uri="http://schemas.openxmlformats.org/officeDocument/2006/bibliography"/>
  </ds:schemaRefs>
</ds:datastoreItem>
</file>

<file path=customXml/itemProps2.xml><?xml version="1.0" encoding="utf-8"?>
<ds:datastoreItem xmlns:ds="http://schemas.openxmlformats.org/officeDocument/2006/customXml" ds:itemID="{4B04AC43-8949-41AB-8420-EE926ABB3F7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1557</Words>
  <Characters>10716</Characters>
  <Application>Microsoft Office Word</Application>
  <DocSecurity>4</DocSecurity>
  <Lines>159</Lines>
  <Paragraphs>42</Paragraphs>
  <MMClips>0</MMClips>
  <ScaleCrop>false</ScaleCrop>
  <HeadingPairs>
    <vt:vector size="4" baseType="variant">
      <vt:variant>
        <vt:lpstr>Pavadinimas</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12231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2019-12-02T15:30:00Z</dcterms:created>
  <dc:creator>V.Rudenaite</dc:creator>
  <cp:lastModifiedBy>Asseco</cp:lastModifiedBy>
  <dcterms:modified xsi:type="dcterms:W3CDTF">2019-12-02T15:30:00Z</dcterms:modified>
  <cp:revision>2</cp:revision>
</cp:coreProperties>
</file>