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372" w:rsidRPr="009E451C" w:rsidRDefault="00190372" w:rsidP="00190372">
      <w:pPr>
        <w:pStyle w:val="Antrat2"/>
        <w:tabs>
          <w:tab w:val="left" w:pos="851"/>
        </w:tabs>
        <w:ind w:right="-1"/>
        <w:rPr>
          <w:szCs w:val="24"/>
        </w:rPr>
      </w:pPr>
      <w:r w:rsidRPr="009E451C">
        <w:rPr>
          <w:szCs w:val="24"/>
        </w:rPr>
        <w:t>DERINIMO</w:t>
      </w:r>
      <w:r>
        <w:rPr>
          <w:szCs w:val="24"/>
        </w:rPr>
        <w:t xml:space="preserve"> </w:t>
      </w:r>
      <w:r w:rsidRPr="009E451C">
        <w:rPr>
          <w:szCs w:val="24"/>
        </w:rPr>
        <w:t>PAŽYMA</w:t>
      </w:r>
    </w:p>
    <w:p w:rsidR="005F2880" w:rsidRPr="005F2880" w:rsidRDefault="005F2880" w:rsidP="005F2880">
      <w:pPr>
        <w:pStyle w:val="Antrat2"/>
        <w:tabs>
          <w:tab w:val="left" w:pos="851"/>
        </w:tabs>
        <w:ind w:right="-1"/>
        <w:rPr>
          <w:szCs w:val="24"/>
        </w:rPr>
      </w:pPr>
      <w:r w:rsidRPr="005F2880">
        <w:rPr>
          <w:szCs w:val="24"/>
        </w:rPr>
        <w:t xml:space="preserve">DĖL LIETUVOS RESPUBLIKOS VYRIAUSYBĖS 1999 M. SAUSIO 22 D. NUTARIMO NR. 78 „DĖL PREKIŲ VEŽIMO, LAIKYMO IR TIKRINIMO KLAIPĖDOS VALSTYBINIO JŪRŲ UOSTO PASIENIO KONTROLĖS PUNKTŲ TERITORIJOJE ESANČIOSE MUITINĖS PRIŽIŪRIMOSE UOSTO KOMPLEKSO ZONOSE TAISYKLIŲ PATVIRTINIMO“ PAKEITIMO PROJEKTO (toliau – Projektas Nr. 1), </w:t>
      </w:r>
    </w:p>
    <w:p w:rsidR="005F2880" w:rsidRPr="005F2880" w:rsidRDefault="005F2880" w:rsidP="005F2880">
      <w:pPr>
        <w:pStyle w:val="Antrat2"/>
        <w:tabs>
          <w:tab w:val="left" w:pos="851"/>
        </w:tabs>
        <w:ind w:right="-1"/>
        <w:rPr>
          <w:szCs w:val="24"/>
        </w:rPr>
      </w:pPr>
      <w:r w:rsidRPr="005F2880">
        <w:rPr>
          <w:szCs w:val="24"/>
        </w:rPr>
        <w:t>VYRIAUSYBĖS 2001 M. BALANDŽIO 30 D. NUTARIMO NR. 490 „DĖL KLAIPĖDOS VALSTYBINIO JŪRŲ UOSTO KOMPLEKSINIO SAUGOS PLANO PATVIRTINIMO“ PAKEITIMO PROJEKTO (toliau – Projektas Nr. 2),</w:t>
      </w:r>
    </w:p>
    <w:p w:rsidR="005F2880" w:rsidRPr="005F2880" w:rsidRDefault="005F2880" w:rsidP="005F2880">
      <w:pPr>
        <w:pStyle w:val="Antrat2"/>
        <w:tabs>
          <w:tab w:val="left" w:pos="851"/>
        </w:tabs>
        <w:ind w:right="-1"/>
        <w:rPr>
          <w:szCs w:val="24"/>
        </w:rPr>
      </w:pPr>
      <w:r w:rsidRPr="005F2880">
        <w:rPr>
          <w:szCs w:val="24"/>
        </w:rPr>
        <w:t xml:space="preserve"> VYRIAUSYBĖS 2004 M. SAUSIO 28 D. NUTARIMO NR. 90 „DĖL LIETUVOS RESPUBLIKOS JŪRŲ UOSTŲ, ŠIŲ UOSTŲ INFRASTRUKTŪROS IR SUPRASTRUKTŪROS ĮRENGINIŲ (TERMINALŲ) BEI LAIVŲ APSAUGOS STIPRINIMO“ PAKEITIMO PROJEKTO (toliau – Projektas Nr. 3), </w:t>
      </w:r>
    </w:p>
    <w:p w:rsidR="005F2880" w:rsidRPr="005F2880" w:rsidRDefault="005F2880" w:rsidP="005F2880">
      <w:pPr>
        <w:pStyle w:val="Antrat2"/>
        <w:tabs>
          <w:tab w:val="left" w:pos="851"/>
        </w:tabs>
        <w:ind w:right="-1"/>
        <w:rPr>
          <w:szCs w:val="24"/>
        </w:rPr>
      </w:pPr>
      <w:r w:rsidRPr="005F2880">
        <w:rPr>
          <w:szCs w:val="24"/>
        </w:rPr>
        <w:t xml:space="preserve">DĖL VALSTYBĖS SIENOS ĮGALIOTINIO, JO PAVADUOTOJŲ IR PADĖJĖJŲ PASKYRIMO PROJEKTO (toliau – Projektas Nr. 4), </w:t>
      </w:r>
    </w:p>
    <w:p w:rsidR="005F2880" w:rsidRPr="005F2880" w:rsidRDefault="005F2880" w:rsidP="005F2880">
      <w:pPr>
        <w:pStyle w:val="Antrat2"/>
        <w:tabs>
          <w:tab w:val="left" w:pos="851"/>
        </w:tabs>
        <w:ind w:right="-1"/>
        <w:rPr>
          <w:szCs w:val="24"/>
        </w:rPr>
      </w:pPr>
      <w:r w:rsidRPr="005F2880">
        <w:rPr>
          <w:szCs w:val="24"/>
        </w:rPr>
        <w:t xml:space="preserve">VYRIAUSYBĖS 2008 M. BIRŽELIO 11 D. NUTARIMO NR. 563 „DĖL LAIVŲ, ĮTARIAMŲ APLINKOS APSAUGĄ IR GAMTOS IŠTEKLIŲ NAUDOJIMĄ REGLAMENTUOJANČIŲ TEISĖS AKTŲ PAŽEIDIMU, STABDYMO LIETUVOS RESPUBLIKOS TERITORINĖJE JŪROJE, LIETUVOS RESPUBLIKOS IŠSKIRTINĖJE EKONOMINĖJE ZONOJE IR LIETUVOS RESPUBLIKOS VIDAUS VANDENYSE TVARKOS APRAŠO PATVIRTINIMO“ PAKEITIMO PROJEKTO (toliau –  Projektas Nr. 5), </w:t>
      </w:r>
    </w:p>
    <w:p w:rsidR="005F2880" w:rsidRPr="005F2880" w:rsidRDefault="005F2880" w:rsidP="005F2880">
      <w:pPr>
        <w:pStyle w:val="Antrat2"/>
        <w:tabs>
          <w:tab w:val="left" w:pos="851"/>
        </w:tabs>
        <w:ind w:right="-1"/>
        <w:rPr>
          <w:szCs w:val="24"/>
        </w:rPr>
      </w:pPr>
      <w:r w:rsidRPr="005F2880">
        <w:rPr>
          <w:szCs w:val="24"/>
        </w:rPr>
        <w:t xml:space="preserve">VYRIAUSYBĖS 2012 M. SPALIO 10 D. NUTARIMO NR. 1228 „DĖL VALSTYBĖS SIENOS ĮGALIOTINIO IR JO PAVADUOTOJŲ PASKYRIMO“ PAKEITIMO PROJEKTO (toliau – Projektas Nr. 6) </w:t>
      </w:r>
    </w:p>
    <w:p w:rsidR="00190372" w:rsidRDefault="005F2880" w:rsidP="005F2880">
      <w:pPr>
        <w:pStyle w:val="Antrat2"/>
        <w:tabs>
          <w:tab w:val="left" w:pos="851"/>
        </w:tabs>
        <w:ind w:right="-1"/>
        <w:rPr>
          <w:szCs w:val="24"/>
        </w:rPr>
      </w:pPr>
      <w:r w:rsidRPr="005F2880">
        <w:rPr>
          <w:szCs w:val="24"/>
        </w:rPr>
        <w:t>IR VYRIAUSYBĖS 2015 M. VASARIO 9 D. NUTARIMO NR. 137 „DĖL IGNALINOS ATOMINĖS ELEKTRINĖS EKSPLOATAVIMO NUTRAUKIMO TARPINSTITUCINIO VEIKLOS PLANO PATVIRTINIMO“ PAKEITIMO PROJEKTO (toliau – Projektas Nr. 7)</w:t>
      </w:r>
    </w:p>
    <w:p w:rsidR="00263E29" w:rsidRPr="00263E29" w:rsidRDefault="00263E29" w:rsidP="00263E29">
      <w:pPr>
        <w:jc w:val="center"/>
        <w:rPr>
          <w:b/>
          <w:lang w:eastAsia="en-US"/>
        </w:rPr>
      </w:pPr>
      <w:r w:rsidRPr="00263E29">
        <w:rPr>
          <w:b/>
          <w:lang w:eastAsia="en-US"/>
        </w:rPr>
        <w:t>(toliau kartu – projektai)</w:t>
      </w:r>
    </w:p>
    <w:p w:rsidR="00190372" w:rsidRDefault="00190372" w:rsidP="00190372">
      <w:pPr>
        <w:tabs>
          <w:tab w:val="left" w:pos="4962"/>
        </w:tabs>
      </w:pPr>
    </w:p>
    <w:p w:rsidR="00190372" w:rsidRPr="009E451C" w:rsidRDefault="00190372" w:rsidP="00190372">
      <w:pPr>
        <w:tabs>
          <w:tab w:val="left" w:pos="4962"/>
        </w:tabs>
      </w:pPr>
    </w:p>
    <w:p w:rsidR="00C6057A" w:rsidRDefault="00C6057A"/>
    <w:tbl>
      <w:tblPr>
        <w:tblW w:w="14939"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4800"/>
        <w:gridCol w:w="8579"/>
      </w:tblGrid>
      <w:tr w:rsidR="00190372" w:rsidRPr="009E451C" w:rsidTr="00036732">
        <w:trPr>
          <w:cantSplit/>
          <w:trHeight w:val="847"/>
          <w:tblHeader/>
        </w:trPr>
        <w:tc>
          <w:tcPr>
            <w:tcW w:w="1560" w:type="dxa"/>
          </w:tcPr>
          <w:p w:rsidR="00190372" w:rsidRPr="00A9700E" w:rsidRDefault="00190372" w:rsidP="001D4B22">
            <w:pPr>
              <w:tabs>
                <w:tab w:val="left" w:pos="4962"/>
              </w:tabs>
              <w:jc w:val="center"/>
              <w:rPr>
                <w:b/>
                <w:sz w:val="22"/>
                <w:szCs w:val="22"/>
              </w:rPr>
            </w:pPr>
            <w:r w:rsidRPr="00A9700E">
              <w:rPr>
                <w:b/>
                <w:sz w:val="22"/>
                <w:szCs w:val="22"/>
              </w:rPr>
              <w:lastRenderedPageBreak/>
              <w:t>Institucijos pavadinimas, rašto data, numeris</w:t>
            </w:r>
          </w:p>
        </w:tc>
        <w:tc>
          <w:tcPr>
            <w:tcW w:w="4800" w:type="dxa"/>
          </w:tcPr>
          <w:p w:rsidR="00190372" w:rsidRPr="00A9700E" w:rsidRDefault="00190372" w:rsidP="001D4B22">
            <w:pPr>
              <w:tabs>
                <w:tab w:val="left" w:pos="4962"/>
              </w:tabs>
              <w:jc w:val="center"/>
              <w:rPr>
                <w:b/>
                <w:sz w:val="22"/>
                <w:szCs w:val="22"/>
              </w:rPr>
            </w:pPr>
            <w:r w:rsidRPr="00A9700E">
              <w:rPr>
                <w:b/>
                <w:sz w:val="22"/>
                <w:szCs w:val="22"/>
              </w:rPr>
              <w:t>Pastabos ir pasiūlymai</w:t>
            </w:r>
          </w:p>
        </w:tc>
        <w:tc>
          <w:tcPr>
            <w:tcW w:w="8579" w:type="dxa"/>
          </w:tcPr>
          <w:p w:rsidR="00190372" w:rsidRPr="00A9700E" w:rsidRDefault="00190372" w:rsidP="001D4B22">
            <w:pPr>
              <w:spacing w:before="100" w:beforeAutospacing="1" w:after="100" w:afterAutospacing="1"/>
              <w:jc w:val="center"/>
              <w:rPr>
                <w:sz w:val="22"/>
                <w:szCs w:val="22"/>
              </w:rPr>
            </w:pPr>
            <w:r w:rsidRPr="00A9700E">
              <w:rPr>
                <w:b/>
                <w:bCs/>
                <w:color w:val="0D0D0D"/>
                <w:sz w:val="22"/>
                <w:szCs w:val="22"/>
              </w:rPr>
              <w:t>Žyma apie pastabas ir pasiūlymus, į kuriuos</w:t>
            </w:r>
            <w:r w:rsidRPr="00A9700E">
              <w:rPr>
                <w:b/>
                <w:bCs/>
                <w:color w:val="0D0D0D"/>
                <w:sz w:val="22"/>
                <w:szCs w:val="22"/>
              </w:rPr>
              <w:br/>
              <w:t xml:space="preserve">buvo atsižvelgta iš dalies arba nebuvo atsižvelgta </w:t>
            </w:r>
          </w:p>
          <w:p w:rsidR="00190372" w:rsidRPr="009E451C" w:rsidRDefault="00190372" w:rsidP="001D4B22">
            <w:pPr>
              <w:tabs>
                <w:tab w:val="left" w:pos="4962"/>
              </w:tabs>
              <w:jc w:val="center"/>
              <w:rPr>
                <w:b/>
              </w:rPr>
            </w:pPr>
          </w:p>
        </w:tc>
      </w:tr>
      <w:tr w:rsidR="00190372" w:rsidRPr="009E451C" w:rsidTr="00C6057A">
        <w:trPr>
          <w:cantSplit/>
          <w:trHeight w:val="5515"/>
        </w:trPr>
        <w:tc>
          <w:tcPr>
            <w:tcW w:w="1560" w:type="dxa"/>
            <w:vMerge w:val="restart"/>
            <w:tcBorders>
              <w:top w:val="single" w:sz="4" w:space="0" w:color="000000"/>
            </w:tcBorders>
          </w:tcPr>
          <w:p w:rsidR="00190372" w:rsidRPr="009E451C" w:rsidRDefault="00C6057A" w:rsidP="001D4B22">
            <w:pPr>
              <w:tabs>
                <w:tab w:val="left" w:pos="4962"/>
              </w:tabs>
            </w:pPr>
            <w:r>
              <w:t>L</w:t>
            </w:r>
            <w:r w:rsidR="005F2880">
              <w:t>ietuvos Respublikos Vyriausybės kanceliarijos Teisės grupės 2020 m. vasario21 d. išvada Nr. NV-503</w:t>
            </w:r>
          </w:p>
        </w:tc>
        <w:tc>
          <w:tcPr>
            <w:tcW w:w="4800" w:type="dxa"/>
            <w:tcBorders>
              <w:top w:val="single" w:sz="4" w:space="0" w:color="000000"/>
              <w:bottom w:val="single" w:sz="4" w:space="0" w:color="auto"/>
            </w:tcBorders>
          </w:tcPr>
          <w:p w:rsidR="00190372" w:rsidRPr="009E451C" w:rsidRDefault="004C116C" w:rsidP="00190372">
            <w:pPr>
              <w:jc w:val="both"/>
            </w:pPr>
            <w:r>
              <w:t xml:space="preserve">1. </w:t>
            </w:r>
            <w:r w:rsidR="00263E29" w:rsidRPr="00263E29">
              <w:t>Projekto Nr. 1 1 punkte  ir kituose punktuose duodamos nuorodos į Europos Sąjungos teisės (toliau – ES) aktus turi būti dėstomos atsižvelgiant į Europos Sąjungos teisės aktų nuorodų pateikimo įstatymuose ir kituose teisės aktuose rekomendacijas, patvirtintas Europos teisės departamento prie Lietuvos Respublikos Vyriausybės generalinio direktoriaus 2002 m. gruodžio 13 d. įsakymu Nr. 106k (su ES teisės aktų paskutiniais pakeitimais). Taip pat Susisiekimo ministerijai siūlome įvertinant poreikį keisti šiuo aspektu ir Vyriausybės 1999 m. sausio 22 d. nutarimo Nr. 78 preambulę ir šiuo nutarimu patvirtintas taisykles bei įvertinti tai, ar šių ES teisės aktų pakeitimai nereikalauja jų įgyvendinimo. Atsižvelgiant į Teisingumo ministerijos kompetenciją dėl ES teisės įgyvendinimo koordinavimo, manome, kad Projektas Nr. 1 ir kiti Projektai, kurie susiję su šiuo reguliavimu, turi būti suderinti su Teisingumo ministerija.</w:t>
            </w:r>
          </w:p>
        </w:tc>
        <w:tc>
          <w:tcPr>
            <w:tcW w:w="8579" w:type="dxa"/>
            <w:tcBorders>
              <w:top w:val="single" w:sz="4" w:space="0" w:color="000000"/>
              <w:bottom w:val="single" w:sz="4" w:space="0" w:color="auto"/>
            </w:tcBorders>
          </w:tcPr>
          <w:p w:rsidR="00190372" w:rsidRPr="004F1663" w:rsidRDefault="00190372" w:rsidP="001D4B22">
            <w:pPr>
              <w:ind w:firstLine="720"/>
              <w:jc w:val="both"/>
              <w:rPr>
                <w:b/>
              </w:rPr>
            </w:pPr>
            <w:r w:rsidRPr="004F1663">
              <w:rPr>
                <w:b/>
              </w:rPr>
              <w:t>Neatsižvelgt</w:t>
            </w:r>
            <w:r w:rsidR="00263E29">
              <w:rPr>
                <w:b/>
              </w:rPr>
              <w:t>a</w:t>
            </w:r>
            <w:r w:rsidRPr="004F1663">
              <w:rPr>
                <w:b/>
              </w:rPr>
              <w:t>.</w:t>
            </w:r>
          </w:p>
          <w:p w:rsidR="00E5610C" w:rsidRDefault="00263E29" w:rsidP="000C7757">
            <w:pPr>
              <w:jc w:val="both"/>
              <w:rPr>
                <w:bCs/>
              </w:rPr>
            </w:pPr>
            <w:r>
              <w:t xml:space="preserve">Nutarimų keitimo tikslas – redakciniai pakeitimai </w:t>
            </w:r>
            <w:r w:rsidR="00E03B0C">
              <w:t xml:space="preserve">ryšium su Valstybės sienos apsaugos tarnybos prie Vidaus reikalų ministerijos (toliau – VSAT) </w:t>
            </w:r>
            <w:r>
              <w:t xml:space="preserve">padalinių </w:t>
            </w:r>
            <w:r w:rsidRPr="00263E29">
              <w:rPr>
                <w:bCs/>
              </w:rPr>
              <w:t>pavadinimų tikslinimo</w:t>
            </w:r>
            <w:r w:rsidR="00E03B0C">
              <w:rPr>
                <w:bCs/>
              </w:rPr>
              <w:t>, o teikiama</w:t>
            </w:r>
            <w:r>
              <w:rPr>
                <w:bCs/>
              </w:rPr>
              <w:t xml:space="preserve"> </w:t>
            </w:r>
            <w:r w:rsidR="00E03B0C">
              <w:rPr>
                <w:bCs/>
              </w:rPr>
              <w:t>p</w:t>
            </w:r>
            <w:r>
              <w:rPr>
                <w:bCs/>
              </w:rPr>
              <w:t>astaba nesusijusi su šiuo tikslu.</w:t>
            </w:r>
            <w:r w:rsidR="00E03B0C">
              <w:rPr>
                <w:bCs/>
              </w:rPr>
              <w:t xml:space="preserve"> Pažymėtina ir tai, kad nuorodos į tuos pačius Europos Sąjungos teisės aktus pateikiamos ir keičiamo nutarimo preambulėje, tad siekiant nuoseklumo, kartu turėtų būti keičiama ir ji. Vis tik, kaip minėta, keičiamo nutarimo nuostatų, nesusijusių su jų rengimo tikslu, peržiūra nėra </w:t>
            </w:r>
            <w:proofErr w:type="spellStart"/>
            <w:r w:rsidR="00E03B0C">
              <w:rPr>
                <w:bCs/>
              </w:rPr>
              <w:t>savailaikė</w:t>
            </w:r>
            <w:proofErr w:type="spellEnd"/>
            <w:r w:rsidR="00E03B0C">
              <w:rPr>
                <w:bCs/>
              </w:rPr>
              <w:t xml:space="preserve">; pažymėtina ir tai, kad keičiamas nutarimas yra priskirtinas ne Vidaus reikalų ministerijos, o Susisiekimo ministerijos valdymo sričiai, jis, </w:t>
            </w:r>
            <w:r w:rsidR="00C67745">
              <w:rPr>
                <w:bCs/>
              </w:rPr>
              <w:t xml:space="preserve">be </w:t>
            </w:r>
            <w:r w:rsidR="00E03B0C">
              <w:rPr>
                <w:bCs/>
              </w:rPr>
              <w:t>Ministro Pirmininko, yra pasirašytas susiekimo ministro. Tad esant poreikiui atlikti</w:t>
            </w:r>
            <w:r>
              <w:rPr>
                <w:bCs/>
              </w:rPr>
              <w:t xml:space="preserve"> </w:t>
            </w:r>
            <w:r w:rsidR="00E03B0C">
              <w:rPr>
                <w:bCs/>
              </w:rPr>
              <w:t>platesnę</w:t>
            </w:r>
            <w:r>
              <w:rPr>
                <w:bCs/>
              </w:rPr>
              <w:t xml:space="preserve"> </w:t>
            </w:r>
            <w:r w:rsidRPr="00263E29">
              <w:rPr>
                <w:bCs/>
              </w:rPr>
              <w:t xml:space="preserve">Lietuvos </w:t>
            </w:r>
            <w:r>
              <w:rPr>
                <w:bCs/>
              </w:rPr>
              <w:t>R</w:t>
            </w:r>
            <w:r w:rsidRPr="00263E29">
              <w:rPr>
                <w:bCs/>
              </w:rPr>
              <w:t xml:space="preserve">espublikos </w:t>
            </w:r>
            <w:r>
              <w:rPr>
                <w:bCs/>
              </w:rPr>
              <w:t>V</w:t>
            </w:r>
            <w:r w:rsidRPr="00263E29">
              <w:rPr>
                <w:bCs/>
              </w:rPr>
              <w:t xml:space="preserve">yriausybės 1999 m. sausio 22 d. nutarimo </w:t>
            </w:r>
            <w:r>
              <w:rPr>
                <w:bCs/>
              </w:rPr>
              <w:t>N</w:t>
            </w:r>
            <w:r w:rsidRPr="00263E29">
              <w:rPr>
                <w:bCs/>
              </w:rPr>
              <w:t>r. 78 „</w:t>
            </w:r>
            <w:r>
              <w:rPr>
                <w:bCs/>
              </w:rPr>
              <w:t>D</w:t>
            </w:r>
            <w:r w:rsidRPr="00263E29">
              <w:rPr>
                <w:bCs/>
              </w:rPr>
              <w:t xml:space="preserve">ėl </w:t>
            </w:r>
            <w:r>
              <w:rPr>
                <w:bCs/>
              </w:rPr>
              <w:t>P</w:t>
            </w:r>
            <w:r w:rsidRPr="00263E29">
              <w:rPr>
                <w:bCs/>
              </w:rPr>
              <w:t>rekių vežimo, laikymo ir tikrinimo Klaipėdos valstybinio jūrų uosto pasienio kontrolės punktų teritorijoje esančiose muitinės prižiūrimose uosto komplekso zonose taisyklių patvirtinimo“</w:t>
            </w:r>
            <w:r w:rsidR="00B21EF0">
              <w:rPr>
                <w:bCs/>
              </w:rPr>
              <w:t xml:space="preserve"> peržiūrą</w:t>
            </w:r>
            <w:r w:rsidR="00E5610C">
              <w:rPr>
                <w:bCs/>
              </w:rPr>
              <w:t>, tai pagal kompetencija turėtų būti pavesta</w:t>
            </w:r>
            <w:r w:rsidR="00B21EF0">
              <w:rPr>
                <w:bCs/>
              </w:rPr>
              <w:t xml:space="preserve"> </w:t>
            </w:r>
            <w:r w:rsidR="00E5610C">
              <w:rPr>
                <w:bCs/>
              </w:rPr>
              <w:t>S</w:t>
            </w:r>
            <w:r w:rsidR="00B21EF0">
              <w:rPr>
                <w:bCs/>
              </w:rPr>
              <w:t>usisiekimo ministerija</w:t>
            </w:r>
            <w:r w:rsidR="00E5610C">
              <w:rPr>
                <w:bCs/>
              </w:rPr>
              <w:t>i, priimant Vidaus reikalų ministerijos pateiktą redakcinių pakeitimų nutarimų projektų paketą. Pažymėtina ir tai, kad derinimo metu Susisiekimo ministerija pastabų ir pasiūlymų dėl nutarimo projekto neturėjo.</w:t>
            </w:r>
          </w:p>
          <w:p w:rsidR="00190372" w:rsidRDefault="001D5A23" w:rsidP="000C7757">
            <w:pPr>
              <w:jc w:val="both"/>
              <w:rPr>
                <w:bCs/>
              </w:rPr>
            </w:pPr>
            <w:r>
              <w:rPr>
                <w:bCs/>
              </w:rPr>
              <w:t xml:space="preserve">Atsižvelgiant į </w:t>
            </w:r>
            <w:r w:rsidR="00E5610C">
              <w:rPr>
                <w:bCs/>
              </w:rPr>
              <w:t xml:space="preserve">minėta </w:t>
            </w:r>
            <w:r>
              <w:rPr>
                <w:bCs/>
              </w:rPr>
              <w:t>nutarim</w:t>
            </w:r>
            <w:r w:rsidR="00E5610C">
              <w:rPr>
                <w:bCs/>
              </w:rPr>
              <w:t>o</w:t>
            </w:r>
            <w:r>
              <w:rPr>
                <w:bCs/>
              </w:rPr>
              <w:t xml:space="preserve"> keitimo tikslą</w:t>
            </w:r>
            <w:r w:rsidR="00E5610C">
              <w:rPr>
                <w:bCs/>
              </w:rPr>
              <w:t xml:space="preserve"> (redakciniai pakeitimai ryšium su VSAT padalinių pavadinimų tikslinimu)</w:t>
            </w:r>
            <w:r>
              <w:rPr>
                <w:bCs/>
              </w:rPr>
              <w:t>, nėra poreikio ir pagrindo derinti jį su Lietuvos Respublikos teisingumo ministerija.</w:t>
            </w:r>
          </w:p>
          <w:p w:rsidR="004C116C" w:rsidRDefault="004C116C" w:rsidP="004C116C">
            <w:pPr>
              <w:ind w:firstLine="720"/>
              <w:jc w:val="both"/>
              <w:rPr>
                <w:b/>
              </w:rPr>
            </w:pPr>
          </w:p>
        </w:tc>
      </w:tr>
      <w:tr w:rsidR="00190372" w:rsidRPr="009E451C" w:rsidTr="001D5A23">
        <w:trPr>
          <w:trHeight w:val="913"/>
        </w:trPr>
        <w:tc>
          <w:tcPr>
            <w:tcW w:w="1560" w:type="dxa"/>
            <w:vMerge/>
          </w:tcPr>
          <w:p w:rsidR="00190372" w:rsidRPr="009E451C" w:rsidRDefault="00190372" w:rsidP="001D4B22">
            <w:pPr>
              <w:tabs>
                <w:tab w:val="left" w:pos="4962"/>
              </w:tabs>
            </w:pPr>
          </w:p>
        </w:tc>
        <w:tc>
          <w:tcPr>
            <w:tcW w:w="4800" w:type="dxa"/>
            <w:tcBorders>
              <w:top w:val="single" w:sz="4" w:space="0" w:color="auto"/>
              <w:bottom w:val="single" w:sz="4" w:space="0" w:color="auto"/>
            </w:tcBorders>
          </w:tcPr>
          <w:p w:rsidR="00190372" w:rsidRPr="009E451C" w:rsidRDefault="00190372" w:rsidP="001D4B22">
            <w:pPr>
              <w:jc w:val="both"/>
            </w:pPr>
            <w:r>
              <w:t xml:space="preserve"> </w:t>
            </w:r>
            <w:r w:rsidR="004C116C">
              <w:t xml:space="preserve">2. </w:t>
            </w:r>
            <w:r w:rsidR="004C116C" w:rsidRPr="004C116C">
              <w:t xml:space="preserve">Atsižvelgiant į tai, kad Akcizų lengvatų taikymo, energinių produktų žymėjimo bei laivų ir orlaivių atsargų tiekimo taikant 0 procentų pridėtinės vertės mokesčio tarifą tvarkos apraše, patvirtintame Vyriausybės 2002 m gegužės 30 d. nutarimu Nr. 792, sąvokos neapibrėžtos, o tik duota nuoroda į įstatymus, siūlome tikslinti Projekto Nr. 1 1 punktą (žr., Teisės aktų projektų rengimo rekomendacijų, patvirtintų </w:t>
            </w:r>
            <w:r w:rsidR="004C116C" w:rsidRPr="004C116C">
              <w:lastRenderedPageBreak/>
              <w:t>Lietuvos Respublikos teisingumo ministro 2013 m. gruodžio 23 d. įsakymu Nr. 1R-298 (toliau – Rekomendacijos), 12 punktą).</w:t>
            </w:r>
          </w:p>
        </w:tc>
        <w:tc>
          <w:tcPr>
            <w:tcW w:w="8579" w:type="dxa"/>
            <w:tcBorders>
              <w:top w:val="single" w:sz="4" w:space="0" w:color="auto"/>
              <w:bottom w:val="single" w:sz="4" w:space="0" w:color="auto"/>
            </w:tcBorders>
          </w:tcPr>
          <w:p w:rsidR="00190372" w:rsidRDefault="004C116C" w:rsidP="001D4B22">
            <w:pPr>
              <w:tabs>
                <w:tab w:val="left" w:pos="4962"/>
              </w:tabs>
              <w:jc w:val="both"/>
              <w:rPr>
                <w:b/>
              </w:rPr>
            </w:pPr>
            <w:r>
              <w:rPr>
                <w:b/>
              </w:rPr>
              <w:lastRenderedPageBreak/>
              <w:t xml:space="preserve">            Neatsižvelgta.</w:t>
            </w:r>
          </w:p>
          <w:p w:rsidR="00E5610C" w:rsidRPr="00E5610C" w:rsidRDefault="00E5610C" w:rsidP="001D4B22">
            <w:pPr>
              <w:tabs>
                <w:tab w:val="left" w:pos="4962"/>
              </w:tabs>
              <w:jc w:val="both"/>
            </w:pPr>
            <w:r w:rsidRPr="00E5610C">
              <w:t>Pastaba nesusijusi su nutarimo projekto rengimo tikslais</w:t>
            </w:r>
            <w:r>
              <w:t xml:space="preserve"> </w:t>
            </w:r>
            <w:r>
              <w:rPr>
                <w:bCs/>
              </w:rPr>
              <w:t>(redakciniai pakeitimai ryšium su VSAT padalinių pavadinimų tikslinimu)</w:t>
            </w:r>
            <w:r w:rsidRPr="00E5610C">
              <w:t xml:space="preserve">. </w:t>
            </w:r>
            <w:r w:rsidR="009B3142">
              <w:rPr>
                <w:bCs/>
              </w:rPr>
              <w:t>P</w:t>
            </w:r>
            <w:r w:rsidR="009B3142">
              <w:rPr>
                <w:bCs/>
              </w:rPr>
              <w:t xml:space="preserve">ažymėtina ir tai, kad keičiamas nutarimas yra priskirtinas ne Vidaus reikalų ministerijos, o Susisiekimo ministerijos valdymo sričiai, jis, be Ministro Pirmininko, yra pasirašytas susiekimo ministro. Tad esant poreikiui atlikti platesnę </w:t>
            </w:r>
            <w:r w:rsidR="009B3142">
              <w:rPr>
                <w:bCs/>
              </w:rPr>
              <w:t>keičiamo nutarimo</w:t>
            </w:r>
            <w:r w:rsidR="009B3142">
              <w:rPr>
                <w:bCs/>
              </w:rPr>
              <w:t xml:space="preserve"> peržiūrą, tai pagal kompetencija turėtų būti pavesta Susisiekimo ministerijai</w:t>
            </w:r>
            <w:r w:rsidR="009B3142">
              <w:rPr>
                <w:bCs/>
              </w:rPr>
              <w:t xml:space="preserve">. </w:t>
            </w:r>
            <w:r w:rsidRPr="00E5610C">
              <w:t>Taip pat žr. argumentus dėl 1 pastabos.</w:t>
            </w:r>
          </w:p>
          <w:p w:rsidR="004A367E" w:rsidRDefault="004A367E" w:rsidP="001D4B22">
            <w:pPr>
              <w:tabs>
                <w:tab w:val="left" w:pos="4962"/>
              </w:tabs>
              <w:jc w:val="both"/>
              <w:rPr>
                <w:bCs/>
              </w:rPr>
            </w:pPr>
          </w:p>
          <w:p w:rsidR="004A367E" w:rsidRDefault="004A367E" w:rsidP="001D4B22">
            <w:pPr>
              <w:tabs>
                <w:tab w:val="left" w:pos="4962"/>
              </w:tabs>
              <w:jc w:val="both"/>
              <w:rPr>
                <w:b/>
              </w:rPr>
            </w:pPr>
          </w:p>
          <w:p w:rsidR="004C116C" w:rsidRPr="009E451C" w:rsidRDefault="004C116C" w:rsidP="001D4B22">
            <w:pPr>
              <w:tabs>
                <w:tab w:val="left" w:pos="4962"/>
              </w:tabs>
              <w:jc w:val="both"/>
              <w:rPr>
                <w:b/>
              </w:rPr>
            </w:pPr>
          </w:p>
        </w:tc>
      </w:tr>
      <w:tr w:rsidR="004C116C" w:rsidRPr="009E451C" w:rsidTr="004C116C">
        <w:trPr>
          <w:trHeight w:val="1605"/>
        </w:trPr>
        <w:tc>
          <w:tcPr>
            <w:tcW w:w="1560" w:type="dxa"/>
          </w:tcPr>
          <w:p w:rsidR="004C116C" w:rsidRPr="009E451C" w:rsidRDefault="004C116C" w:rsidP="001D4B22">
            <w:pPr>
              <w:tabs>
                <w:tab w:val="left" w:pos="4962"/>
              </w:tabs>
            </w:pPr>
          </w:p>
        </w:tc>
        <w:tc>
          <w:tcPr>
            <w:tcW w:w="4800" w:type="dxa"/>
            <w:tcBorders>
              <w:top w:val="single" w:sz="4" w:space="0" w:color="auto"/>
              <w:bottom w:val="single" w:sz="4" w:space="0" w:color="auto"/>
            </w:tcBorders>
          </w:tcPr>
          <w:p w:rsidR="004C116C" w:rsidRDefault="004C116C" w:rsidP="004A367E">
            <w:pPr>
              <w:tabs>
                <w:tab w:val="left" w:pos="541"/>
              </w:tabs>
              <w:jc w:val="both"/>
            </w:pPr>
            <w:r>
              <w:t xml:space="preserve">3. </w:t>
            </w:r>
            <w:r w:rsidRPr="004C116C">
              <w:t>Pagal Rekomendacijų 13 punktą tikslintinas Projekto Nr. 1 10 punktas, atsisakant nuorodos į žemesnę teisinę galią turintį įsakymą, kartu suvienodinant šią nuorodą ir su kituose keičiamų taisyklių punktuose (pvz., 13, 19, 23, 27 punktai) pateiktomis nuorodomis.</w:t>
            </w:r>
          </w:p>
        </w:tc>
        <w:tc>
          <w:tcPr>
            <w:tcW w:w="8579" w:type="dxa"/>
            <w:tcBorders>
              <w:top w:val="single" w:sz="4" w:space="0" w:color="auto"/>
              <w:bottom w:val="single" w:sz="4" w:space="0" w:color="auto"/>
            </w:tcBorders>
          </w:tcPr>
          <w:p w:rsidR="004C116C" w:rsidRDefault="004A367E" w:rsidP="001D4B22">
            <w:pPr>
              <w:tabs>
                <w:tab w:val="left" w:pos="4962"/>
              </w:tabs>
              <w:jc w:val="both"/>
              <w:rPr>
                <w:b/>
              </w:rPr>
            </w:pPr>
            <w:r>
              <w:rPr>
                <w:b/>
              </w:rPr>
              <w:t xml:space="preserve">           Neatsižvelgta.</w:t>
            </w:r>
          </w:p>
          <w:p w:rsidR="00E5610C" w:rsidRPr="00E5610C" w:rsidRDefault="00E5610C" w:rsidP="00E5610C">
            <w:pPr>
              <w:tabs>
                <w:tab w:val="left" w:pos="4962"/>
              </w:tabs>
              <w:jc w:val="both"/>
            </w:pPr>
            <w:r w:rsidRPr="00E5610C">
              <w:t>Pastaba nesusijusi su nutarimo projekto rengimo tikslais</w:t>
            </w:r>
            <w:r>
              <w:t xml:space="preserve"> </w:t>
            </w:r>
            <w:r>
              <w:rPr>
                <w:bCs/>
              </w:rPr>
              <w:t>(redakciniai pakeitimai ryšium su VSAT padalinių pavadinimų tikslinimu)</w:t>
            </w:r>
            <w:r w:rsidRPr="00E5610C">
              <w:t xml:space="preserve">. </w:t>
            </w:r>
            <w:r w:rsidR="009B3142">
              <w:rPr>
                <w:bCs/>
              </w:rPr>
              <w:t xml:space="preserve">Pažymėtina ir tai, kad keičiamas nutarimas yra priskirtinas ne Vidaus reikalų ministerijos, o Susisiekimo ministerijos valdymo sričiai, jis, be Ministro Pirmininko, yra pasirašytas susiekimo ministro. Tad esant poreikiui atlikti platesnę keičiamo nutarimo peržiūrą, tai pagal kompetencija turėtų būti pavesta Susisiekimo ministerijai. </w:t>
            </w:r>
            <w:r w:rsidRPr="00E5610C">
              <w:t>Taip pat žr. argumentus dėl 1 pastabos.</w:t>
            </w:r>
          </w:p>
          <w:p w:rsidR="004A367E" w:rsidRPr="009E451C" w:rsidRDefault="004A367E" w:rsidP="00E5610C">
            <w:pPr>
              <w:tabs>
                <w:tab w:val="left" w:pos="4962"/>
              </w:tabs>
              <w:jc w:val="both"/>
              <w:rPr>
                <w:b/>
              </w:rPr>
            </w:pPr>
          </w:p>
        </w:tc>
      </w:tr>
      <w:tr w:rsidR="004C116C" w:rsidRPr="009E451C" w:rsidTr="004C116C">
        <w:trPr>
          <w:trHeight w:val="1605"/>
        </w:trPr>
        <w:tc>
          <w:tcPr>
            <w:tcW w:w="1560" w:type="dxa"/>
          </w:tcPr>
          <w:p w:rsidR="004C116C" w:rsidRPr="009E451C" w:rsidRDefault="004C116C" w:rsidP="001D4B22">
            <w:pPr>
              <w:tabs>
                <w:tab w:val="left" w:pos="4962"/>
              </w:tabs>
            </w:pPr>
          </w:p>
        </w:tc>
        <w:tc>
          <w:tcPr>
            <w:tcW w:w="4800" w:type="dxa"/>
            <w:tcBorders>
              <w:top w:val="single" w:sz="4" w:space="0" w:color="auto"/>
              <w:bottom w:val="single" w:sz="4" w:space="0" w:color="auto"/>
            </w:tcBorders>
          </w:tcPr>
          <w:p w:rsidR="004C116C" w:rsidRDefault="00231A38" w:rsidP="001D4B22">
            <w:pPr>
              <w:jc w:val="both"/>
            </w:pPr>
            <w:r>
              <w:t xml:space="preserve">4. </w:t>
            </w:r>
            <w:r w:rsidR="004A367E" w:rsidRPr="004A367E">
              <w:t>Atsižvelgiant į tai, kad Projektu Nr. 2 keičiamo Vyriausybės 2001 m. balandžio 30 d. nutarimo Nr. 490 (toliau – Nutarimas) preambulėje nurodytas Vyriausybės 1999 m. kovo 10 d. nutarimas Nr. 275 pripažintas netekusiu galios siūlome keisti ir Nutarimo preambulę, kad būtų aiškus Nutarimo teisinis pagrindas ir kas jame turi būti nustatyta.</w:t>
            </w:r>
          </w:p>
        </w:tc>
        <w:tc>
          <w:tcPr>
            <w:tcW w:w="8579" w:type="dxa"/>
            <w:tcBorders>
              <w:top w:val="single" w:sz="4" w:space="0" w:color="auto"/>
              <w:bottom w:val="single" w:sz="4" w:space="0" w:color="auto"/>
            </w:tcBorders>
          </w:tcPr>
          <w:p w:rsidR="004A367E" w:rsidRDefault="004A367E" w:rsidP="004A367E">
            <w:pPr>
              <w:tabs>
                <w:tab w:val="left" w:pos="4962"/>
              </w:tabs>
              <w:jc w:val="both"/>
              <w:rPr>
                <w:b/>
              </w:rPr>
            </w:pPr>
            <w:r>
              <w:rPr>
                <w:b/>
              </w:rPr>
              <w:t xml:space="preserve">           Neatsižvelgta.</w:t>
            </w:r>
          </w:p>
          <w:p w:rsidR="00E5610C" w:rsidRPr="00E5610C" w:rsidRDefault="00E5610C" w:rsidP="00E5610C">
            <w:pPr>
              <w:tabs>
                <w:tab w:val="left" w:pos="4962"/>
              </w:tabs>
              <w:jc w:val="both"/>
            </w:pPr>
            <w:r w:rsidRPr="00E5610C">
              <w:t>Pastaba nesusijusi su nutarimo projekto rengimo tikslais</w:t>
            </w:r>
            <w:r>
              <w:t xml:space="preserve"> </w:t>
            </w:r>
            <w:r>
              <w:rPr>
                <w:bCs/>
              </w:rPr>
              <w:t>(redakciniai pakeitimai ryšium su VSAT padalinių pavadinimų tikslinimu)</w:t>
            </w:r>
            <w:r w:rsidRPr="00E5610C">
              <w:t xml:space="preserve">. </w:t>
            </w:r>
            <w:r w:rsidR="009B3142">
              <w:rPr>
                <w:bCs/>
              </w:rPr>
              <w:t xml:space="preserve">Pažymėtina ir tai, kad keičiamas nutarimas yra priskirtinas ne Vidaus reikalų ministerijos, o Susisiekimo ministerijos valdymo sričiai, jis, be Ministro Pirmininko, yra pasirašytas susiekimo ministro. Tad esant poreikiui atlikti platesnę keičiamo nutarimo peržiūrą, tai pagal kompetencija turėtų būti pavesta Susisiekimo ministerijai. </w:t>
            </w:r>
            <w:r w:rsidRPr="00E5610C">
              <w:t>Taip pat žr. argumentus dėl 1 pastabos.</w:t>
            </w:r>
          </w:p>
          <w:p w:rsidR="004C116C" w:rsidRPr="009E451C" w:rsidRDefault="004C116C" w:rsidP="00E5610C">
            <w:pPr>
              <w:tabs>
                <w:tab w:val="left" w:pos="4962"/>
              </w:tabs>
              <w:jc w:val="both"/>
              <w:rPr>
                <w:b/>
              </w:rPr>
            </w:pPr>
          </w:p>
        </w:tc>
      </w:tr>
      <w:tr w:rsidR="004A367E" w:rsidRPr="009E451C" w:rsidTr="004C116C">
        <w:trPr>
          <w:trHeight w:val="1605"/>
        </w:trPr>
        <w:tc>
          <w:tcPr>
            <w:tcW w:w="1560" w:type="dxa"/>
          </w:tcPr>
          <w:p w:rsidR="004A367E" w:rsidRPr="009E451C" w:rsidRDefault="004A367E" w:rsidP="001D4B22">
            <w:pPr>
              <w:tabs>
                <w:tab w:val="left" w:pos="4962"/>
              </w:tabs>
            </w:pPr>
          </w:p>
        </w:tc>
        <w:tc>
          <w:tcPr>
            <w:tcW w:w="4800" w:type="dxa"/>
            <w:tcBorders>
              <w:top w:val="single" w:sz="4" w:space="0" w:color="auto"/>
              <w:bottom w:val="single" w:sz="4" w:space="0" w:color="auto"/>
            </w:tcBorders>
          </w:tcPr>
          <w:p w:rsidR="004A367E" w:rsidRDefault="00231A38" w:rsidP="001D4B22">
            <w:pPr>
              <w:jc w:val="both"/>
            </w:pPr>
            <w:r>
              <w:t xml:space="preserve">5. </w:t>
            </w:r>
            <w:r w:rsidR="004A367E" w:rsidRPr="004A367E">
              <w:t>Projekto Nr. 2 1–3 punktuose keičiamos Nutarimo nuostatos dėl atitinkamų teisės aktų patvirtinimo (vienkartinio pobūdžio), tačiau Projektų lydimojoje medžiagoje nepateikta informacija dėl poreikio įgyvendinant Projekto Nr. 2 nuostatas keisti kitus teisės aktus.</w:t>
            </w:r>
          </w:p>
        </w:tc>
        <w:tc>
          <w:tcPr>
            <w:tcW w:w="8579" w:type="dxa"/>
            <w:tcBorders>
              <w:top w:val="single" w:sz="4" w:space="0" w:color="auto"/>
              <w:bottom w:val="single" w:sz="4" w:space="0" w:color="auto"/>
            </w:tcBorders>
          </w:tcPr>
          <w:p w:rsidR="004A367E" w:rsidRDefault="004A367E" w:rsidP="004A367E">
            <w:pPr>
              <w:tabs>
                <w:tab w:val="left" w:pos="4962"/>
              </w:tabs>
              <w:jc w:val="both"/>
              <w:rPr>
                <w:b/>
              </w:rPr>
            </w:pPr>
            <w:r>
              <w:rPr>
                <w:b/>
              </w:rPr>
              <w:t xml:space="preserve">           Neatsižvelgta.</w:t>
            </w:r>
          </w:p>
          <w:p w:rsidR="00E5610C" w:rsidRPr="00E5610C" w:rsidRDefault="00E5610C" w:rsidP="004A367E">
            <w:pPr>
              <w:tabs>
                <w:tab w:val="left" w:pos="4962"/>
              </w:tabs>
              <w:jc w:val="both"/>
            </w:pPr>
            <w:r w:rsidRPr="00E5610C">
              <w:t>Nutarimo nuostatos keičiamo</w:t>
            </w:r>
            <w:r w:rsidR="009B3142">
              <w:t>s</w:t>
            </w:r>
            <w:r w:rsidRPr="00E5610C">
              <w:t xml:space="preserve"> redakciniu aspektu tikslinant VSAT padalinių pavadinimus. Kaip jau minėta, tolesnis nutarimo nuostatų įgyvendinimas </w:t>
            </w:r>
            <w:r w:rsidR="005310FA">
              <w:t xml:space="preserve">(kartu ir poreikio keisti kitus teisės aktus įvertinimas) </w:t>
            </w:r>
            <w:r w:rsidRPr="00E5610C">
              <w:t>priskirtinas ne Vidaus reikalų ministerijos, o Susisiekimo ministerijos kompetencijai.</w:t>
            </w:r>
            <w:r>
              <w:t xml:space="preserve"> Pažymėtina ir tai, kad derinimo metu Susisiekimo ministerija pastabų ir pasiūlymų neturėjo.</w:t>
            </w:r>
          </w:p>
          <w:p w:rsidR="004A367E" w:rsidRPr="009E451C" w:rsidRDefault="004A367E" w:rsidP="004A367E">
            <w:pPr>
              <w:tabs>
                <w:tab w:val="left" w:pos="4962"/>
              </w:tabs>
              <w:jc w:val="both"/>
              <w:rPr>
                <w:b/>
              </w:rPr>
            </w:pPr>
          </w:p>
        </w:tc>
      </w:tr>
      <w:tr w:rsidR="004A367E" w:rsidRPr="009E451C" w:rsidTr="001D5A23">
        <w:trPr>
          <w:trHeight w:val="487"/>
        </w:trPr>
        <w:tc>
          <w:tcPr>
            <w:tcW w:w="1560" w:type="dxa"/>
          </w:tcPr>
          <w:p w:rsidR="004A367E" w:rsidRPr="009E451C" w:rsidRDefault="004A367E" w:rsidP="001D4B22">
            <w:pPr>
              <w:tabs>
                <w:tab w:val="left" w:pos="4962"/>
              </w:tabs>
            </w:pPr>
          </w:p>
        </w:tc>
        <w:tc>
          <w:tcPr>
            <w:tcW w:w="4800" w:type="dxa"/>
            <w:tcBorders>
              <w:top w:val="single" w:sz="4" w:space="0" w:color="auto"/>
              <w:bottom w:val="single" w:sz="4" w:space="0" w:color="auto"/>
            </w:tcBorders>
          </w:tcPr>
          <w:p w:rsidR="004A367E" w:rsidRDefault="00231A38" w:rsidP="001D4B22">
            <w:pPr>
              <w:jc w:val="both"/>
            </w:pPr>
            <w:r>
              <w:t xml:space="preserve">6. </w:t>
            </w:r>
            <w:r w:rsidR="00F116C8" w:rsidRPr="00F6707D">
              <w:t xml:space="preserve">Projekto Nr. 2 2 punkte nesimato visų atliekamų keičiamo Nutarimo pakeitimų ir atsižvelgiant į Rekomendacijų 83 punkto nuostatas Nutarimo 2.3 papunktis turi būti </w:t>
            </w:r>
            <w:r w:rsidR="00F116C8" w:rsidRPr="00F6707D">
              <w:lastRenderedPageBreak/>
              <w:t>dėstomas nauja redakcija. Teisės technikos aspektu siūlome tikslinti ir kitus Projekto Nr. 2 punktus (pvz., 5.2 papunktis).</w:t>
            </w:r>
          </w:p>
        </w:tc>
        <w:tc>
          <w:tcPr>
            <w:tcW w:w="8579" w:type="dxa"/>
            <w:tcBorders>
              <w:top w:val="single" w:sz="4" w:space="0" w:color="auto"/>
              <w:bottom w:val="single" w:sz="4" w:space="0" w:color="auto"/>
            </w:tcBorders>
          </w:tcPr>
          <w:p w:rsidR="004A367E" w:rsidRDefault="00F116C8" w:rsidP="001D4B22">
            <w:pPr>
              <w:tabs>
                <w:tab w:val="left" w:pos="4962"/>
              </w:tabs>
              <w:jc w:val="both"/>
              <w:rPr>
                <w:b/>
              </w:rPr>
            </w:pPr>
            <w:r>
              <w:rPr>
                <w:b/>
              </w:rPr>
              <w:lastRenderedPageBreak/>
              <w:t xml:space="preserve">              Atsižvelgta.</w:t>
            </w:r>
          </w:p>
          <w:p w:rsidR="005310FA" w:rsidRPr="009E451C" w:rsidRDefault="005310FA" w:rsidP="001D4B22">
            <w:pPr>
              <w:tabs>
                <w:tab w:val="left" w:pos="4962"/>
              </w:tabs>
              <w:jc w:val="both"/>
              <w:rPr>
                <w:b/>
              </w:rPr>
            </w:pPr>
          </w:p>
        </w:tc>
      </w:tr>
      <w:tr w:rsidR="00BF7DA8" w:rsidRPr="009E451C" w:rsidTr="004C116C">
        <w:trPr>
          <w:trHeight w:val="1605"/>
        </w:trPr>
        <w:tc>
          <w:tcPr>
            <w:tcW w:w="1560" w:type="dxa"/>
          </w:tcPr>
          <w:p w:rsidR="00BF7DA8" w:rsidRPr="009E451C" w:rsidRDefault="00BF7DA8" w:rsidP="00BF7DA8">
            <w:pPr>
              <w:tabs>
                <w:tab w:val="left" w:pos="4962"/>
              </w:tabs>
            </w:pPr>
          </w:p>
        </w:tc>
        <w:tc>
          <w:tcPr>
            <w:tcW w:w="4800" w:type="dxa"/>
            <w:tcBorders>
              <w:top w:val="single" w:sz="4" w:space="0" w:color="auto"/>
              <w:bottom w:val="single" w:sz="4" w:space="0" w:color="auto"/>
            </w:tcBorders>
          </w:tcPr>
          <w:p w:rsidR="00BF7DA8" w:rsidRDefault="00231A38" w:rsidP="00BF7DA8">
            <w:pPr>
              <w:jc w:val="both"/>
            </w:pPr>
            <w:r>
              <w:t xml:space="preserve">7. </w:t>
            </w:r>
            <w:r w:rsidR="00BF7DA8">
              <w:t>Projekto Nr. 2 4.1 papunktyje keičiamo Klaipėdos valstybinio jūrų uosto kompleksinio saugos plano (toliau – Planas) 3 punkte vartojamas sąvokas siūlome įvertinti šias sąvokas vartojančių įstatymų kontekste (Baudžiamojo kodekso, Administracinių nusižengimų kodekso).</w:t>
            </w:r>
          </w:p>
        </w:tc>
        <w:tc>
          <w:tcPr>
            <w:tcW w:w="8579" w:type="dxa"/>
            <w:tcBorders>
              <w:top w:val="single" w:sz="4" w:space="0" w:color="auto"/>
              <w:bottom w:val="single" w:sz="4" w:space="0" w:color="auto"/>
            </w:tcBorders>
          </w:tcPr>
          <w:p w:rsidR="00BF7DA8" w:rsidRDefault="00BF7DA8" w:rsidP="00BF7DA8">
            <w:pPr>
              <w:tabs>
                <w:tab w:val="left" w:pos="4962"/>
              </w:tabs>
              <w:jc w:val="both"/>
              <w:rPr>
                <w:b/>
              </w:rPr>
            </w:pPr>
            <w:r>
              <w:rPr>
                <w:b/>
              </w:rPr>
              <w:t xml:space="preserve">           Neatsižvelgta.</w:t>
            </w:r>
          </w:p>
          <w:p w:rsidR="005310FA" w:rsidRDefault="005310FA" w:rsidP="00BF7DA8">
            <w:pPr>
              <w:tabs>
                <w:tab w:val="left" w:pos="4962"/>
              </w:tabs>
              <w:jc w:val="both"/>
              <w:rPr>
                <w:b/>
              </w:rPr>
            </w:pPr>
            <w:r w:rsidRPr="00E5610C">
              <w:t>Pastaba nesusijusi su nutarimo projekto rengimo tikslais</w:t>
            </w:r>
            <w:r>
              <w:t xml:space="preserve"> </w:t>
            </w:r>
            <w:r>
              <w:rPr>
                <w:bCs/>
              </w:rPr>
              <w:t>(redakciniai pakeitimai ryšium su VSAT padalinių pavadinimų tikslinimu)</w:t>
            </w:r>
            <w:r w:rsidRPr="00E5610C">
              <w:t xml:space="preserve">. </w:t>
            </w:r>
            <w:r w:rsidR="009B3142">
              <w:rPr>
                <w:bCs/>
              </w:rPr>
              <w:t xml:space="preserve">Pažymėtina ir tai, kad keičiamas nutarimas yra priskirtinas ne Vidaus reikalų ministerijos, o Susisiekimo ministerijos valdymo sričiai, jis, be Ministro Pirmininko, yra pasirašytas susiekimo ministro. Tad esant poreikiui atlikti platesnę keičiamo nutarimo peržiūrą, tai pagal kompetencija turėtų būti pavesta Susisiekimo ministerijai. </w:t>
            </w:r>
            <w:r w:rsidRPr="00E5610C">
              <w:t>Taip pat žr. argumentus dėl 1 pastabos.</w:t>
            </w:r>
          </w:p>
          <w:p w:rsidR="00BF7DA8" w:rsidRPr="009E451C" w:rsidRDefault="00BF7DA8" w:rsidP="005310FA">
            <w:pPr>
              <w:tabs>
                <w:tab w:val="left" w:pos="4962"/>
              </w:tabs>
              <w:jc w:val="both"/>
              <w:rPr>
                <w:b/>
              </w:rPr>
            </w:pPr>
          </w:p>
        </w:tc>
      </w:tr>
      <w:tr w:rsidR="00BF7DA8" w:rsidRPr="009E451C" w:rsidTr="004C116C">
        <w:trPr>
          <w:trHeight w:val="1605"/>
        </w:trPr>
        <w:tc>
          <w:tcPr>
            <w:tcW w:w="1560" w:type="dxa"/>
          </w:tcPr>
          <w:p w:rsidR="00BF7DA8" w:rsidRPr="009E451C" w:rsidRDefault="00BF7DA8" w:rsidP="00BF7DA8">
            <w:pPr>
              <w:tabs>
                <w:tab w:val="left" w:pos="4962"/>
              </w:tabs>
            </w:pPr>
          </w:p>
        </w:tc>
        <w:tc>
          <w:tcPr>
            <w:tcW w:w="4800" w:type="dxa"/>
            <w:tcBorders>
              <w:top w:val="single" w:sz="4" w:space="0" w:color="auto"/>
              <w:bottom w:val="single" w:sz="4" w:space="0" w:color="auto"/>
            </w:tcBorders>
          </w:tcPr>
          <w:p w:rsidR="00BF7DA8" w:rsidRDefault="00231A38" w:rsidP="00BF7DA8">
            <w:pPr>
              <w:jc w:val="both"/>
            </w:pPr>
            <w:r>
              <w:t xml:space="preserve">8. </w:t>
            </w:r>
            <w:r w:rsidR="00BF7DA8">
              <w:t>Įgyvendinant K</w:t>
            </w:r>
            <w:r w:rsidR="00BF7DA8" w:rsidRPr="00A17F75">
              <w:t>riminalinės žvalgybos įstatymo 2 straipsnio 12 dal</w:t>
            </w:r>
            <w:r w:rsidR="00BF7DA8">
              <w:t xml:space="preserve">į Vyriausybė yra </w:t>
            </w:r>
            <w:r w:rsidR="00BF7DA8" w:rsidRPr="00C5541E">
              <w:rPr>
                <w:i/>
                <w:iCs/>
              </w:rPr>
              <w:t>įgaliota</w:t>
            </w:r>
            <w:r w:rsidR="00BF7DA8">
              <w:t xml:space="preserve"> patvirtinti </w:t>
            </w:r>
            <w:r w:rsidR="00BF7DA8" w:rsidRPr="00A17F75">
              <w:t>detalų kriminalinę žvalgybą vykdyti padalinių sąrašą ir nustatyti jų veiklos mastą</w:t>
            </w:r>
            <w:r w:rsidR="00BF7DA8">
              <w:t>, tačiau įvertinus šią nuostatą įgyvendinantį L</w:t>
            </w:r>
            <w:r w:rsidR="00BF7DA8" w:rsidRPr="00A40119">
              <w:t>ietuvos Respublikos Vyriausybės 2013 m. vasario 6 d. nutarim</w:t>
            </w:r>
            <w:r w:rsidR="00BF7DA8">
              <w:t>ą</w:t>
            </w:r>
            <w:r w:rsidR="00BF7DA8" w:rsidRPr="00A40119">
              <w:t xml:space="preserve"> Nr. 108 „Dėl Kriminalinės žvalgybos subjektų sąrašo patvirtinimo ir jų kriminalinės žvalgybos masto nustatymo“</w:t>
            </w:r>
            <w:r w:rsidR="00BF7DA8">
              <w:t xml:space="preserve"> (nauja redakcija išdėstytas Vyriausybės </w:t>
            </w:r>
            <w:r w:rsidR="00BF7DA8" w:rsidRPr="009660EA">
              <w:t>2019 m. sausio 23 d.</w:t>
            </w:r>
            <w:r w:rsidR="00BF7DA8">
              <w:t xml:space="preserve"> nutarimu</w:t>
            </w:r>
            <w:r w:rsidR="00BF7DA8" w:rsidRPr="009660EA">
              <w:t xml:space="preserve"> Nr. 60</w:t>
            </w:r>
            <w:r w:rsidR="00BF7DA8">
              <w:t xml:space="preserve">) – šiuos padalinius Vyriausybė </w:t>
            </w:r>
            <w:r w:rsidR="00BF7DA8" w:rsidRPr="00A40119">
              <w:rPr>
                <w:i/>
                <w:iCs/>
              </w:rPr>
              <w:t>perįgaliojo</w:t>
            </w:r>
            <w:r w:rsidR="00BF7DA8">
              <w:t xml:space="preserve"> </w:t>
            </w:r>
            <w:r w:rsidR="00BF7DA8" w:rsidRPr="00EE5C22">
              <w:rPr>
                <w:i/>
                <w:iCs/>
              </w:rPr>
              <w:t>nustatyti kitoms institucijoms</w:t>
            </w:r>
            <w:r w:rsidR="00BF7DA8">
              <w:t>, todėl Projekto Nr. 2 4.5, 4.6 ir kitų papunkčių nuostatos, kuriose atitinkamiems padaliniams pavedama vykdyti Kriminalinės žvalgybos įstatyme numatytą kriminalinę žvalgybą nedera su minėto Vyriausybės nutarimo nuostatomis.</w:t>
            </w:r>
          </w:p>
        </w:tc>
        <w:tc>
          <w:tcPr>
            <w:tcW w:w="8579" w:type="dxa"/>
            <w:tcBorders>
              <w:top w:val="single" w:sz="4" w:space="0" w:color="auto"/>
              <w:bottom w:val="single" w:sz="4" w:space="0" w:color="auto"/>
            </w:tcBorders>
          </w:tcPr>
          <w:p w:rsidR="00BF7DA8" w:rsidRDefault="00BF7DA8" w:rsidP="00BF7DA8">
            <w:pPr>
              <w:tabs>
                <w:tab w:val="left" w:pos="4962"/>
              </w:tabs>
              <w:jc w:val="both"/>
              <w:rPr>
                <w:b/>
              </w:rPr>
            </w:pPr>
            <w:r>
              <w:rPr>
                <w:b/>
              </w:rPr>
              <w:t xml:space="preserve">           Neatsižvelgta.</w:t>
            </w:r>
          </w:p>
          <w:p w:rsidR="005310FA" w:rsidRDefault="005310FA" w:rsidP="00BF7DA8">
            <w:pPr>
              <w:tabs>
                <w:tab w:val="left" w:pos="4962"/>
              </w:tabs>
              <w:jc w:val="both"/>
              <w:rPr>
                <w:b/>
              </w:rPr>
            </w:pPr>
            <w:r w:rsidRPr="00E5610C">
              <w:t>Pastaba nesusijusi su nutarimo projekto rengimo tikslais</w:t>
            </w:r>
            <w:r>
              <w:t xml:space="preserve"> </w:t>
            </w:r>
            <w:r>
              <w:rPr>
                <w:bCs/>
              </w:rPr>
              <w:t>(redakciniai pakeitimai ryšium su VSAT padalinių pavadinimų tikslinimu)</w:t>
            </w:r>
            <w:r w:rsidRPr="00E5610C">
              <w:t xml:space="preserve">. </w:t>
            </w:r>
            <w:r w:rsidR="009B3142">
              <w:rPr>
                <w:bCs/>
              </w:rPr>
              <w:t xml:space="preserve">Pažymėtina ir tai, kad keičiamas nutarimas yra priskirtinas ne Vidaus reikalų ministerijos, o Susisiekimo ministerijos valdymo sričiai, jis, be Ministro Pirmininko, yra pasirašytas susiekimo ministro. Tad esant poreikiui atlikti platesnę keičiamo nutarimo peržiūrą, tai pagal kompetencija turėtų būti pavesta Susisiekimo ministerijai. </w:t>
            </w:r>
            <w:r w:rsidRPr="00E5610C">
              <w:t>Taip pat žr. argumentus dėl 1 pastabos.</w:t>
            </w:r>
          </w:p>
          <w:p w:rsidR="00BF7DA8" w:rsidRPr="009E451C" w:rsidRDefault="00BF7DA8" w:rsidP="005310FA">
            <w:pPr>
              <w:tabs>
                <w:tab w:val="left" w:pos="4962"/>
              </w:tabs>
              <w:jc w:val="both"/>
              <w:rPr>
                <w:b/>
              </w:rPr>
            </w:pPr>
          </w:p>
        </w:tc>
      </w:tr>
      <w:tr w:rsidR="00BF7DA8" w:rsidRPr="009E451C" w:rsidTr="004C116C">
        <w:trPr>
          <w:trHeight w:val="1605"/>
        </w:trPr>
        <w:tc>
          <w:tcPr>
            <w:tcW w:w="1560" w:type="dxa"/>
          </w:tcPr>
          <w:p w:rsidR="00BF7DA8" w:rsidRPr="009E451C" w:rsidRDefault="00BF7DA8" w:rsidP="00BF7DA8">
            <w:pPr>
              <w:tabs>
                <w:tab w:val="left" w:pos="4962"/>
              </w:tabs>
            </w:pPr>
          </w:p>
        </w:tc>
        <w:tc>
          <w:tcPr>
            <w:tcW w:w="4800" w:type="dxa"/>
            <w:tcBorders>
              <w:top w:val="single" w:sz="4" w:space="0" w:color="auto"/>
              <w:bottom w:val="single" w:sz="4" w:space="0" w:color="auto"/>
            </w:tcBorders>
          </w:tcPr>
          <w:p w:rsidR="00BF7DA8" w:rsidRDefault="00231A38" w:rsidP="00BF7DA8">
            <w:pPr>
              <w:jc w:val="both"/>
            </w:pPr>
            <w:r>
              <w:t xml:space="preserve">9. </w:t>
            </w:r>
            <w:r w:rsidR="00BF7DA8">
              <w:t xml:space="preserve">Atsižvelgdami į Projekto Nr. 2 4.5-4.32 papunkčiuose siūlomus Plano lentelių pakeitimus (daugumoje keičiama daugiau nei pusė šių lentelių pastraipų) ir atsižvelgdami į Rekomendacijų 83 punktą ir ekonomiškumo principą, siūlome šias lenteles dėstyti nauja redakcija (atsižvelgiant ir į Rekomendacijų reikalavimus – nuostatas šiose lentelėse siūlome sunumeruoti). </w:t>
            </w:r>
          </w:p>
          <w:p w:rsidR="00BF7DA8" w:rsidRDefault="00BF7DA8" w:rsidP="00BF7DA8">
            <w:pPr>
              <w:jc w:val="both"/>
            </w:pPr>
            <w:r>
              <w:t xml:space="preserve">Taip pat siūlome atsisakyti arba tikslinti tokias formuluotes, kaip „teisės aktų nustatyta tvarka“, atsisakyti perteklinių žodžių „pagal kompetenciją“, siekiant teisinio aiškumo nurodyti </w:t>
            </w:r>
            <w:r w:rsidRPr="000831F9">
              <w:rPr>
                <w:i/>
                <w:iCs/>
              </w:rPr>
              <w:t>su kuo</w:t>
            </w:r>
            <w:r>
              <w:t xml:space="preserve"> derinami apsaugos ir leidimų nuostatai (Projekto Nr. 4.19 papunktis), </w:t>
            </w:r>
            <w:r w:rsidRPr="00AE023B">
              <w:rPr>
                <w:i/>
                <w:iCs/>
              </w:rPr>
              <w:t>kokios</w:t>
            </w:r>
            <w:r>
              <w:t xml:space="preserve"> „bendradarbiaujančios struktūros“ turimos omenyje (Projekto Nr. 2 4.20 papunktis), </w:t>
            </w:r>
            <w:r w:rsidRPr="00AE023B">
              <w:rPr>
                <w:i/>
                <w:iCs/>
              </w:rPr>
              <w:t>iš ko</w:t>
            </w:r>
            <w:r>
              <w:t xml:space="preserve"> gaunama informacija (Projekto Nr. 2 4.29 papunktis), visame Plane siūlome patikslinti Muitinės departamento prie Finansų ministerijos Klaipėdos teritorinės muitinės pavadinimą (pvz., Projekto Nr. 2 4.24 papunktis) ir pan.</w:t>
            </w:r>
          </w:p>
        </w:tc>
        <w:tc>
          <w:tcPr>
            <w:tcW w:w="8579" w:type="dxa"/>
            <w:tcBorders>
              <w:top w:val="single" w:sz="4" w:space="0" w:color="auto"/>
              <w:bottom w:val="single" w:sz="4" w:space="0" w:color="auto"/>
            </w:tcBorders>
          </w:tcPr>
          <w:p w:rsidR="00BF7DA8" w:rsidRDefault="00BF7DA8" w:rsidP="00BF7DA8">
            <w:pPr>
              <w:tabs>
                <w:tab w:val="left" w:pos="4962"/>
              </w:tabs>
              <w:jc w:val="both"/>
              <w:rPr>
                <w:b/>
              </w:rPr>
            </w:pPr>
            <w:r>
              <w:rPr>
                <w:b/>
              </w:rPr>
              <w:t xml:space="preserve">      Neatsižvelgta.</w:t>
            </w:r>
          </w:p>
          <w:p w:rsidR="004E4804" w:rsidRDefault="004E4804" w:rsidP="00BF7DA8">
            <w:pPr>
              <w:tabs>
                <w:tab w:val="left" w:pos="4962"/>
              </w:tabs>
              <w:jc w:val="both"/>
              <w:rPr>
                <w:b/>
              </w:rPr>
            </w:pPr>
            <w:r w:rsidRPr="00E5610C">
              <w:t>Pastaba nesusijusi su nutarimo projekto rengimo tikslais</w:t>
            </w:r>
            <w:r>
              <w:t xml:space="preserve"> </w:t>
            </w:r>
            <w:r>
              <w:rPr>
                <w:bCs/>
              </w:rPr>
              <w:t>(redakciniai pakeitimai ryšium su VSAT padalinių pavadinimų tikslinimu)</w:t>
            </w:r>
            <w:r w:rsidRPr="00E5610C">
              <w:t xml:space="preserve">. </w:t>
            </w:r>
            <w:r w:rsidR="009B3142">
              <w:rPr>
                <w:bCs/>
              </w:rPr>
              <w:t xml:space="preserve">Pažymėtina ir tai, kad keičiamas nutarimas yra priskirtinas ne Vidaus reikalų ministerijos, o Susisiekimo ministerijos valdymo sričiai, jis, be Ministro Pirmininko, yra pasirašytas susiekimo ministro. Tad esant poreikiui atlikti platesnę keičiamo nutarimo peržiūrą, tai pagal kompetencija turėtų būti pavesta Susisiekimo ministerijai. </w:t>
            </w:r>
            <w:r w:rsidRPr="00E5610C">
              <w:t>Taip pat žr. argumentus dėl 1 pastabos.</w:t>
            </w:r>
          </w:p>
          <w:p w:rsidR="00BF7DA8" w:rsidRPr="009E451C" w:rsidRDefault="00BF7DA8" w:rsidP="004E4804">
            <w:pPr>
              <w:tabs>
                <w:tab w:val="left" w:pos="4962"/>
              </w:tabs>
              <w:jc w:val="both"/>
              <w:rPr>
                <w:b/>
              </w:rPr>
            </w:pPr>
          </w:p>
        </w:tc>
      </w:tr>
      <w:tr w:rsidR="00BF7DA8" w:rsidRPr="009E451C" w:rsidTr="004C116C">
        <w:trPr>
          <w:trHeight w:val="1605"/>
        </w:trPr>
        <w:tc>
          <w:tcPr>
            <w:tcW w:w="1560" w:type="dxa"/>
          </w:tcPr>
          <w:p w:rsidR="00BF7DA8" w:rsidRPr="009E451C" w:rsidRDefault="00BF7DA8" w:rsidP="00BF7DA8">
            <w:pPr>
              <w:tabs>
                <w:tab w:val="left" w:pos="4962"/>
              </w:tabs>
            </w:pPr>
          </w:p>
        </w:tc>
        <w:tc>
          <w:tcPr>
            <w:tcW w:w="4800" w:type="dxa"/>
            <w:tcBorders>
              <w:top w:val="single" w:sz="4" w:space="0" w:color="auto"/>
              <w:bottom w:val="single" w:sz="4" w:space="0" w:color="auto"/>
            </w:tcBorders>
          </w:tcPr>
          <w:p w:rsidR="00BF7DA8" w:rsidRDefault="00BF7DA8" w:rsidP="00BF7DA8">
            <w:pPr>
              <w:jc w:val="both"/>
            </w:pPr>
            <w:r w:rsidRPr="00BF7DA8">
              <w:t>10.</w:t>
            </w:r>
            <w:r w:rsidRPr="00BF7DA8">
              <w:tab/>
              <w:t xml:space="preserve">Projektu Nr. 3 keičiamo Vyriausybės 2004 m. sausio 28 d. nutarimo Nr. 90 „Dėl Lietuvos Respublikos jūrų uostų, šių uostų infrastruktūros ir </w:t>
            </w:r>
            <w:proofErr w:type="spellStart"/>
            <w:r w:rsidRPr="00BF7DA8">
              <w:t>suprastruktūros</w:t>
            </w:r>
            <w:proofErr w:type="spellEnd"/>
            <w:r w:rsidRPr="00BF7DA8">
              <w:t xml:space="preserve"> įrenginių (terminalų) bei laivų apsaugos stiprinimo“ 1.1.2 ir 2.3.3 papunkčiuose nurodyta Lietuvos saugios laivybos </w:t>
            </w:r>
            <w:r w:rsidRPr="00BF7DA8">
              <w:lastRenderedPageBreak/>
              <w:t>administracija, kuri jau buvo reorganizuota, todėl šis ir kiti nutarimo, pvz., 1.3.3, 1.4, 1.5.2, 2.1 papunkčiai šiuo aspektu turėtų būti tikslinami. Be to, atsižvelgiant į pasikeitusį įstatyminį (Saugios laivybos įstatymas) ir ES teisinį (Europos Parlamento ir Tarybos direktyva 2005/65/EB 2005 m. spalio 26 d. ir kiti) reguliavimą ir atsižvelgiant į ekonomiškumo principą Projektu Nr. 3 keičiamas nutarimas turėtų būti peržiūrėtas iš esmės ir Vyriausybei pateiktas vadovaujantis Vyriausybės darbo reglamento, patvirtinto Lietuvos Respublikos Vyriausybės 1994 m. rugpjūčio 11 d. nutarimu Nr. 728 (toliau – Vyriausybės darbo reglamentas) nustatyta tvarka.</w:t>
            </w:r>
          </w:p>
        </w:tc>
        <w:tc>
          <w:tcPr>
            <w:tcW w:w="8579" w:type="dxa"/>
            <w:tcBorders>
              <w:top w:val="single" w:sz="4" w:space="0" w:color="auto"/>
              <w:bottom w:val="single" w:sz="4" w:space="0" w:color="auto"/>
            </w:tcBorders>
          </w:tcPr>
          <w:p w:rsidR="00BF7DA8" w:rsidRDefault="00BF7DA8" w:rsidP="00BF7DA8">
            <w:pPr>
              <w:tabs>
                <w:tab w:val="left" w:pos="4962"/>
              </w:tabs>
              <w:jc w:val="both"/>
              <w:rPr>
                <w:b/>
              </w:rPr>
            </w:pPr>
            <w:r>
              <w:rPr>
                <w:b/>
              </w:rPr>
              <w:lastRenderedPageBreak/>
              <w:t xml:space="preserve">         Neatsižvelgta.</w:t>
            </w:r>
          </w:p>
          <w:p w:rsidR="004E4804" w:rsidRDefault="004E4804" w:rsidP="00BF7DA8">
            <w:pPr>
              <w:tabs>
                <w:tab w:val="left" w:pos="4962"/>
              </w:tabs>
              <w:jc w:val="both"/>
              <w:rPr>
                <w:b/>
              </w:rPr>
            </w:pPr>
            <w:r w:rsidRPr="00E5610C">
              <w:t>Pastaba nesusijusi su nutarimo projekto rengimo tikslais</w:t>
            </w:r>
            <w:r>
              <w:t xml:space="preserve"> </w:t>
            </w:r>
            <w:r>
              <w:rPr>
                <w:bCs/>
              </w:rPr>
              <w:t>(redakciniai pakeitimai ryšium su VSAT padalinių pavadinimų tikslinimu)</w:t>
            </w:r>
            <w:r w:rsidRPr="00E5610C">
              <w:t xml:space="preserve">. </w:t>
            </w:r>
            <w:r w:rsidR="009B3142">
              <w:rPr>
                <w:bCs/>
              </w:rPr>
              <w:t xml:space="preserve">Pažymėtina ir tai, kad keičiamas nutarimas yra priskirtinas ne Vidaus reikalų ministerijos, o Susisiekimo ministerijos valdymo sričiai, jis, be Ministro Pirmininko, yra pasirašytas susiekimo ministro. Tad esant poreikiui atlikti platesnę keičiamo nutarimo peržiūrą, tai pagal kompetencija turėtų būti pavesta Susisiekimo ministerijai. </w:t>
            </w:r>
            <w:r w:rsidRPr="00E5610C">
              <w:t>Taip pat žr. argumentus dėl 1 pastabos.</w:t>
            </w:r>
          </w:p>
          <w:p w:rsidR="00BF7DA8" w:rsidRPr="009E451C" w:rsidRDefault="00BF7DA8" w:rsidP="004E4804">
            <w:pPr>
              <w:tabs>
                <w:tab w:val="left" w:pos="4962"/>
              </w:tabs>
              <w:jc w:val="both"/>
              <w:rPr>
                <w:b/>
              </w:rPr>
            </w:pPr>
          </w:p>
        </w:tc>
      </w:tr>
      <w:tr w:rsidR="00BF7DA8" w:rsidRPr="009E451C" w:rsidTr="004C116C">
        <w:trPr>
          <w:trHeight w:val="1605"/>
        </w:trPr>
        <w:tc>
          <w:tcPr>
            <w:tcW w:w="1560" w:type="dxa"/>
          </w:tcPr>
          <w:p w:rsidR="00BF7DA8" w:rsidRPr="009E451C" w:rsidRDefault="00BF7DA8" w:rsidP="00BF7DA8">
            <w:pPr>
              <w:tabs>
                <w:tab w:val="left" w:pos="4962"/>
              </w:tabs>
            </w:pPr>
          </w:p>
        </w:tc>
        <w:tc>
          <w:tcPr>
            <w:tcW w:w="4800" w:type="dxa"/>
            <w:tcBorders>
              <w:top w:val="single" w:sz="4" w:space="0" w:color="auto"/>
              <w:bottom w:val="single" w:sz="4" w:space="0" w:color="auto"/>
            </w:tcBorders>
          </w:tcPr>
          <w:p w:rsidR="00BF7DA8" w:rsidRPr="00BF7DA8" w:rsidRDefault="00BF7DA8" w:rsidP="00BF7DA8">
            <w:pPr>
              <w:jc w:val="both"/>
            </w:pPr>
            <w:r w:rsidRPr="00BF7DA8">
              <w:t>11.</w:t>
            </w:r>
            <w:r w:rsidRPr="00BF7DA8">
              <w:tab/>
              <w:t>Projekto Nr. 4 preambulėje teikiant nuorodą į Lietuvos Respublikos Vyriausybės ir Latvijos Respublikos Vyriausybės susitarimą dėl Lietuvos ir Latvijos valstybės sienos priežiūros ir sienos įgaliotinių veiklos nurodytinas Lietuvos Respublikos įstatymas, kuriuo šis susitarimas buvo ratifikuotas.</w:t>
            </w:r>
          </w:p>
        </w:tc>
        <w:tc>
          <w:tcPr>
            <w:tcW w:w="8579" w:type="dxa"/>
            <w:tcBorders>
              <w:top w:val="single" w:sz="4" w:space="0" w:color="auto"/>
              <w:bottom w:val="single" w:sz="4" w:space="0" w:color="auto"/>
            </w:tcBorders>
          </w:tcPr>
          <w:p w:rsidR="00BF7DA8" w:rsidRPr="00BF7DA8" w:rsidRDefault="004E4804" w:rsidP="002440CF">
            <w:pPr>
              <w:tabs>
                <w:tab w:val="left" w:pos="4962"/>
              </w:tabs>
              <w:jc w:val="both"/>
            </w:pPr>
            <w:r w:rsidRPr="004E4804">
              <w:t xml:space="preserve">Pastabai pritartina, tačiau šis nutarimas išimtas iš teikiamo paketo ir sujungtas su nutarimo </w:t>
            </w:r>
            <w:r w:rsidRPr="003C1CE4">
              <w:t xml:space="preserve">projektu Nr. 20-2297, kadangi </w:t>
            </w:r>
            <w:r w:rsidRPr="004E4804">
              <w:t>abu nutarimai įgyvendina to paties</w:t>
            </w:r>
            <w:r>
              <w:rPr>
                <w:b/>
              </w:rPr>
              <w:t xml:space="preserve"> </w:t>
            </w:r>
            <w:r w:rsidRPr="00BF7DA8">
              <w:t>Lietuvos Respublikos Vyriausybės ir Latvijos Respublikos Vyriausybės susitarimą dėl Lietuvos ir Latvijos valstybės sienos priežiūros ir sienos įgaliotinių veiklos</w:t>
            </w:r>
            <w:r>
              <w:t xml:space="preserve"> nuostatai, tad tikslinga susitarimo nuostatas įgyvendinti </w:t>
            </w:r>
            <w:r w:rsidRPr="002440CF">
              <w:t>kompleksiškai vienu nutarimu. Naujas nutarimo projektas Vyriausybei pateiktas atskirai</w:t>
            </w:r>
            <w:r w:rsidR="002440CF" w:rsidRPr="002440CF">
              <w:t xml:space="preserve"> (</w:t>
            </w:r>
            <w:r w:rsidR="002440CF" w:rsidRPr="002440CF">
              <w:rPr>
                <w:shd w:val="clear" w:color="auto" w:fill="FFFFFF"/>
              </w:rPr>
              <w:t>20-2297(2))</w:t>
            </w:r>
            <w:r w:rsidRPr="002440CF">
              <w:t>.</w:t>
            </w:r>
          </w:p>
        </w:tc>
      </w:tr>
      <w:tr w:rsidR="00BF7DA8" w:rsidRPr="009E451C" w:rsidTr="004C116C">
        <w:trPr>
          <w:trHeight w:val="1605"/>
        </w:trPr>
        <w:tc>
          <w:tcPr>
            <w:tcW w:w="1560" w:type="dxa"/>
          </w:tcPr>
          <w:p w:rsidR="00BF7DA8" w:rsidRPr="009E451C" w:rsidRDefault="00BF7DA8" w:rsidP="00BF7DA8">
            <w:pPr>
              <w:tabs>
                <w:tab w:val="left" w:pos="4962"/>
              </w:tabs>
            </w:pPr>
          </w:p>
        </w:tc>
        <w:tc>
          <w:tcPr>
            <w:tcW w:w="4800" w:type="dxa"/>
            <w:tcBorders>
              <w:top w:val="single" w:sz="4" w:space="0" w:color="auto"/>
              <w:bottom w:val="single" w:sz="4" w:space="0" w:color="auto"/>
            </w:tcBorders>
          </w:tcPr>
          <w:p w:rsidR="00BF7DA8" w:rsidRDefault="00231A38" w:rsidP="00BF7DA8">
            <w:pPr>
              <w:jc w:val="both"/>
            </w:pPr>
            <w:r>
              <w:t xml:space="preserve">12. Siūlome Projektą Nr. 4 papildyti analogiška </w:t>
            </w:r>
            <w:r w:rsidRPr="006C3C95">
              <w:rPr>
                <w:bCs/>
              </w:rPr>
              <w:t xml:space="preserve">Lietuvos Respublikos </w:t>
            </w:r>
            <w:r w:rsidRPr="00FB0EE7">
              <w:rPr>
                <w:bCs/>
              </w:rPr>
              <w:t>Vyriausybės 2012</w:t>
            </w:r>
            <w:r>
              <w:rPr>
                <w:bCs/>
              </w:rPr>
              <w:t> </w:t>
            </w:r>
            <w:r w:rsidRPr="00FB0EE7">
              <w:rPr>
                <w:bCs/>
              </w:rPr>
              <w:t>m. spalio 10 d. nutarimo Nr. 1228 „Dėl valstybės sienos įgaliotinio ir jo pavaduotojų paskyrimo“</w:t>
            </w:r>
            <w:r>
              <w:rPr>
                <w:bCs/>
              </w:rPr>
              <w:t>2 punkto</w:t>
            </w:r>
            <w:r w:rsidRPr="00FB0EE7">
              <w:t xml:space="preserve"> </w:t>
            </w:r>
            <w:r>
              <w:t>nuostata.</w:t>
            </w:r>
          </w:p>
        </w:tc>
        <w:tc>
          <w:tcPr>
            <w:tcW w:w="8579" w:type="dxa"/>
            <w:tcBorders>
              <w:top w:val="single" w:sz="4" w:space="0" w:color="auto"/>
              <w:bottom w:val="single" w:sz="4" w:space="0" w:color="auto"/>
            </w:tcBorders>
          </w:tcPr>
          <w:p w:rsidR="004E4804" w:rsidRPr="004E4804" w:rsidRDefault="004E4804" w:rsidP="004E4804">
            <w:pPr>
              <w:tabs>
                <w:tab w:val="left" w:pos="4962"/>
              </w:tabs>
              <w:jc w:val="both"/>
            </w:pPr>
            <w:r w:rsidRPr="004E4804">
              <w:t>Žr. paaiškinimą dėl 11 pastabos.</w:t>
            </w:r>
          </w:p>
          <w:p w:rsidR="00BF7DA8" w:rsidRPr="009E451C" w:rsidRDefault="00BF7DA8" w:rsidP="00CE32D9">
            <w:pPr>
              <w:tabs>
                <w:tab w:val="left" w:pos="4962"/>
              </w:tabs>
              <w:ind w:firstLine="679"/>
              <w:jc w:val="both"/>
              <w:rPr>
                <w:b/>
              </w:rPr>
            </w:pPr>
          </w:p>
        </w:tc>
      </w:tr>
      <w:tr w:rsidR="006B2EA2" w:rsidRPr="009E451C" w:rsidTr="004C116C">
        <w:trPr>
          <w:trHeight w:val="1605"/>
        </w:trPr>
        <w:tc>
          <w:tcPr>
            <w:tcW w:w="1560" w:type="dxa"/>
          </w:tcPr>
          <w:p w:rsidR="006B2EA2" w:rsidRPr="009E451C" w:rsidRDefault="006B2EA2" w:rsidP="00BF7DA8">
            <w:pPr>
              <w:tabs>
                <w:tab w:val="left" w:pos="4962"/>
              </w:tabs>
            </w:pPr>
          </w:p>
        </w:tc>
        <w:tc>
          <w:tcPr>
            <w:tcW w:w="4800" w:type="dxa"/>
            <w:tcBorders>
              <w:top w:val="single" w:sz="4" w:space="0" w:color="auto"/>
              <w:bottom w:val="single" w:sz="4" w:space="0" w:color="auto"/>
            </w:tcBorders>
          </w:tcPr>
          <w:p w:rsidR="006B2EA2" w:rsidRDefault="00231A38" w:rsidP="00231A38">
            <w:pPr>
              <w:tabs>
                <w:tab w:val="left" w:pos="517"/>
              </w:tabs>
              <w:jc w:val="both"/>
            </w:pPr>
            <w:r w:rsidRPr="00231A38">
              <w:t>13.</w:t>
            </w:r>
            <w:r w:rsidRPr="00231A38">
              <w:tab/>
              <w:t>Aplinkos ministeriją siūlome įvertinti, ar Projektu Nr. 5 keičiamas Vyriausybės 2008 m. birželio 11 d. nutarimas Nr. 563 neturėtų būti keičiamas ir kitais aspektais, nes pakeistas šiuos santykius nustatantis įstatyminis reguliavimas.</w:t>
            </w:r>
          </w:p>
        </w:tc>
        <w:tc>
          <w:tcPr>
            <w:tcW w:w="8579" w:type="dxa"/>
            <w:tcBorders>
              <w:top w:val="single" w:sz="4" w:space="0" w:color="auto"/>
              <w:bottom w:val="single" w:sz="4" w:space="0" w:color="auto"/>
            </w:tcBorders>
          </w:tcPr>
          <w:p w:rsidR="00231A38" w:rsidRDefault="00231A38" w:rsidP="00231A38">
            <w:pPr>
              <w:tabs>
                <w:tab w:val="left" w:pos="4962"/>
              </w:tabs>
              <w:ind w:firstLine="679"/>
              <w:jc w:val="both"/>
              <w:rPr>
                <w:b/>
              </w:rPr>
            </w:pPr>
            <w:r>
              <w:rPr>
                <w:b/>
              </w:rPr>
              <w:t xml:space="preserve">Neatsižvelgta.                </w:t>
            </w:r>
          </w:p>
          <w:p w:rsidR="006B2EA2" w:rsidRPr="009E451C" w:rsidRDefault="004E4804" w:rsidP="009B3142">
            <w:pPr>
              <w:tabs>
                <w:tab w:val="left" w:pos="4962"/>
              </w:tabs>
              <w:jc w:val="both"/>
              <w:rPr>
                <w:b/>
              </w:rPr>
            </w:pPr>
            <w:r w:rsidRPr="00E5610C">
              <w:t>Pastaba nesusijusi su nutarimo projekto rengimo tikslais</w:t>
            </w:r>
            <w:r>
              <w:t xml:space="preserve"> </w:t>
            </w:r>
            <w:r>
              <w:rPr>
                <w:bCs/>
              </w:rPr>
              <w:t>(redakciniai pakeitimai ryšium su VSAT padalinių pavadinimų tikslinimu)</w:t>
            </w:r>
            <w:r w:rsidRPr="00E5610C">
              <w:t xml:space="preserve">. </w:t>
            </w:r>
            <w:r w:rsidR="009B3142">
              <w:rPr>
                <w:bCs/>
              </w:rPr>
              <w:t xml:space="preserve">Pažymėtina ir tai, kad keičiamas nutarimas yra priskirtinas ne Vidaus reikalų ministerijos, o </w:t>
            </w:r>
            <w:r w:rsidR="009B3142">
              <w:rPr>
                <w:bCs/>
              </w:rPr>
              <w:t>Aplinkos</w:t>
            </w:r>
            <w:r w:rsidR="009B3142">
              <w:rPr>
                <w:bCs/>
              </w:rPr>
              <w:t xml:space="preserve"> ministerijos valdymo sričiai, jis, be Ministro Pirmininko, yra pasirašytas </w:t>
            </w:r>
            <w:r w:rsidR="009B3142">
              <w:rPr>
                <w:bCs/>
              </w:rPr>
              <w:t>aplinkos</w:t>
            </w:r>
            <w:r w:rsidR="009B3142">
              <w:rPr>
                <w:bCs/>
              </w:rPr>
              <w:t xml:space="preserve"> ministro. Tad esant poreikiui atlikti platesnę keičiamo nutarimo peržiūrą, tai pagal kompetencija turėtų būti pavesta </w:t>
            </w:r>
            <w:r w:rsidR="009B3142">
              <w:rPr>
                <w:bCs/>
              </w:rPr>
              <w:t>Aplinkos</w:t>
            </w:r>
            <w:r w:rsidR="009B3142">
              <w:rPr>
                <w:bCs/>
              </w:rPr>
              <w:t xml:space="preserve"> ministerijai. </w:t>
            </w:r>
            <w:r w:rsidRPr="00E5610C">
              <w:t>Taip pat žr. argumentus dėl 1 pastabos.</w:t>
            </w:r>
            <w:r>
              <w:rPr>
                <w:bCs/>
              </w:rPr>
              <w:t xml:space="preserve"> </w:t>
            </w:r>
            <w:bookmarkStart w:id="0" w:name="_GoBack"/>
            <w:bookmarkEnd w:id="0"/>
          </w:p>
        </w:tc>
      </w:tr>
      <w:tr w:rsidR="00231A38" w:rsidRPr="009E451C" w:rsidTr="004C116C">
        <w:trPr>
          <w:trHeight w:val="1605"/>
        </w:trPr>
        <w:tc>
          <w:tcPr>
            <w:tcW w:w="1560" w:type="dxa"/>
          </w:tcPr>
          <w:p w:rsidR="00231A38" w:rsidRPr="009E451C" w:rsidRDefault="00231A38" w:rsidP="00BF7DA8">
            <w:pPr>
              <w:tabs>
                <w:tab w:val="left" w:pos="4962"/>
              </w:tabs>
            </w:pPr>
          </w:p>
        </w:tc>
        <w:tc>
          <w:tcPr>
            <w:tcW w:w="4800" w:type="dxa"/>
            <w:tcBorders>
              <w:top w:val="single" w:sz="4" w:space="0" w:color="auto"/>
              <w:bottom w:val="single" w:sz="4" w:space="0" w:color="auto"/>
            </w:tcBorders>
          </w:tcPr>
          <w:p w:rsidR="00231A38" w:rsidRDefault="008414DD" w:rsidP="00BF7DA8">
            <w:pPr>
              <w:jc w:val="both"/>
            </w:pPr>
            <w:r w:rsidRPr="008414DD">
              <w:t>14.</w:t>
            </w:r>
            <w:r w:rsidRPr="008414DD">
              <w:tab/>
              <w:t>Projekto Nr. 5 nuostata dėl Valstybės sienos apsaugos tarnybos prie Vidaus reikalų ministerijos Pagėgių pasienio rinktinės informavimo yra perteklinė Aplinkos apsaugos valstybinės kontrolės įstatymo 39</w:t>
            </w:r>
            <w:r w:rsidRPr="008414DD">
              <w:rPr>
                <w:vertAlign w:val="superscript"/>
              </w:rPr>
              <w:t>3</w:t>
            </w:r>
            <w:r w:rsidRPr="008414DD">
              <w:t xml:space="preserve"> straipsnio 3 dalies ir Valstybės sienos apsaugos tarnybos prie Lietuvos Respublikos vidaus reikalų ministerijos nuostatų, patvirtintų Lietuvos Respublikos Vyriausybės 2001 m. vasario 22 d. nutarimu Nr. 194 , atžvilgiu. Šiuose nuostatuose nustatytas visų Valstybės sienos apsaugos tarnybos prie Lietuvos Respublikos vidaus reikalų ministerijos struktūrinių padalinių (rinktinų) veikimo teritorijos.</w:t>
            </w:r>
          </w:p>
        </w:tc>
        <w:tc>
          <w:tcPr>
            <w:tcW w:w="8579" w:type="dxa"/>
            <w:tcBorders>
              <w:top w:val="single" w:sz="4" w:space="0" w:color="auto"/>
              <w:bottom w:val="single" w:sz="4" w:space="0" w:color="auto"/>
            </w:tcBorders>
          </w:tcPr>
          <w:p w:rsidR="003C1CE4" w:rsidRDefault="003C1CE4" w:rsidP="003C1CE4">
            <w:pPr>
              <w:tabs>
                <w:tab w:val="left" w:pos="4962"/>
              </w:tabs>
              <w:ind w:firstLine="679"/>
              <w:jc w:val="both"/>
              <w:rPr>
                <w:b/>
              </w:rPr>
            </w:pPr>
            <w:r>
              <w:rPr>
                <w:b/>
              </w:rPr>
              <w:t xml:space="preserve">Atsižvelgta.                </w:t>
            </w:r>
          </w:p>
          <w:p w:rsidR="00CE32D9" w:rsidRPr="00CE32D9" w:rsidRDefault="00CE32D9" w:rsidP="003C1CE4">
            <w:pPr>
              <w:tabs>
                <w:tab w:val="left" w:pos="4962"/>
              </w:tabs>
              <w:jc w:val="both"/>
            </w:pPr>
          </w:p>
        </w:tc>
      </w:tr>
      <w:tr w:rsidR="008414DD" w:rsidRPr="009E451C" w:rsidTr="004C116C">
        <w:trPr>
          <w:trHeight w:val="1605"/>
        </w:trPr>
        <w:tc>
          <w:tcPr>
            <w:tcW w:w="1560" w:type="dxa"/>
          </w:tcPr>
          <w:p w:rsidR="008414DD" w:rsidRPr="009E451C" w:rsidRDefault="008414DD" w:rsidP="00BF7DA8">
            <w:pPr>
              <w:tabs>
                <w:tab w:val="left" w:pos="4962"/>
              </w:tabs>
            </w:pPr>
          </w:p>
        </w:tc>
        <w:tc>
          <w:tcPr>
            <w:tcW w:w="4800" w:type="dxa"/>
            <w:tcBorders>
              <w:top w:val="single" w:sz="4" w:space="0" w:color="auto"/>
              <w:bottom w:val="single" w:sz="4" w:space="0" w:color="auto"/>
            </w:tcBorders>
          </w:tcPr>
          <w:p w:rsidR="008414DD" w:rsidRDefault="0071057B" w:rsidP="00BF7DA8">
            <w:pPr>
              <w:jc w:val="both"/>
            </w:pPr>
            <w:r>
              <w:rPr>
                <w:bCs/>
              </w:rPr>
              <w:t xml:space="preserve">15. </w:t>
            </w:r>
            <w:r w:rsidR="008414DD">
              <w:rPr>
                <w:bCs/>
              </w:rPr>
              <w:t xml:space="preserve">Siūlytina keisti ir </w:t>
            </w:r>
            <w:r w:rsidR="008414DD" w:rsidRPr="002E0EDE">
              <w:t>Vyriausybės 2012 m. spalio 10 d. nutarimo Nr. 1228 „Dėl valstybės sienos įgaliotinio ir jo pavaduotojų paskyrimo“</w:t>
            </w:r>
            <w:r w:rsidR="008414DD">
              <w:t xml:space="preserve"> preambulę, kurioje </w:t>
            </w:r>
            <w:r w:rsidR="008414DD" w:rsidRPr="002E0EDE">
              <w:rPr>
                <w:bCs/>
              </w:rPr>
              <w:t xml:space="preserve">nurodytinas </w:t>
            </w:r>
            <w:r w:rsidR="008414DD" w:rsidRPr="002E0EDE">
              <w:t>Lietuvos Respublikos įstatymas, kuriuo  ratifikuo</w:t>
            </w:r>
            <w:r w:rsidR="008414DD">
              <w:t>tas</w:t>
            </w:r>
            <w:r w:rsidR="008414DD" w:rsidRPr="002E0EDE">
              <w:t xml:space="preserve"> Lietuvos Respublikos Vyriausybės ir Rusijos Federacijos Vyriausybės susitarim</w:t>
            </w:r>
            <w:r w:rsidR="008414DD">
              <w:t>as</w:t>
            </w:r>
            <w:r w:rsidR="008414DD" w:rsidRPr="002E0EDE">
              <w:t xml:space="preserve"> dėl valstybės sienos įgaliotinių veiklos.</w:t>
            </w:r>
          </w:p>
        </w:tc>
        <w:tc>
          <w:tcPr>
            <w:tcW w:w="8579" w:type="dxa"/>
            <w:tcBorders>
              <w:top w:val="single" w:sz="4" w:space="0" w:color="auto"/>
              <w:bottom w:val="single" w:sz="4" w:space="0" w:color="auto"/>
            </w:tcBorders>
          </w:tcPr>
          <w:p w:rsidR="00CE32D9" w:rsidRDefault="00CE32D9" w:rsidP="00CE32D9">
            <w:pPr>
              <w:tabs>
                <w:tab w:val="left" w:pos="4962"/>
              </w:tabs>
              <w:jc w:val="both"/>
            </w:pPr>
            <w:r w:rsidRPr="004E4804">
              <w:t>Pastabai pritartina, tačiau šis nutarim</w:t>
            </w:r>
            <w:r w:rsidR="003C1CE4">
              <w:t>o projekt</w:t>
            </w:r>
            <w:r w:rsidRPr="004E4804">
              <w:t xml:space="preserve">as išimtas iš teikiamo paketo ir </w:t>
            </w:r>
            <w:r>
              <w:t xml:space="preserve">Vyriausybei </w:t>
            </w:r>
            <w:r w:rsidR="003C1CE4">
              <w:t>pa</w:t>
            </w:r>
            <w:r>
              <w:t>teik</w:t>
            </w:r>
            <w:r w:rsidR="003C1CE4">
              <w:t>t</w:t>
            </w:r>
            <w:r>
              <w:t>as kartu su 11 pastabos paaiškinime nurodomu nutarim</w:t>
            </w:r>
            <w:r w:rsidR="003C1CE4">
              <w:t>o projekt</w:t>
            </w:r>
            <w:r>
              <w:t>u.</w:t>
            </w:r>
          </w:p>
          <w:p w:rsidR="008414DD" w:rsidRPr="009E451C" w:rsidRDefault="008414DD" w:rsidP="00E001B9">
            <w:pPr>
              <w:tabs>
                <w:tab w:val="left" w:pos="4962"/>
              </w:tabs>
              <w:jc w:val="both"/>
              <w:rPr>
                <w:b/>
              </w:rPr>
            </w:pPr>
            <w:r>
              <w:rPr>
                <w:b/>
              </w:rPr>
              <w:t xml:space="preserve">          </w:t>
            </w:r>
          </w:p>
        </w:tc>
      </w:tr>
      <w:tr w:rsidR="008414DD" w:rsidRPr="009E451C" w:rsidTr="004C116C">
        <w:trPr>
          <w:trHeight w:val="1605"/>
        </w:trPr>
        <w:tc>
          <w:tcPr>
            <w:tcW w:w="1560" w:type="dxa"/>
          </w:tcPr>
          <w:p w:rsidR="008414DD" w:rsidRPr="009E451C" w:rsidRDefault="008414DD" w:rsidP="00BF7DA8">
            <w:pPr>
              <w:tabs>
                <w:tab w:val="left" w:pos="4962"/>
              </w:tabs>
            </w:pPr>
          </w:p>
        </w:tc>
        <w:tc>
          <w:tcPr>
            <w:tcW w:w="4800" w:type="dxa"/>
            <w:tcBorders>
              <w:top w:val="single" w:sz="4" w:space="0" w:color="auto"/>
              <w:bottom w:val="single" w:sz="4" w:space="0" w:color="auto"/>
            </w:tcBorders>
          </w:tcPr>
          <w:p w:rsidR="008414DD" w:rsidRDefault="0071057B" w:rsidP="0071057B">
            <w:pPr>
              <w:jc w:val="both"/>
            </w:pPr>
            <w:r>
              <w:t xml:space="preserve">16. </w:t>
            </w:r>
            <w:r w:rsidRPr="0071057B">
              <w:t>Projekto Nr. 6 lyginamasis variantas tikslintinas pagal Rekomendacijų 113.3 papunktį (turi matytis visi atlikti pakeitimai, t. y., nesimato visų siūlomų išbraukti žodžių).</w:t>
            </w:r>
          </w:p>
        </w:tc>
        <w:tc>
          <w:tcPr>
            <w:tcW w:w="8579" w:type="dxa"/>
            <w:tcBorders>
              <w:top w:val="single" w:sz="4" w:space="0" w:color="auto"/>
              <w:bottom w:val="single" w:sz="4" w:space="0" w:color="auto"/>
            </w:tcBorders>
          </w:tcPr>
          <w:p w:rsidR="00CE32D9" w:rsidRPr="00CE32D9" w:rsidRDefault="00CE32D9" w:rsidP="00BF7DA8">
            <w:pPr>
              <w:tabs>
                <w:tab w:val="left" w:pos="4962"/>
              </w:tabs>
              <w:jc w:val="both"/>
            </w:pPr>
            <w:r w:rsidRPr="00CE32D9">
              <w:t>Žr. paaiškinimą dėl 15 pastabos.</w:t>
            </w:r>
          </w:p>
          <w:p w:rsidR="008414DD" w:rsidRPr="009E451C" w:rsidRDefault="008414DD" w:rsidP="00BF7DA8">
            <w:pPr>
              <w:tabs>
                <w:tab w:val="left" w:pos="4962"/>
              </w:tabs>
              <w:jc w:val="both"/>
              <w:rPr>
                <w:b/>
              </w:rPr>
            </w:pPr>
          </w:p>
        </w:tc>
      </w:tr>
      <w:tr w:rsidR="0071057B" w:rsidRPr="009E451C" w:rsidTr="0071057B">
        <w:trPr>
          <w:trHeight w:val="1125"/>
        </w:trPr>
        <w:tc>
          <w:tcPr>
            <w:tcW w:w="1560" w:type="dxa"/>
          </w:tcPr>
          <w:p w:rsidR="0071057B" w:rsidRPr="009E451C" w:rsidRDefault="0071057B" w:rsidP="00BF7DA8">
            <w:pPr>
              <w:tabs>
                <w:tab w:val="left" w:pos="4962"/>
              </w:tabs>
            </w:pPr>
          </w:p>
        </w:tc>
        <w:tc>
          <w:tcPr>
            <w:tcW w:w="4800" w:type="dxa"/>
            <w:tcBorders>
              <w:top w:val="single" w:sz="4" w:space="0" w:color="auto"/>
              <w:bottom w:val="single" w:sz="4" w:space="0" w:color="auto"/>
            </w:tcBorders>
          </w:tcPr>
          <w:p w:rsidR="0071057B" w:rsidRDefault="0071057B" w:rsidP="0071057B">
            <w:pPr>
              <w:tabs>
                <w:tab w:val="left" w:pos="481"/>
              </w:tabs>
              <w:jc w:val="both"/>
            </w:pPr>
            <w:r>
              <w:t>17.</w:t>
            </w:r>
            <w:r>
              <w:tab/>
              <w:t xml:space="preserve">Projektu Nr. 7 keičiamo Vyriausybės 2015 m. vasario 9 d. nutarimo Nr. 137 nauja redakcija įsigaliojo tik 2020 m. sausio 1 d. (su Vidaus reikalų ministerija jį dėstant nauja redakcija buvo derinta), o teikime Vyriausybei nurodyti teisės aktai, kurių pagrindu keičiamas šis nutarimas jau galiojo jį dėstant nauja redakcija, o ir keičiamos nuostatos neatitinka keičiamo Ignalinos atominės elektrinės eksploatavimo nutraukimo </w:t>
            </w:r>
            <w:proofErr w:type="spellStart"/>
            <w:r>
              <w:t>tarpinstitucinio</w:t>
            </w:r>
            <w:proofErr w:type="spellEnd"/>
            <w:r>
              <w:t xml:space="preserve"> veiklos plano 1 priedo 1.1.2.1 papunkčio redakcijos. Atsižvelgdami į tai, siūlome tikslinti Projektą Nr. 7, o jame atliekamus pakeitimus pagrįsti.</w:t>
            </w:r>
          </w:p>
          <w:p w:rsidR="0071057B" w:rsidRDefault="0071057B" w:rsidP="0071057B">
            <w:pPr>
              <w:tabs>
                <w:tab w:val="left" w:pos="331"/>
              </w:tabs>
              <w:jc w:val="both"/>
            </w:pPr>
            <w:r>
              <w:t>18.</w:t>
            </w:r>
            <w:r>
              <w:tab/>
              <w:t>Projektas Nr. 7 turi būti suderintas su Energetikos ministerija (pagal Vyriausybės darbo reglamento 26 punktą).</w:t>
            </w:r>
          </w:p>
        </w:tc>
        <w:tc>
          <w:tcPr>
            <w:tcW w:w="8579" w:type="dxa"/>
            <w:tcBorders>
              <w:top w:val="single" w:sz="4" w:space="0" w:color="auto"/>
              <w:bottom w:val="single" w:sz="4" w:space="0" w:color="auto"/>
            </w:tcBorders>
          </w:tcPr>
          <w:p w:rsidR="0071057B" w:rsidRDefault="0071057B" w:rsidP="00BF7DA8">
            <w:pPr>
              <w:tabs>
                <w:tab w:val="left" w:pos="4962"/>
              </w:tabs>
              <w:jc w:val="both"/>
              <w:rPr>
                <w:b/>
              </w:rPr>
            </w:pPr>
            <w:r>
              <w:rPr>
                <w:b/>
              </w:rPr>
              <w:t xml:space="preserve">            Atsižvelgta.</w:t>
            </w:r>
          </w:p>
          <w:p w:rsidR="0071057B" w:rsidRPr="0071057B" w:rsidRDefault="0071057B" w:rsidP="00CE32D9">
            <w:pPr>
              <w:tabs>
                <w:tab w:val="left" w:pos="4962"/>
              </w:tabs>
              <w:jc w:val="both"/>
            </w:pPr>
            <w:r w:rsidRPr="0071057B">
              <w:t>Įvertinus atliktus nutarimo pakeitimus, pakeitimo projektą teikti netikslinga.</w:t>
            </w:r>
          </w:p>
        </w:tc>
      </w:tr>
    </w:tbl>
    <w:p w:rsidR="00190372" w:rsidRDefault="00190372" w:rsidP="00190372">
      <w:pPr>
        <w:tabs>
          <w:tab w:val="left" w:pos="4962"/>
        </w:tabs>
        <w:jc w:val="center"/>
      </w:pPr>
    </w:p>
    <w:p w:rsidR="00190372" w:rsidRDefault="00190372" w:rsidP="00190372">
      <w:pPr>
        <w:tabs>
          <w:tab w:val="left" w:pos="4962"/>
        </w:tabs>
        <w:jc w:val="center"/>
      </w:pPr>
    </w:p>
    <w:p w:rsidR="00190372" w:rsidRPr="009E451C" w:rsidRDefault="0071057B" w:rsidP="00190372">
      <w:pPr>
        <w:tabs>
          <w:tab w:val="left" w:pos="4962"/>
        </w:tabs>
        <w:jc w:val="center"/>
      </w:pPr>
      <w:r>
        <w:t>____________________________________</w:t>
      </w:r>
    </w:p>
    <w:p w:rsidR="00190372" w:rsidRPr="009E451C" w:rsidRDefault="00190372" w:rsidP="00190372">
      <w:pPr>
        <w:tabs>
          <w:tab w:val="left" w:pos="4962"/>
        </w:tabs>
        <w:jc w:val="center"/>
      </w:pPr>
    </w:p>
    <w:p w:rsidR="00190372" w:rsidRDefault="00190372" w:rsidP="00190372"/>
    <w:p w:rsidR="00224B42" w:rsidRDefault="00224B42"/>
    <w:sectPr w:rsidR="00224B42" w:rsidSect="00263E29">
      <w:headerReference w:type="default" r:id="rId6"/>
      <w:headerReference w:type="first" r:id="rId7"/>
      <w:pgSz w:w="16838" w:h="11906" w:orient="landscape"/>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C16" w:rsidRDefault="00700C16">
      <w:r>
        <w:separator/>
      </w:r>
    </w:p>
  </w:endnote>
  <w:endnote w:type="continuationSeparator" w:id="0">
    <w:p w:rsidR="00700C16" w:rsidRDefault="0070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C16" w:rsidRDefault="00700C16">
      <w:r>
        <w:separator/>
      </w:r>
    </w:p>
  </w:footnote>
  <w:footnote w:type="continuationSeparator" w:id="0">
    <w:p w:rsidR="00700C16" w:rsidRDefault="00700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FAA" w:rsidRDefault="00F90FAA">
    <w:pPr>
      <w:pStyle w:val="Antrats"/>
      <w:jc w:val="center"/>
    </w:pPr>
    <w:r>
      <w:fldChar w:fldCharType="begin"/>
    </w:r>
    <w:r>
      <w:instrText xml:space="preserve"> PAGE   \* MERGEFORMAT </w:instrText>
    </w:r>
    <w:r>
      <w:fldChar w:fldCharType="separate"/>
    </w:r>
    <w:r w:rsidR="009B3142">
      <w:rPr>
        <w:noProof/>
      </w:rPr>
      <w:t>7</w:t>
    </w:r>
    <w:r>
      <w:fldChar w:fldCharType="end"/>
    </w:r>
  </w:p>
  <w:p w:rsidR="00F90FAA" w:rsidRDefault="00F90FA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FAA" w:rsidRDefault="00F90FAA">
    <w:pPr>
      <w:pStyle w:val="Antrats"/>
      <w:jc w:val="center"/>
    </w:pPr>
  </w:p>
  <w:p w:rsidR="00F90FAA" w:rsidRDefault="00F90FA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372"/>
    <w:rsid w:val="000218E9"/>
    <w:rsid w:val="00036732"/>
    <w:rsid w:val="000C7757"/>
    <w:rsid w:val="001826D3"/>
    <w:rsid w:val="00190372"/>
    <w:rsid w:val="0019359D"/>
    <w:rsid w:val="001A64D4"/>
    <w:rsid w:val="001D4B22"/>
    <w:rsid w:val="001D5A23"/>
    <w:rsid w:val="00220541"/>
    <w:rsid w:val="00224B42"/>
    <w:rsid w:val="00231A38"/>
    <w:rsid w:val="002440CF"/>
    <w:rsid w:val="00263E29"/>
    <w:rsid w:val="002677DD"/>
    <w:rsid w:val="0030134A"/>
    <w:rsid w:val="003C1CE4"/>
    <w:rsid w:val="00450BA1"/>
    <w:rsid w:val="004643AC"/>
    <w:rsid w:val="00487C49"/>
    <w:rsid w:val="004A367E"/>
    <w:rsid w:val="004C116C"/>
    <w:rsid w:val="004E4804"/>
    <w:rsid w:val="005310FA"/>
    <w:rsid w:val="00564931"/>
    <w:rsid w:val="005B7480"/>
    <w:rsid w:val="005E4AB9"/>
    <w:rsid w:val="005F2880"/>
    <w:rsid w:val="006342E9"/>
    <w:rsid w:val="00676A8B"/>
    <w:rsid w:val="006B2EA2"/>
    <w:rsid w:val="006E2763"/>
    <w:rsid w:val="00700C16"/>
    <w:rsid w:val="0071057B"/>
    <w:rsid w:val="007D22C1"/>
    <w:rsid w:val="008414DD"/>
    <w:rsid w:val="008A0A09"/>
    <w:rsid w:val="00953269"/>
    <w:rsid w:val="009B3142"/>
    <w:rsid w:val="009C5FA3"/>
    <w:rsid w:val="00A30FD6"/>
    <w:rsid w:val="00B21EF0"/>
    <w:rsid w:val="00BF7DA8"/>
    <w:rsid w:val="00C164C0"/>
    <w:rsid w:val="00C251E3"/>
    <w:rsid w:val="00C6057A"/>
    <w:rsid w:val="00C67745"/>
    <w:rsid w:val="00C92606"/>
    <w:rsid w:val="00CA32B0"/>
    <w:rsid w:val="00CA5E39"/>
    <w:rsid w:val="00CB42A4"/>
    <w:rsid w:val="00CE32D9"/>
    <w:rsid w:val="00D43180"/>
    <w:rsid w:val="00E001B9"/>
    <w:rsid w:val="00E03B0C"/>
    <w:rsid w:val="00E5610C"/>
    <w:rsid w:val="00E91AF3"/>
    <w:rsid w:val="00F116C8"/>
    <w:rsid w:val="00F2140F"/>
    <w:rsid w:val="00F31164"/>
    <w:rsid w:val="00F90FAA"/>
    <w:rsid w:val="00FC06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2F86D5-F24C-41AF-B250-E38EB4DE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367E"/>
    <w:rPr>
      <w:sz w:val="24"/>
      <w:szCs w:val="24"/>
    </w:rPr>
  </w:style>
  <w:style w:type="paragraph" w:styleId="Antrat2">
    <w:name w:val="heading 2"/>
    <w:aliases w:val="Skyrius"/>
    <w:basedOn w:val="prastasis"/>
    <w:next w:val="prastasis"/>
    <w:link w:val="Antrat2Diagrama"/>
    <w:qFormat/>
    <w:rsid w:val="00190372"/>
    <w:pPr>
      <w:keepNext/>
      <w:jc w:val="center"/>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Skyrius Diagrama"/>
    <w:link w:val="Antrat2"/>
    <w:rsid w:val="00190372"/>
    <w:rPr>
      <w:b/>
      <w:sz w:val="24"/>
      <w:lang w:val="lt-LT" w:eastAsia="en-US" w:bidi="ar-SA"/>
    </w:rPr>
  </w:style>
  <w:style w:type="paragraph" w:styleId="Pagrindiniotekstotrauka">
    <w:name w:val="Body Text Indent"/>
    <w:basedOn w:val="prastasis"/>
    <w:link w:val="PagrindiniotekstotraukaDiagrama"/>
    <w:rsid w:val="00190372"/>
    <w:pPr>
      <w:ind w:firstLine="720"/>
      <w:jc w:val="both"/>
    </w:pPr>
    <w:rPr>
      <w:rFonts w:ascii="TimesLT" w:hAnsi="TimesLT"/>
      <w:szCs w:val="20"/>
      <w:lang w:eastAsia="en-US"/>
    </w:rPr>
  </w:style>
  <w:style w:type="character" w:customStyle="1" w:styleId="PagrindiniotekstotraukaDiagrama">
    <w:name w:val="Pagrindinio teksto įtrauka Diagrama"/>
    <w:link w:val="Pagrindiniotekstotrauka"/>
    <w:rsid w:val="00190372"/>
    <w:rPr>
      <w:rFonts w:ascii="TimesLT" w:hAnsi="TimesLT"/>
      <w:sz w:val="24"/>
      <w:lang w:val="lt-LT" w:eastAsia="en-US" w:bidi="ar-SA"/>
    </w:rPr>
  </w:style>
  <w:style w:type="paragraph" w:styleId="Pagrindinistekstas">
    <w:name w:val="Body Text"/>
    <w:basedOn w:val="prastasis"/>
    <w:link w:val="PagrindinistekstasDiagrama"/>
    <w:rsid w:val="00190372"/>
    <w:pPr>
      <w:spacing w:after="120"/>
    </w:pPr>
  </w:style>
  <w:style w:type="character" w:customStyle="1" w:styleId="PagrindinistekstasDiagrama">
    <w:name w:val="Pagrindinis tekstas Diagrama"/>
    <w:link w:val="Pagrindinistekstas"/>
    <w:rsid w:val="00190372"/>
    <w:rPr>
      <w:sz w:val="24"/>
      <w:szCs w:val="24"/>
      <w:lang w:val="lt-LT" w:eastAsia="lt-LT" w:bidi="ar-SA"/>
    </w:rPr>
  </w:style>
  <w:style w:type="paragraph" w:styleId="Antrats">
    <w:name w:val="header"/>
    <w:basedOn w:val="prastasis"/>
    <w:link w:val="AntratsDiagrama"/>
    <w:rsid w:val="00190372"/>
    <w:pPr>
      <w:tabs>
        <w:tab w:val="center" w:pos="4819"/>
        <w:tab w:val="right" w:pos="9638"/>
      </w:tabs>
    </w:pPr>
  </w:style>
  <w:style w:type="character" w:customStyle="1" w:styleId="AntratsDiagrama">
    <w:name w:val="Antraštės Diagrama"/>
    <w:link w:val="Antrats"/>
    <w:rsid w:val="00190372"/>
    <w:rPr>
      <w:sz w:val="24"/>
      <w:szCs w:val="24"/>
      <w:lang w:val="lt-LT" w:eastAsia="lt-LT" w:bidi="ar-SA"/>
    </w:rPr>
  </w:style>
  <w:style w:type="paragraph" w:styleId="Pagrindiniotekstotrauka2">
    <w:name w:val="Body Text Indent 2"/>
    <w:basedOn w:val="prastasis"/>
    <w:link w:val="Pagrindiniotekstotrauka2Diagrama"/>
    <w:rsid w:val="00190372"/>
    <w:pPr>
      <w:spacing w:after="120" w:line="480" w:lineRule="auto"/>
      <w:ind w:left="283"/>
    </w:pPr>
  </w:style>
  <w:style w:type="character" w:customStyle="1" w:styleId="Pagrindiniotekstotrauka2Diagrama">
    <w:name w:val="Pagrindinio teksto įtrauka 2 Diagrama"/>
    <w:link w:val="Pagrindiniotekstotrauka2"/>
    <w:rsid w:val="00190372"/>
    <w:rPr>
      <w:sz w:val="24"/>
      <w:szCs w:val="24"/>
      <w:lang w:val="lt-LT" w:eastAsia="lt-LT" w:bidi="ar-SA"/>
    </w:rPr>
  </w:style>
  <w:style w:type="character" w:styleId="Hipersaitas">
    <w:name w:val="Hyperlink"/>
    <w:rsid w:val="00CB42A4"/>
    <w:rPr>
      <w:color w:val="000000"/>
      <w:u w:val="single"/>
    </w:rPr>
  </w:style>
  <w:style w:type="character" w:customStyle="1" w:styleId="dpav">
    <w:name w:val="dpav"/>
    <w:rsid w:val="00CB42A4"/>
    <w:rPr>
      <w:sz w:val="26"/>
      <w:szCs w:val="26"/>
    </w:rPr>
  </w:style>
  <w:style w:type="character" w:customStyle="1" w:styleId="dnr">
    <w:name w:val="dnr"/>
    <w:basedOn w:val="Numatytasispastraiposriftas"/>
    <w:rsid w:val="00CB42A4"/>
  </w:style>
  <w:style w:type="paragraph" w:styleId="Sraopastraipa">
    <w:name w:val="List Paragraph"/>
    <w:basedOn w:val="prastasis"/>
    <w:uiPriority w:val="34"/>
    <w:qFormat/>
    <w:rsid w:val="00E5610C"/>
    <w:pPr>
      <w:ind w:left="720"/>
      <w:contextualSpacing/>
    </w:pPr>
  </w:style>
  <w:style w:type="paragraph" w:styleId="Debesliotekstas">
    <w:name w:val="Balloon Text"/>
    <w:basedOn w:val="prastasis"/>
    <w:link w:val="DebesliotekstasDiagrama"/>
    <w:semiHidden/>
    <w:unhideWhenUsed/>
    <w:rsid w:val="00E5610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561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10927</Words>
  <Characters>6229</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VSAT</Company>
  <LinksUpToDate>false</LinksUpToDate>
  <CharactersWithSpaces>17122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DERINIMO PAŽYMA</dc:title>
  <dc:creator>rbalkevicius</dc:creator>
  <cp:lastModifiedBy>Darius Domarkas</cp:lastModifiedBy>
  <cp:revision>4</cp:revision>
  <dcterms:created xsi:type="dcterms:W3CDTF">2020-03-02T11:32:00Z</dcterms:created>
  <dcterms:modified xsi:type="dcterms:W3CDTF">2020-03-03T09:17:00Z</dcterms:modified>
</cp:coreProperties>
</file>