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AC44C" w14:textId="77777777" w:rsidR="00126408" w:rsidRDefault="00126408" w:rsidP="00126408">
      <w:pPr>
        <w:pStyle w:val="BodyText"/>
        <w:jc w:val="both"/>
      </w:pPr>
    </w:p>
    <w:p w14:paraId="7BAAC44D" w14:textId="77777777" w:rsidR="00126408" w:rsidRDefault="00126408" w:rsidP="00126408">
      <w:pPr>
        <w:jc w:val="center"/>
        <w:outlineLvl w:val="0"/>
        <w:rPr>
          <w:b/>
        </w:rPr>
      </w:pPr>
      <w:r>
        <w:rPr>
          <w:b/>
        </w:rPr>
        <w:t>LIETUVOS RESPUBLIKOS VYRIAUSYBĖS ĮSTATYMO NR. Nr. I-464 29</w:t>
      </w:r>
      <w:r>
        <w:rPr>
          <w:b/>
          <w:vertAlign w:val="superscript"/>
        </w:rPr>
        <w:t>1</w:t>
      </w:r>
      <w:r>
        <w:rPr>
          <w:b/>
        </w:rPr>
        <w:t xml:space="preserve"> STRAIPSNIO PAKEITIMO ĮSTATYMO PROJEKTO IR LIETUVOS RESPUBLIKOS </w:t>
      </w:r>
      <w:r>
        <w:rPr>
          <w:b/>
          <w:bCs/>
          <w:caps/>
        </w:rPr>
        <w:t>ASMENS DUOMENŲ TEISINĖS APSAUGOS ĮSTATYMO NR. I-1374 8</w:t>
      </w:r>
      <w:r>
        <w:rPr>
          <w:b/>
        </w:rPr>
        <w:t xml:space="preserve"> </w:t>
      </w:r>
      <w:r>
        <w:rPr>
          <w:b/>
          <w:caps/>
        </w:rPr>
        <w:t>straipsnio pakeitimo</w:t>
      </w:r>
      <w:r>
        <w:rPr>
          <w:b/>
        </w:rPr>
        <w:t xml:space="preserve"> ĮSTATYMO PROJEKTO AIŠKINAMASIS RAŠTAS</w:t>
      </w:r>
    </w:p>
    <w:p w14:paraId="7BAAC44E" w14:textId="77777777" w:rsidR="00126408" w:rsidRDefault="00126408" w:rsidP="00126408">
      <w:pPr>
        <w:tabs>
          <w:tab w:val="left" w:pos="720"/>
          <w:tab w:val="left" w:pos="1080"/>
        </w:tabs>
        <w:rPr>
          <w:b/>
        </w:rPr>
      </w:pPr>
    </w:p>
    <w:p w14:paraId="7BAAC44F" w14:textId="77777777" w:rsidR="00126408" w:rsidRDefault="00126408" w:rsidP="00126408">
      <w:pPr>
        <w:tabs>
          <w:tab w:val="left" w:pos="720"/>
          <w:tab w:val="left" w:pos="1080"/>
        </w:tabs>
      </w:pPr>
    </w:p>
    <w:p w14:paraId="7BAAC450" w14:textId="77777777" w:rsidR="00126408" w:rsidRDefault="00126408" w:rsidP="00126408">
      <w:pPr>
        <w:tabs>
          <w:tab w:val="left" w:pos="851"/>
          <w:tab w:val="left" w:pos="1080"/>
        </w:tabs>
        <w:ind w:firstLine="720"/>
        <w:jc w:val="both"/>
        <w:rPr>
          <w:bCs/>
        </w:rPr>
      </w:pPr>
      <w:r>
        <w:rPr>
          <w:b/>
        </w:rPr>
        <w:t xml:space="preserve">1. </w:t>
      </w:r>
      <w:r w:rsidR="00196E34">
        <w:rPr>
          <w:b/>
          <w:color w:val="000000" w:themeColor="text1"/>
        </w:rPr>
        <w:t>Įstatymų</w:t>
      </w:r>
      <w:r w:rsidR="00196E34" w:rsidRPr="002B1E1E">
        <w:rPr>
          <w:b/>
          <w:color w:val="000000" w:themeColor="text1"/>
        </w:rPr>
        <w:t xml:space="preserve"> projekt</w:t>
      </w:r>
      <w:r w:rsidR="00196E34">
        <w:rPr>
          <w:b/>
          <w:color w:val="000000" w:themeColor="text1"/>
        </w:rPr>
        <w:t>ų</w:t>
      </w:r>
      <w:r w:rsidR="00196E34" w:rsidRPr="002B1E1E">
        <w:rPr>
          <w:b/>
          <w:color w:val="000000" w:themeColor="text1"/>
        </w:rPr>
        <w:t xml:space="preserve"> rengimą paskatinusios priežastys, parengt</w:t>
      </w:r>
      <w:r w:rsidR="00196E34">
        <w:rPr>
          <w:b/>
          <w:color w:val="000000" w:themeColor="text1"/>
        </w:rPr>
        <w:t>ų</w:t>
      </w:r>
      <w:r w:rsidR="00196E34" w:rsidRPr="002B1E1E">
        <w:rPr>
          <w:b/>
          <w:color w:val="000000" w:themeColor="text1"/>
        </w:rPr>
        <w:t xml:space="preserve"> projekt</w:t>
      </w:r>
      <w:r w:rsidR="00196E34">
        <w:rPr>
          <w:b/>
          <w:color w:val="000000" w:themeColor="text1"/>
        </w:rPr>
        <w:t>ų</w:t>
      </w:r>
      <w:r w:rsidR="00196E34" w:rsidRPr="002B1E1E">
        <w:rPr>
          <w:b/>
          <w:color w:val="000000" w:themeColor="text1"/>
        </w:rPr>
        <w:t xml:space="preserve"> tikslai ir uždaviniai</w:t>
      </w:r>
    </w:p>
    <w:p w14:paraId="7BAAC451" w14:textId="77777777" w:rsidR="00126408" w:rsidRDefault="00126408" w:rsidP="00126408">
      <w:pPr>
        <w:autoSpaceDE w:val="0"/>
        <w:autoSpaceDN w:val="0"/>
        <w:adjustRightInd w:val="0"/>
        <w:ind w:firstLine="709"/>
        <w:jc w:val="both"/>
      </w:pPr>
      <w:r>
        <w:t xml:space="preserve">Lietuvos Respublikos </w:t>
      </w:r>
      <w:r w:rsidR="003E7EF7">
        <w:t>V</w:t>
      </w:r>
      <w:r>
        <w:t>yriausybės įstatymo Nr. I-464 29</w:t>
      </w:r>
      <w:r>
        <w:rPr>
          <w:vertAlign w:val="superscript"/>
        </w:rPr>
        <w:t xml:space="preserve">1 </w:t>
      </w:r>
      <w:r>
        <w:t xml:space="preserve">straipsnio pakeitimo įstatymo projektas (toliau – Vyriausybės įstatymo pakeitimo projektas) ir Lietuvos Respublikos asmens duomenų teisinės apsaugos įstatymo Nr. I-1374 8 straipsnio pakeitimo įstatymo projektas (toliau – ADTAĮ pakeitimo projektas) (toliau Vyriausybės įstatymo pakeitimo </w:t>
      </w:r>
      <w:r w:rsidR="00F20912">
        <w:t xml:space="preserve">projektas </w:t>
      </w:r>
      <w:r>
        <w:t xml:space="preserve">ir ADTAĮ pakeitimo projektas kartu – Įstatymų projektai) parengti atsižvelgiant į 2019 m. rugsėjo 20 d. Tarybos įgyvendinimo sprendimą Nr. 12468/19, kuriuo Lietuvai rekomenduota geriau užtikrinti visišką Valstybinės duomenų </w:t>
      </w:r>
      <w:r w:rsidR="003E7EF7">
        <w:t xml:space="preserve">apsaugos </w:t>
      </w:r>
      <w:r>
        <w:t xml:space="preserve">inspekcijos nepriklausomumą. </w:t>
      </w:r>
    </w:p>
    <w:p w14:paraId="7BAAC452" w14:textId="77777777" w:rsidR="00126408" w:rsidRDefault="00126408" w:rsidP="00126408">
      <w:pPr>
        <w:autoSpaceDE w:val="0"/>
        <w:autoSpaceDN w:val="0"/>
        <w:adjustRightInd w:val="0"/>
        <w:ind w:firstLine="709"/>
        <w:jc w:val="both"/>
      </w:pPr>
      <w:r>
        <w:t xml:space="preserve">Vadovaujantis 2013 m. spalio 7 d. Tarybos reglamentu (ES) Nr. 1053/2013, kuriuo sukuriamas tikrinimo, kaip taikoma Šengeno </w:t>
      </w:r>
      <w:r>
        <w:rPr>
          <w:i/>
          <w:iCs/>
        </w:rPr>
        <w:t>acquis</w:t>
      </w:r>
      <w:r>
        <w:t>, vertinimo ir stebėsenos mechanizmas ir panaikinamas 1998 m. rugsėjo 16 d. Vykdomojo komiteto sprendimas, įsteigiantis Šengeno įvertinimo ir įgyvendinimo nuolatinį komitetą (toliau – Reglamentas), 2018 m. lapkričio 25–30 d. Komisijos ir Šengeno valstybių narių ekspertų komanda atliko vertinimą, kaip Lietuva laikosi Šengeno teisyno (</w:t>
      </w:r>
      <w:r>
        <w:rPr>
          <w:i/>
        </w:rPr>
        <w:t>acquis</w:t>
      </w:r>
      <w:r>
        <w:t>) nuostatų duo</w:t>
      </w:r>
      <w:r w:rsidR="00915E05">
        <w:t>menų apsaugos srityje. Atlikdami</w:t>
      </w:r>
      <w:r>
        <w:t xml:space="preserve"> vertinimą ekspertai nustatė trūkumų, susijusių su nuostatų dėl asmens duomenų apsaugos įgyvendinimu, ir 2019 m. rugsėjo 20 d. Taryba priėmė įgyvendinimo sprendimą Nr. 12468/19, kuriame pateikiama Rekomendacija dėl trūkumų</w:t>
      </w:r>
      <w:r>
        <w:rPr>
          <w:rFonts w:ascii="TimesNewRomanPSMT" w:eastAsiaTheme="minorHAnsi" w:hAnsi="TimesNewRomanPSMT" w:cs="TimesNewRomanPSMT"/>
          <w:lang w:eastAsia="en-US"/>
        </w:rPr>
        <w:t xml:space="preserve">, nustatytų 2018 </w:t>
      </w:r>
      <w:r>
        <w:rPr>
          <w:rFonts w:eastAsiaTheme="minorHAnsi"/>
          <w:lang w:eastAsia="en-US"/>
        </w:rPr>
        <w:t xml:space="preserve">m. </w:t>
      </w:r>
      <w:r>
        <w:rPr>
          <w:rFonts w:ascii="TimesNewRomanPSMT" w:eastAsiaTheme="minorHAnsi" w:hAnsi="TimesNewRomanPSMT" w:cs="TimesNewRomanPSMT"/>
          <w:lang w:eastAsia="en-US"/>
        </w:rPr>
        <w:t xml:space="preserve">vertinant, kaip Lietuva taiko Šengeno </w:t>
      </w:r>
      <w:r>
        <w:rPr>
          <w:rFonts w:eastAsiaTheme="minorHAnsi"/>
          <w:i/>
          <w:iCs/>
          <w:lang w:eastAsia="en-US"/>
        </w:rPr>
        <w:t xml:space="preserve">acquis </w:t>
      </w:r>
      <w:r>
        <w:rPr>
          <w:rFonts w:ascii="TimesNewRomanPSMT" w:eastAsiaTheme="minorHAnsi" w:hAnsi="TimesNewRomanPSMT" w:cs="TimesNewRomanPSMT"/>
          <w:lang w:eastAsia="en-US"/>
        </w:rPr>
        <w:t xml:space="preserve">nuostatas duomenų apsaugos srityje, </w:t>
      </w:r>
      <w:r>
        <w:t xml:space="preserve">šalinimo (toliau – Šengeno rekomendacija). Visų pirma Lietuvai rekomenduota siekiant geriau užtikrinti visišką Valstybinės duomenų apsaugos inspekcijos nepriklausomumą, panaikinti reikalavimus, kuriais nustatyta, </w:t>
      </w:r>
      <w:r>
        <w:rPr>
          <w:rFonts w:ascii="TimesNewRomanPSMT" w:eastAsiaTheme="minorHAnsi" w:hAnsi="TimesNewRomanPSMT" w:cs="TimesNewRomanPSMT"/>
          <w:lang w:eastAsia="en-US"/>
        </w:rPr>
        <w:t xml:space="preserve">kad teisingumo ministras turi </w:t>
      </w:r>
      <w:r>
        <w:rPr>
          <w:rFonts w:eastAsiaTheme="minorHAnsi"/>
          <w:lang w:eastAsia="en-US"/>
        </w:rPr>
        <w:t>patvirtinti Valstybinės duomenų apsaugos inspekcijos st</w:t>
      </w:r>
      <w:r>
        <w:rPr>
          <w:rFonts w:ascii="TimesNewRomanPSMT" w:eastAsiaTheme="minorHAnsi" w:hAnsi="TimesNewRomanPSMT" w:cs="TimesNewRomanPSMT"/>
          <w:lang w:eastAsia="en-US"/>
        </w:rPr>
        <w:t>rateginį veiklos planą ir kad su teisingumo ministru reikia konsultuotis dėl metinio veiklos plano, prieš Valstybinės duomenų apsaugos inspekcijos direktoriui jį patvirtinant; tai taip pat svarbu siekiant užtikrinti, kad biudžeto procedūra nekeltų Valstybinės duomenų apsaugos inspekcijos nepriklausomumo pažeidimo rizikos.</w:t>
      </w:r>
      <w:r>
        <w:t xml:space="preserve"> Pažymėtina, kad šiai rekomendacijai minėtame Tarybos sprendime teikiama pirmenybė.</w:t>
      </w:r>
    </w:p>
    <w:p w14:paraId="7BAAC453" w14:textId="77777777" w:rsidR="00126408" w:rsidRDefault="00126408" w:rsidP="00126408">
      <w:pPr>
        <w:tabs>
          <w:tab w:val="left" w:pos="720"/>
          <w:tab w:val="left" w:pos="1080"/>
        </w:tabs>
        <w:ind w:left="57" w:firstLine="652"/>
        <w:jc w:val="both"/>
      </w:pPr>
      <w:r>
        <w:t xml:space="preserve">Vadovaujantis Reglamento 16 straipsniu, buvo parengtas ir pateiktas Komisijai </w:t>
      </w:r>
      <w:r w:rsidR="00CD396D">
        <w:t xml:space="preserve">ir Tarybai </w:t>
      </w:r>
      <w:r w:rsidR="00CC44A5">
        <w:t xml:space="preserve">Veiksmų planas dėl </w:t>
      </w:r>
      <w:r w:rsidR="00CC44A5" w:rsidRPr="00B07A8C">
        <w:t>trūkumų</w:t>
      </w:r>
      <w:r w:rsidR="00CC44A5">
        <w:rPr>
          <w:rFonts w:ascii="TimesNewRomanPSMT" w:eastAsiaTheme="minorHAnsi" w:hAnsi="TimesNewRomanPSMT" w:cs="TimesNewRomanPSMT"/>
          <w:lang w:eastAsia="en-US"/>
        </w:rPr>
        <w:t xml:space="preserve">, nustatytų 2018 </w:t>
      </w:r>
      <w:r w:rsidR="00CC44A5">
        <w:rPr>
          <w:rFonts w:eastAsiaTheme="minorHAnsi"/>
          <w:lang w:eastAsia="en-US"/>
        </w:rPr>
        <w:t xml:space="preserve">m. </w:t>
      </w:r>
      <w:r w:rsidR="00CC44A5">
        <w:rPr>
          <w:rFonts w:ascii="TimesNewRomanPSMT" w:eastAsiaTheme="minorHAnsi" w:hAnsi="TimesNewRomanPSMT" w:cs="TimesNewRomanPSMT"/>
          <w:lang w:eastAsia="en-US"/>
        </w:rPr>
        <w:t xml:space="preserve">vertinant, kaip Lietuva taiko Šengeno </w:t>
      </w:r>
      <w:r w:rsidR="00CC44A5">
        <w:rPr>
          <w:rFonts w:eastAsiaTheme="minorHAnsi"/>
          <w:i/>
          <w:iCs/>
          <w:lang w:eastAsia="en-US"/>
        </w:rPr>
        <w:t xml:space="preserve">acquis </w:t>
      </w:r>
      <w:r w:rsidR="00CC44A5">
        <w:rPr>
          <w:rFonts w:ascii="TimesNewRomanPSMT" w:eastAsiaTheme="minorHAnsi" w:hAnsi="TimesNewRomanPSMT" w:cs="TimesNewRomanPSMT"/>
          <w:lang w:eastAsia="en-US"/>
        </w:rPr>
        <w:t xml:space="preserve">nuostatas duomenų apsaugos srityje, </w:t>
      </w:r>
      <w:r w:rsidR="00CC44A5" w:rsidRPr="009B1604">
        <w:t>šalinimo</w:t>
      </w:r>
      <w:r w:rsidR="00CC44A5">
        <w:t xml:space="preserve"> Nr. 5018/20 (toliau </w:t>
      </w:r>
      <w:r w:rsidR="00CC44A5" w:rsidRPr="002B2BAD">
        <w:t>– Lietuvos veiksmų planas</w:t>
      </w:r>
      <w:r w:rsidR="00CC44A5" w:rsidRPr="003E379C">
        <w:t xml:space="preserve"> dėl </w:t>
      </w:r>
      <w:r w:rsidR="00CC44A5">
        <w:t>Šengeno rekomendacijos</w:t>
      </w:r>
      <w:r w:rsidR="00CC44A5" w:rsidRPr="00B07A8C">
        <w:t xml:space="preserve"> įgyvendinimo</w:t>
      </w:r>
      <w:r w:rsidR="00CC44A5">
        <w:t>)</w:t>
      </w:r>
      <w:r>
        <w:t>. Pagal minėtą veiksmų planą iki 2020 m. pabaigos turėtų būti parengti Įstatymų projektai, Valstybinės duomenų apsaugos inspekcijos atžvilgiu numatantys išimtis iš bendros taisyklės dėl Vyriausybės įstaigų strateginio ir metinio veik</w:t>
      </w:r>
      <w:r w:rsidR="00C251F8">
        <w:t>los plano tvirtinimo procedūrų.</w:t>
      </w:r>
    </w:p>
    <w:p w14:paraId="7BAAC454" w14:textId="77777777" w:rsidR="00126408" w:rsidRDefault="00126408" w:rsidP="00126408">
      <w:pPr>
        <w:tabs>
          <w:tab w:val="left" w:pos="720"/>
          <w:tab w:val="left" w:pos="1080"/>
        </w:tabs>
        <w:ind w:left="57" w:firstLine="652"/>
        <w:jc w:val="both"/>
      </w:pPr>
      <w:r>
        <w:t>Atkreiptinas dėmesys, kad vadovaujantis Reglamentu per šešis mėnesius nuo Tarybos rekomendacijų priėmimo (Šengeno rekomendacija priimta 2019 m. rugsėjo 20 d.) įvertinta valstybė narė turi pateikti Komisijai savo veiksmų plano įgyvendinimo ataskaitą, o vėliau ataskaitas teikti kas tris mėnesius tol, kol veiksmų planas bus visiškai įgyvendintas.</w:t>
      </w:r>
    </w:p>
    <w:p w14:paraId="7BAAC455" w14:textId="77777777" w:rsidR="00126408" w:rsidRDefault="00126408" w:rsidP="00126408">
      <w:pPr>
        <w:pStyle w:val="Header"/>
        <w:spacing w:line="276" w:lineRule="auto"/>
        <w:jc w:val="both"/>
        <w:rPr>
          <w:bCs/>
        </w:rPr>
      </w:pPr>
      <w:r>
        <w:tab/>
      </w:r>
      <w:r>
        <w:tab/>
      </w:r>
    </w:p>
    <w:p w14:paraId="7BAAC456" w14:textId="77777777" w:rsidR="00126408" w:rsidRDefault="00126408" w:rsidP="00126408">
      <w:pPr>
        <w:tabs>
          <w:tab w:val="left" w:pos="720"/>
          <w:tab w:val="left" w:pos="1080"/>
        </w:tabs>
        <w:jc w:val="both"/>
        <w:rPr>
          <w:b/>
        </w:rPr>
      </w:pPr>
      <w:r>
        <w:rPr>
          <w:bCs/>
        </w:rPr>
        <w:tab/>
      </w:r>
      <w:r>
        <w:rPr>
          <w:b/>
          <w:bCs/>
        </w:rPr>
        <w:t xml:space="preserve">2. </w:t>
      </w:r>
      <w:r>
        <w:rPr>
          <w:b/>
        </w:rPr>
        <w:t>Įstatymų projektų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14:paraId="7BAAC457" w14:textId="77777777" w:rsidR="00126408" w:rsidRDefault="00126408" w:rsidP="00126408">
      <w:pPr>
        <w:tabs>
          <w:tab w:val="left" w:pos="720"/>
          <w:tab w:val="left" w:pos="1080"/>
        </w:tabs>
        <w:jc w:val="both"/>
        <w:rPr>
          <w:bCs/>
        </w:rPr>
      </w:pPr>
      <w:r>
        <w:rPr>
          <w:bCs/>
        </w:rPr>
        <w:tab/>
      </w:r>
      <w:r>
        <w:t xml:space="preserve">Įstatymo </w:t>
      </w:r>
      <w:r>
        <w:rPr>
          <w:bCs/>
        </w:rPr>
        <w:t xml:space="preserve">projektus inicijavo bei parengė Lietuvos Respublikos teisingumo ministerija. </w:t>
      </w:r>
    </w:p>
    <w:p w14:paraId="7BAAC458" w14:textId="77777777" w:rsidR="00B8132F" w:rsidRDefault="00B8132F" w:rsidP="00126408">
      <w:pPr>
        <w:tabs>
          <w:tab w:val="left" w:pos="720"/>
          <w:tab w:val="left" w:pos="1080"/>
        </w:tabs>
        <w:jc w:val="both"/>
        <w:rPr>
          <w:bCs/>
        </w:rPr>
      </w:pPr>
    </w:p>
    <w:p w14:paraId="7BAAC459" w14:textId="77777777" w:rsidR="00126408" w:rsidRDefault="00126408" w:rsidP="00126408">
      <w:pPr>
        <w:tabs>
          <w:tab w:val="left" w:pos="720"/>
          <w:tab w:val="left" w:pos="1080"/>
        </w:tabs>
        <w:jc w:val="both"/>
        <w:rPr>
          <w:bCs/>
        </w:rPr>
      </w:pPr>
    </w:p>
    <w:p w14:paraId="7BAAC45A" w14:textId="77777777" w:rsidR="00126408" w:rsidRDefault="00126408" w:rsidP="00126408">
      <w:pPr>
        <w:tabs>
          <w:tab w:val="left" w:pos="720"/>
          <w:tab w:val="left" w:pos="1080"/>
        </w:tabs>
        <w:jc w:val="both"/>
        <w:rPr>
          <w:b/>
        </w:rPr>
      </w:pPr>
      <w:r>
        <w:rPr>
          <w:bCs/>
        </w:rPr>
        <w:lastRenderedPageBreak/>
        <w:tab/>
      </w:r>
      <w:r>
        <w:rPr>
          <w:b/>
          <w:bCs/>
        </w:rPr>
        <w:t>3.</w:t>
      </w:r>
      <w:r>
        <w:rPr>
          <w:bCs/>
        </w:rPr>
        <w:t xml:space="preserve"> </w:t>
      </w:r>
      <w:r>
        <w:rPr>
          <w:b/>
          <w:bCs/>
        </w:rPr>
        <w:t xml:space="preserve">Kaip šiuo metu yra reguliuojami </w:t>
      </w:r>
      <w:r w:rsidR="00196E34">
        <w:rPr>
          <w:b/>
          <w:bCs/>
        </w:rPr>
        <w:t>į</w:t>
      </w:r>
      <w:r>
        <w:rPr>
          <w:b/>
          <w:bCs/>
        </w:rPr>
        <w:t>statymų projektu</w:t>
      </w:r>
      <w:r w:rsidR="00B35C4D">
        <w:rPr>
          <w:b/>
          <w:bCs/>
        </w:rPr>
        <w:t>ose aptarti teisiniai santykiai</w:t>
      </w:r>
    </w:p>
    <w:p w14:paraId="7BAAC45B" w14:textId="77777777" w:rsidR="00126408" w:rsidRDefault="00126408" w:rsidP="00126408">
      <w:pPr>
        <w:tabs>
          <w:tab w:val="left" w:pos="720"/>
          <w:tab w:val="left" w:pos="1080"/>
        </w:tabs>
        <w:ind w:firstLine="709"/>
        <w:jc w:val="both"/>
      </w:pPr>
      <w:r>
        <w:t xml:space="preserve">Vadovaujantis Lietuvos Respublikos Vyriausybės įstatymo </w:t>
      </w:r>
      <w:r w:rsidR="00F20912">
        <w:t xml:space="preserve">(toliau – Vyriausybės įstatymas) </w:t>
      </w:r>
      <w:r>
        <w:t>29</w:t>
      </w:r>
      <w:r>
        <w:rPr>
          <w:bCs/>
          <w:vertAlign w:val="superscript"/>
        </w:rPr>
        <w:t>1</w:t>
      </w:r>
      <w:r>
        <w:t xml:space="preserve"> straipsniu Valstybinės duomenų apsaugos inspekcijos strateginį veiklos planą tvirtina teisingumo ministras, o metinį veiklos planą – Valstybinės duomenų apsaugos inspekcijos vadovas, suderinęs su teisingumo ministru. Kaip teigiama Šengeno rekomendacijoje, tokiu būdu nėra užtikrinamas visiškas Valstybinės duomenų apsaugos inspekcijos nepriklausomumas. </w:t>
      </w:r>
    </w:p>
    <w:p w14:paraId="7BAAC45C" w14:textId="77777777" w:rsidR="00126408" w:rsidRDefault="00126408" w:rsidP="00126408">
      <w:pPr>
        <w:tabs>
          <w:tab w:val="left" w:pos="709"/>
        </w:tabs>
        <w:ind w:firstLine="709"/>
        <w:jc w:val="both"/>
        <w:rPr>
          <w:b/>
        </w:rPr>
      </w:pPr>
    </w:p>
    <w:p w14:paraId="7BAAC45D" w14:textId="77777777" w:rsidR="00126408" w:rsidRDefault="00126408" w:rsidP="00126408">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14:paraId="7BAAC45E" w14:textId="77777777" w:rsidR="00126408" w:rsidRDefault="00126408" w:rsidP="00126408">
      <w:pPr>
        <w:tabs>
          <w:tab w:val="left" w:pos="709"/>
        </w:tabs>
        <w:ind w:firstLine="709"/>
        <w:jc w:val="both"/>
        <w:rPr>
          <w:bCs/>
        </w:rPr>
      </w:pPr>
      <w:r>
        <w:t xml:space="preserve">Vyriausybės įstatymo pakeitimo projektu </w:t>
      </w:r>
      <w:r>
        <w:rPr>
          <w:bCs/>
        </w:rPr>
        <w:t xml:space="preserve">siūloma įtvirtinti išimtį iš Vyriausybės įstatyme nustatytos </w:t>
      </w:r>
      <w:r>
        <w:t>Vyriausybės įstaigų strateginio ir metinio veiklos planų tvirtinimo tvarkos, tai yra numatyti, kad Vyriausybės įstaigos strateginį veiklos planą tvirtina atitinkamos valdymo srities ministras ar atitinkamų valdymo sričių ministrai bendru įsakymu, o metinį veiklos planą – Vyriausybės įstaigos vadovas, suderinęs su atitinkamos valdymo srities ministru ar atitinkamų valdymo sričių ministrais</w:t>
      </w:r>
      <w:r w:rsidRPr="008E7483">
        <w:t xml:space="preserve">, </w:t>
      </w:r>
      <w:r w:rsidR="00384FB2" w:rsidRPr="008E7483">
        <w:rPr>
          <w:i/>
        </w:rPr>
        <w:t>jeigu specialus Vyriausybės įstaigos veiklą reglamentuojantis įstatymas nenustato kitaip</w:t>
      </w:r>
      <w:r w:rsidRPr="008E7483">
        <w:t>.</w:t>
      </w:r>
      <w:r>
        <w:rPr>
          <w:b/>
        </w:rPr>
        <w:t xml:space="preserve"> </w:t>
      </w:r>
      <w:r>
        <w:t xml:space="preserve">ADTAĮ pakeitimo projektu </w:t>
      </w:r>
      <w:r>
        <w:rPr>
          <w:bCs/>
        </w:rPr>
        <w:t xml:space="preserve">siūloma papildyti ADTAĮ 8 straipsnio 1 dalį ir įtvirtinti, kad </w:t>
      </w:r>
      <w:r>
        <w:t xml:space="preserve">Valstybinės duomenų apsaugos inspekcijos strateginį ir metinį veiklos planus tvirtina Valstybinės duomenų apsaugos inspekcijos direktorius. </w:t>
      </w:r>
    </w:p>
    <w:p w14:paraId="7BAAC45F" w14:textId="77777777" w:rsidR="00126408" w:rsidRDefault="00126408" w:rsidP="00126408">
      <w:pPr>
        <w:tabs>
          <w:tab w:val="left" w:pos="709"/>
        </w:tabs>
        <w:ind w:firstLine="709"/>
        <w:jc w:val="both"/>
        <w:rPr>
          <w:bCs/>
        </w:rPr>
      </w:pPr>
      <w:r>
        <w:rPr>
          <w:bCs/>
        </w:rPr>
        <w:t xml:space="preserve">Priėmus Įstatymų projektus, </w:t>
      </w:r>
      <w:r>
        <w:t>bus užtikrintas visiškas Valstybinės duomenų apsaugos inspekcijos nepriklausomumas, kaip to reikalaujama Šengeno rekomendacijoje</w:t>
      </w:r>
      <w:r>
        <w:rPr>
          <w:bCs/>
        </w:rPr>
        <w:t xml:space="preserve">. </w:t>
      </w:r>
    </w:p>
    <w:p w14:paraId="7BAAC460" w14:textId="77777777" w:rsidR="00126408" w:rsidRDefault="00126408" w:rsidP="00126408">
      <w:pPr>
        <w:pStyle w:val="ListParagraph"/>
        <w:tabs>
          <w:tab w:val="left" w:pos="0"/>
          <w:tab w:val="left" w:pos="720"/>
          <w:tab w:val="left" w:pos="960"/>
          <w:tab w:val="left" w:pos="993"/>
          <w:tab w:val="left" w:pos="1080"/>
        </w:tabs>
        <w:ind w:left="0" w:firstLine="720"/>
        <w:jc w:val="both"/>
      </w:pPr>
    </w:p>
    <w:p w14:paraId="7BAAC461" w14:textId="77777777"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196E34">
        <w:rPr>
          <w:b/>
          <w:color w:val="000000" w:themeColor="text1"/>
        </w:rPr>
        <w:t>ų</w:t>
      </w:r>
      <w:r w:rsidR="00735B32" w:rsidRPr="002B1E1E">
        <w:rPr>
          <w:b/>
          <w:color w:val="000000" w:themeColor="text1"/>
        </w:rPr>
        <w:t xml:space="preserve"> projekt</w:t>
      </w:r>
      <w:r w:rsidR="00196E34">
        <w:rPr>
          <w:b/>
          <w:color w:val="000000" w:themeColor="text1"/>
        </w:rPr>
        <w:t>us</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14:paraId="7BAAC462" w14:textId="77777777" w:rsidR="00126408" w:rsidRDefault="00126408" w:rsidP="00126408">
      <w:pPr>
        <w:ind w:firstLine="720"/>
        <w:jc w:val="both"/>
      </w:pPr>
      <w:r>
        <w:t>Numatoma teigiama teisinio reguliavimo pasekmė nurodyta šio aiškinamojo rašto 4 dalyje. Priėmus Įstatymų projektus, neigiamų pasekmių nenumatoma.</w:t>
      </w:r>
    </w:p>
    <w:p w14:paraId="7BAAC463" w14:textId="77777777" w:rsidR="00126408" w:rsidRDefault="00126408" w:rsidP="00126408">
      <w:pPr>
        <w:pStyle w:val="HTMLPreformatted"/>
        <w:ind w:firstLine="720"/>
        <w:jc w:val="both"/>
        <w:rPr>
          <w:rFonts w:ascii="Times New Roman" w:hAnsi="Times New Roman" w:cs="Times New Roman"/>
          <w:sz w:val="24"/>
          <w:szCs w:val="24"/>
        </w:rPr>
      </w:pPr>
    </w:p>
    <w:p w14:paraId="7BAAC464"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priimti įstatymai turės kriminogeninei situacijai, korupcijai</w:t>
      </w:r>
      <w:r w:rsidR="001C66A7">
        <w:rPr>
          <w:rFonts w:ascii="Times New Roman" w:hAnsi="Times New Roman" w:cs="Times New Roman"/>
          <w:b/>
          <w:sz w:val="24"/>
          <w:szCs w:val="24"/>
        </w:rPr>
        <w:t xml:space="preserve"> </w:t>
      </w:r>
    </w:p>
    <w:p w14:paraId="7BAAC465" w14:textId="77777777" w:rsidR="00126408" w:rsidRDefault="00126408"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 xml:space="preserve">Priimti Įstatymų projektai neturės įtakos kriminogeninei situacijai, </w:t>
      </w:r>
      <w:r w:rsidRPr="00384FB2">
        <w:rPr>
          <w:rFonts w:ascii="Times New Roman" w:hAnsi="Times New Roman" w:cs="Times New Roman"/>
          <w:sz w:val="24"/>
          <w:szCs w:val="24"/>
        </w:rPr>
        <w:t>korupcijai</w:t>
      </w:r>
      <w:r>
        <w:rPr>
          <w:rFonts w:ascii="Times New Roman" w:hAnsi="Times New Roman" w:cs="Times New Roman"/>
          <w:sz w:val="24"/>
          <w:szCs w:val="24"/>
        </w:rPr>
        <w:t xml:space="preserve">. </w:t>
      </w:r>
    </w:p>
    <w:p w14:paraId="7BAAC466" w14:textId="77777777" w:rsidR="00126408" w:rsidRDefault="00126408" w:rsidP="00126408">
      <w:pPr>
        <w:pStyle w:val="HTMLPreformatted"/>
        <w:ind w:firstLine="720"/>
        <w:jc w:val="both"/>
        <w:rPr>
          <w:rFonts w:ascii="Times New Roman" w:hAnsi="Times New Roman" w:cs="Times New Roman"/>
          <w:sz w:val="24"/>
          <w:szCs w:val="24"/>
        </w:rPr>
      </w:pPr>
    </w:p>
    <w:p w14:paraId="7BAAC467" w14:textId="77777777" w:rsidR="00126408" w:rsidRDefault="00126408" w:rsidP="00126408">
      <w:pPr>
        <w:tabs>
          <w:tab w:val="left" w:pos="960"/>
          <w:tab w:val="left" w:pos="1080"/>
        </w:tabs>
        <w:ind w:left="709"/>
        <w:jc w:val="both"/>
        <w:rPr>
          <w:b/>
        </w:rPr>
      </w:pPr>
      <w:r>
        <w:rPr>
          <w:b/>
        </w:rPr>
        <w:t xml:space="preserve">7. </w:t>
      </w:r>
      <w:r w:rsidR="00772F42">
        <w:rPr>
          <w:b/>
          <w:color w:val="000000" w:themeColor="text1"/>
        </w:rPr>
        <w:t xml:space="preserve">Kaip įstatymų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14:paraId="7BAAC468" w14:textId="77777777"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B1E1E">
        <w:rPr>
          <w:color w:val="000000" w:themeColor="text1"/>
        </w:rPr>
        <w:t>Priimt</w:t>
      </w:r>
      <w:r>
        <w:rPr>
          <w:color w:val="000000" w:themeColor="text1"/>
        </w:rPr>
        <w:t>i</w:t>
      </w:r>
      <w:r w:rsidRPr="002B1E1E">
        <w:rPr>
          <w:color w:val="000000" w:themeColor="text1"/>
        </w:rPr>
        <w:t xml:space="preserve"> įstatyma</w:t>
      </w:r>
      <w:r>
        <w:rPr>
          <w:color w:val="000000" w:themeColor="text1"/>
        </w:rPr>
        <w:t>i</w:t>
      </w:r>
      <w:r w:rsidRPr="002B1E1E">
        <w:rPr>
          <w:color w:val="000000" w:themeColor="text1"/>
        </w:rPr>
        <w:t xml:space="preserve"> neturės įtakos verslo sąlygoms ir jo plėtrai</w:t>
      </w:r>
      <w:r w:rsidR="00E3426E">
        <w:rPr>
          <w:color w:val="000000" w:themeColor="text1"/>
        </w:rPr>
        <w:t>.</w:t>
      </w:r>
    </w:p>
    <w:p w14:paraId="7BAAC469" w14:textId="77777777"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6A" w14:textId="77777777" w:rsidR="00126408" w:rsidRDefault="00126408" w:rsidP="00126408">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8. Įstatymų inkorporavimas į teisinę sistemą, kokius teisės aktus būtina priimti, kokius galiojančius teisės aktus reikia pakeisti ar pripažinti netekusiais galios</w:t>
      </w:r>
    </w:p>
    <w:p w14:paraId="7BAAC46B" w14:textId="77777777" w:rsidR="00126408" w:rsidRDefault="00126408" w:rsidP="00126408">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00E3426E" w:rsidRPr="002B1E1E">
        <w:rPr>
          <w:rFonts w:ascii="Times New Roman" w:hAnsi="Times New Roman"/>
          <w:color w:val="000000" w:themeColor="text1"/>
          <w:sz w:val="24"/>
          <w:szCs w:val="24"/>
        </w:rPr>
        <w:t>Priėmus įstatym</w:t>
      </w:r>
      <w:r w:rsidR="00E3426E">
        <w:rPr>
          <w:rFonts w:ascii="Times New Roman" w:hAnsi="Times New Roman"/>
          <w:color w:val="000000" w:themeColor="text1"/>
          <w:sz w:val="24"/>
          <w:szCs w:val="24"/>
        </w:rPr>
        <w:t>us</w:t>
      </w:r>
      <w:r w:rsidR="00E3426E" w:rsidRPr="002B1E1E">
        <w:rPr>
          <w:rFonts w:ascii="Times New Roman" w:hAnsi="Times New Roman"/>
          <w:color w:val="000000" w:themeColor="text1"/>
          <w:sz w:val="24"/>
          <w:szCs w:val="24"/>
        </w:rPr>
        <w:t>,</w:t>
      </w:r>
      <w:r w:rsidR="00E3426E" w:rsidRPr="002B1E1E">
        <w:rPr>
          <w:rFonts w:ascii="Times New Roman" w:hAnsi="Times New Roman"/>
          <w:bCs/>
          <w:color w:val="000000" w:themeColor="text1"/>
          <w:sz w:val="24"/>
          <w:szCs w:val="24"/>
          <w:lang w:eastAsia="en-GB"/>
        </w:rPr>
        <w:t xml:space="preserve"> priimti naujų įstatymų, keisti ar pripažinti netekusiais galios</w:t>
      </w:r>
      <w:r w:rsidR="00E3426E" w:rsidRPr="002B1E1E">
        <w:rPr>
          <w:rFonts w:ascii="Times New Roman" w:hAnsi="Times New Roman"/>
          <w:color w:val="000000" w:themeColor="text1"/>
          <w:sz w:val="24"/>
          <w:szCs w:val="24"/>
        </w:rPr>
        <w:t xml:space="preserve"> </w:t>
      </w:r>
      <w:r w:rsidR="00E3426E">
        <w:rPr>
          <w:rFonts w:ascii="Times New Roman" w:hAnsi="Times New Roman"/>
          <w:color w:val="000000" w:themeColor="text1"/>
          <w:sz w:val="24"/>
          <w:szCs w:val="24"/>
        </w:rPr>
        <w:t xml:space="preserve">jau </w:t>
      </w:r>
      <w:r w:rsidR="00E3426E" w:rsidRPr="002B1E1E">
        <w:rPr>
          <w:rFonts w:ascii="Times New Roman" w:hAnsi="Times New Roman"/>
          <w:bCs/>
          <w:color w:val="000000" w:themeColor="text1"/>
          <w:sz w:val="24"/>
          <w:szCs w:val="24"/>
          <w:lang w:eastAsia="en-GB"/>
        </w:rPr>
        <w:t xml:space="preserve">galiojančių įstatymų </w:t>
      </w:r>
      <w:r w:rsidR="00E3426E" w:rsidRPr="002B1E1E">
        <w:rPr>
          <w:rFonts w:ascii="Times New Roman" w:hAnsi="Times New Roman"/>
          <w:color w:val="000000" w:themeColor="text1"/>
          <w:sz w:val="24"/>
          <w:szCs w:val="24"/>
        </w:rPr>
        <w:t>nereikės</w:t>
      </w:r>
      <w:r>
        <w:rPr>
          <w:rFonts w:ascii="Times New Roman" w:hAnsi="Times New Roman" w:cs="Times New Roman"/>
          <w:sz w:val="24"/>
          <w:szCs w:val="24"/>
        </w:rPr>
        <w:t xml:space="preserve">. </w:t>
      </w:r>
    </w:p>
    <w:p w14:paraId="7BAAC46C" w14:textId="77777777" w:rsidR="00126408" w:rsidRDefault="00126408" w:rsidP="00126408">
      <w:pPr>
        <w:pStyle w:val="HTMLPreformatted"/>
        <w:jc w:val="both"/>
        <w:rPr>
          <w:rFonts w:ascii="Times New Roman" w:hAnsi="Times New Roman" w:cs="Times New Roman"/>
          <w:sz w:val="24"/>
          <w:szCs w:val="24"/>
        </w:rPr>
      </w:pPr>
    </w:p>
    <w:p w14:paraId="7BAAC46D" w14:textId="77777777" w:rsidR="00126408" w:rsidRDefault="00126408" w:rsidP="00126408">
      <w:pPr>
        <w:tabs>
          <w:tab w:val="left" w:pos="0"/>
          <w:tab w:val="left" w:pos="993"/>
        </w:tabs>
        <w:ind w:firstLine="709"/>
        <w:jc w:val="both"/>
        <w:rPr>
          <w:b/>
        </w:rPr>
      </w:pPr>
      <w:r>
        <w:rPr>
          <w:b/>
        </w:rPr>
        <w:t xml:space="preserve">9. </w:t>
      </w:r>
      <w:r w:rsidR="00B35C4D">
        <w:rPr>
          <w:b/>
          <w:color w:val="000000" w:themeColor="text1"/>
        </w:rPr>
        <w:t>Ar į</w:t>
      </w:r>
      <w:r w:rsidR="00B35C4D" w:rsidRPr="002B1E1E">
        <w:rPr>
          <w:b/>
          <w:color w:val="000000" w:themeColor="text1"/>
        </w:rPr>
        <w:t>statym</w:t>
      </w:r>
      <w:r w:rsidR="00196E34">
        <w:rPr>
          <w:b/>
          <w:color w:val="000000" w:themeColor="text1"/>
        </w:rPr>
        <w:t>ų</w:t>
      </w:r>
      <w:r w:rsidR="00B35C4D">
        <w:rPr>
          <w:b/>
          <w:color w:val="000000" w:themeColor="text1"/>
        </w:rPr>
        <w:t xml:space="preserve"> projekt</w:t>
      </w:r>
      <w:r w:rsidR="00196E34">
        <w:rPr>
          <w:b/>
          <w:color w:val="000000" w:themeColor="text1"/>
        </w:rPr>
        <w:t>ai</w:t>
      </w:r>
      <w:r w:rsidR="00B35C4D">
        <w:rPr>
          <w:b/>
          <w:color w:val="000000" w:themeColor="text1"/>
        </w:rPr>
        <w:t xml:space="preserve"> parengt</w:t>
      </w:r>
      <w:r w:rsidR="00196E34">
        <w:rPr>
          <w:b/>
          <w:color w:val="000000" w:themeColor="text1"/>
        </w:rPr>
        <w:t>i</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i Terminų banko įstatymo ir jo įgyvendinamųjų teisės aktų nustatyta tvarka</w:t>
      </w:r>
      <w:r>
        <w:rPr>
          <w:b/>
        </w:rPr>
        <w:t xml:space="preserve"> </w:t>
      </w:r>
    </w:p>
    <w:p w14:paraId="7BAAC46E" w14:textId="77777777" w:rsidR="00126408" w:rsidRDefault="00126408" w:rsidP="00126408">
      <w:pPr>
        <w:pStyle w:val="HTMLPreformatted"/>
        <w:ind w:firstLine="709"/>
        <w:jc w:val="both"/>
        <w:rPr>
          <w:rFonts w:ascii="Times New Roman" w:hAnsi="Times New Roman" w:cs="Times New Roman"/>
          <w:sz w:val="24"/>
          <w:szCs w:val="24"/>
        </w:rPr>
      </w:pPr>
      <w:r>
        <w:rPr>
          <w:rFonts w:ascii="Times New Roman" w:hAnsi="Times New Roman" w:cs="Times New Roman"/>
          <w:sz w:val="24"/>
          <w:szCs w:val="24"/>
        </w:rPr>
        <w:t xml:space="preserve">Įstatymų projektai atitinka Lietuvos Respublikos valstybinės kalbos įstatymo ir Lietuvos Respublikos teisėkūros pagrindų įstatymo reikalavimus. </w:t>
      </w:r>
    </w:p>
    <w:p w14:paraId="7BAAC46F" w14:textId="77777777" w:rsidR="00126408" w:rsidRDefault="00126408" w:rsidP="00126408">
      <w:pPr>
        <w:pStyle w:val="HTMLPreformatted"/>
        <w:ind w:firstLine="709"/>
        <w:jc w:val="both"/>
        <w:rPr>
          <w:rFonts w:ascii="Times New Roman" w:hAnsi="Times New Roman" w:cs="Times New Roman"/>
          <w:sz w:val="24"/>
          <w:szCs w:val="24"/>
        </w:rPr>
      </w:pPr>
    </w:p>
    <w:p w14:paraId="7BAAC470" w14:textId="77777777" w:rsidR="00126408" w:rsidRDefault="00126408" w:rsidP="00126408">
      <w:pPr>
        <w:tabs>
          <w:tab w:val="left" w:pos="0"/>
          <w:tab w:val="left" w:pos="1080"/>
        </w:tabs>
        <w:ind w:firstLine="720"/>
        <w:jc w:val="both"/>
        <w:rPr>
          <w:b/>
        </w:rPr>
      </w:pPr>
      <w:r>
        <w:rPr>
          <w:b/>
        </w:rPr>
        <w:t xml:space="preserve">10. </w:t>
      </w:r>
      <w:r w:rsidR="00196E34">
        <w:rPr>
          <w:b/>
          <w:color w:val="000000" w:themeColor="text1"/>
        </w:rPr>
        <w:t>Ar į</w:t>
      </w:r>
      <w:r w:rsidR="00196E34" w:rsidRPr="002B1E1E">
        <w:rPr>
          <w:b/>
          <w:color w:val="000000" w:themeColor="text1"/>
        </w:rPr>
        <w:t>statym</w:t>
      </w:r>
      <w:r w:rsidR="00196E34">
        <w:rPr>
          <w:b/>
          <w:color w:val="000000" w:themeColor="text1"/>
        </w:rPr>
        <w:t>ų</w:t>
      </w:r>
      <w:r w:rsidR="00196E34" w:rsidRPr="002B1E1E">
        <w:rPr>
          <w:b/>
          <w:color w:val="000000" w:themeColor="text1"/>
        </w:rPr>
        <w:t xml:space="preserve"> projekt</w:t>
      </w:r>
      <w:r w:rsidR="00196E34">
        <w:rPr>
          <w:b/>
          <w:color w:val="000000" w:themeColor="text1"/>
        </w:rPr>
        <w:t>ai</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14:paraId="7BAAC471" w14:textId="77777777" w:rsidR="00126408" w:rsidRDefault="00126408" w:rsidP="00126408">
      <w:pPr>
        <w:tabs>
          <w:tab w:val="left" w:pos="0"/>
          <w:tab w:val="left" w:pos="1080"/>
        </w:tabs>
        <w:ind w:firstLine="720"/>
        <w:jc w:val="both"/>
      </w:pPr>
      <w:r>
        <w:t xml:space="preserve">Įstatymų projektai atitinka Žmogaus teisių ir pagrindinių laisvių apsaugos konvencijos nuostatas ir Europos Sąjungos dokumentus. </w:t>
      </w:r>
    </w:p>
    <w:p w14:paraId="7BAAC472" w14:textId="77777777" w:rsidR="00126408" w:rsidRDefault="00126408" w:rsidP="00126408">
      <w:pPr>
        <w:pStyle w:val="HTMLPreformatted"/>
        <w:ind w:firstLine="720"/>
        <w:jc w:val="both"/>
        <w:rPr>
          <w:rFonts w:ascii="Times New Roman" w:hAnsi="Times New Roman" w:cs="Times New Roman"/>
          <w:sz w:val="24"/>
          <w:szCs w:val="24"/>
        </w:rPr>
      </w:pPr>
    </w:p>
    <w:p w14:paraId="7BAAC473" w14:textId="77777777" w:rsidR="00126408" w:rsidRPr="003B5938" w:rsidRDefault="00126408" w:rsidP="00126408">
      <w:pPr>
        <w:pStyle w:val="HTMLPreformatted"/>
        <w:ind w:firstLine="720"/>
        <w:jc w:val="both"/>
        <w:rPr>
          <w:rFonts w:ascii="Times New Roman" w:hAnsi="Times New Roman" w:cs="Times New Roman"/>
          <w:b/>
          <w:sz w:val="24"/>
          <w:szCs w:val="24"/>
        </w:rPr>
      </w:pPr>
      <w:r w:rsidRPr="003B5938">
        <w:rPr>
          <w:rFonts w:ascii="Times New Roman" w:hAnsi="Times New Roman" w:cs="Times New Roman"/>
          <w:b/>
          <w:sz w:val="24"/>
          <w:szCs w:val="24"/>
        </w:rPr>
        <w:lastRenderedPageBreak/>
        <w:t xml:space="preserve">11. </w:t>
      </w:r>
      <w:r w:rsidR="00196E34" w:rsidRPr="003B5938">
        <w:rPr>
          <w:rFonts w:ascii="Times New Roman" w:hAnsi="Times New Roman" w:cs="Times New Roman"/>
          <w:b/>
          <w:color w:val="000000" w:themeColor="text1"/>
          <w:sz w:val="24"/>
          <w:szCs w:val="24"/>
        </w:rPr>
        <w:t>Jeigu įstatymams įgyvendinti reikia įgyvendinamųjų teisės aktų, – kas ir kada juos turėtų priimti</w:t>
      </w:r>
    </w:p>
    <w:p w14:paraId="7BAAC474" w14:textId="5632677E" w:rsidR="00126408" w:rsidRPr="003B5938" w:rsidRDefault="003B5938"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Priėmus Į</w:t>
      </w:r>
      <w:r w:rsidRPr="003B5938">
        <w:rPr>
          <w:rFonts w:ascii="Times New Roman" w:hAnsi="Times New Roman" w:cs="Times New Roman"/>
          <w:sz w:val="24"/>
          <w:szCs w:val="24"/>
        </w:rPr>
        <w:t xml:space="preserve">statymų projektus reikės pakeisti Lietuvos Respublikos Vyriausybės 2002 m. birželio 6 d. </w:t>
      </w:r>
      <w:r w:rsidRPr="009012B4">
        <w:rPr>
          <w:rFonts w:ascii="Times New Roman" w:hAnsi="Times New Roman" w:cs="Times New Roman"/>
          <w:sz w:val="24"/>
          <w:szCs w:val="24"/>
        </w:rPr>
        <w:t>nutarimu Nr. 827 „Dėl Strateginio planavimo metodikos patvirtinimo“ patvirtintą Strateginio planavimo metodiką</w:t>
      </w:r>
      <w:r w:rsidR="009012B4" w:rsidRPr="009012B4">
        <w:rPr>
          <w:rFonts w:ascii="Times New Roman" w:hAnsi="Times New Roman" w:cs="Times New Roman"/>
          <w:sz w:val="24"/>
          <w:szCs w:val="24"/>
        </w:rPr>
        <w:t>, aptariant</w:t>
      </w:r>
      <w:r w:rsidR="00043495" w:rsidRPr="009012B4">
        <w:rPr>
          <w:rFonts w:ascii="Times New Roman" w:hAnsi="Times New Roman" w:cs="Times New Roman"/>
          <w:sz w:val="24"/>
          <w:szCs w:val="24"/>
        </w:rPr>
        <w:t xml:space="preserve"> joje Valstybinės duomenų apsaugos inspekcijos strategini</w:t>
      </w:r>
      <w:r w:rsidR="00C01F6C">
        <w:rPr>
          <w:rFonts w:ascii="Times New Roman" w:hAnsi="Times New Roman" w:cs="Times New Roman"/>
          <w:sz w:val="24"/>
          <w:szCs w:val="24"/>
        </w:rPr>
        <w:t>o</w:t>
      </w:r>
      <w:r w:rsidR="00043495" w:rsidRPr="009012B4">
        <w:rPr>
          <w:rFonts w:ascii="Times New Roman" w:hAnsi="Times New Roman" w:cs="Times New Roman"/>
          <w:sz w:val="24"/>
          <w:szCs w:val="24"/>
        </w:rPr>
        <w:t xml:space="preserve"> </w:t>
      </w:r>
      <w:r w:rsidR="00C01F6C">
        <w:rPr>
          <w:rFonts w:ascii="Times New Roman" w:hAnsi="Times New Roman" w:cs="Times New Roman"/>
          <w:sz w:val="24"/>
          <w:szCs w:val="24"/>
        </w:rPr>
        <w:t>ir metinio</w:t>
      </w:r>
      <w:r w:rsidR="00933655">
        <w:rPr>
          <w:rFonts w:ascii="Times New Roman" w:hAnsi="Times New Roman" w:cs="Times New Roman"/>
          <w:sz w:val="24"/>
          <w:szCs w:val="24"/>
        </w:rPr>
        <w:t xml:space="preserve"> </w:t>
      </w:r>
      <w:r w:rsidR="009012B4" w:rsidRPr="009012B4">
        <w:rPr>
          <w:rFonts w:ascii="Times New Roman" w:eastAsiaTheme="minorHAnsi" w:hAnsi="Times New Roman" w:cs="Times New Roman"/>
          <w:sz w:val="24"/>
          <w:szCs w:val="24"/>
          <w:lang w:eastAsia="en-US"/>
        </w:rPr>
        <w:t xml:space="preserve">veiklos </w:t>
      </w:r>
      <w:r w:rsidR="00043495" w:rsidRPr="009012B4">
        <w:rPr>
          <w:rFonts w:ascii="Times New Roman" w:hAnsi="Times New Roman" w:cs="Times New Roman"/>
          <w:sz w:val="24"/>
          <w:szCs w:val="24"/>
        </w:rPr>
        <w:t xml:space="preserve">planų </w:t>
      </w:r>
      <w:r w:rsidR="00637336">
        <w:rPr>
          <w:rFonts w:ascii="Times New Roman" w:hAnsi="Times New Roman" w:cs="Times New Roman"/>
          <w:sz w:val="24"/>
          <w:szCs w:val="24"/>
        </w:rPr>
        <w:t>rengimo bei</w:t>
      </w:r>
      <w:r w:rsidR="00043495" w:rsidRPr="00311E4B">
        <w:rPr>
          <w:rFonts w:ascii="Times New Roman" w:hAnsi="Times New Roman" w:cs="Times New Roman"/>
          <w:sz w:val="24"/>
          <w:szCs w:val="24"/>
        </w:rPr>
        <w:t xml:space="preserve"> </w:t>
      </w:r>
      <w:r w:rsidR="00F2406B">
        <w:rPr>
          <w:rFonts w:ascii="Times New Roman" w:hAnsi="Times New Roman" w:cs="Times New Roman"/>
          <w:color w:val="000000"/>
          <w:sz w:val="24"/>
          <w:szCs w:val="24"/>
        </w:rPr>
        <w:t>metinių</w:t>
      </w:r>
      <w:r w:rsidR="00311E4B">
        <w:rPr>
          <w:rFonts w:ascii="Times New Roman" w:hAnsi="Times New Roman" w:cs="Times New Roman"/>
          <w:color w:val="000000"/>
          <w:sz w:val="24"/>
          <w:szCs w:val="24"/>
        </w:rPr>
        <w:t xml:space="preserve"> veiklos </w:t>
      </w:r>
      <w:r w:rsidR="00043495" w:rsidRPr="00311E4B">
        <w:rPr>
          <w:rFonts w:ascii="Times New Roman" w:hAnsi="Times New Roman" w:cs="Times New Roman"/>
          <w:sz w:val="24"/>
          <w:szCs w:val="24"/>
        </w:rPr>
        <w:t>ataskaitų</w:t>
      </w:r>
      <w:r w:rsidR="00043495" w:rsidRPr="009012B4">
        <w:rPr>
          <w:rFonts w:ascii="Times New Roman" w:hAnsi="Times New Roman" w:cs="Times New Roman"/>
          <w:sz w:val="24"/>
          <w:szCs w:val="24"/>
        </w:rPr>
        <w:t xml:space="preserve"> teikimo tvarką</w:t>
      </w:r>
      <w:bookmarkStart w:id="0" w:name="_GoBack"/>
      <w:bookmarkEnd w:id="0"/>
      <w:r w:rsidRPr="009012B4">
        <w:rPr>
          <w:rFonts w:ascii="Times New Roman" w:hAnsi="Times New Roman" w:cs="Times New Roman"/>
          <w:sz w:val="24"/>
          <w:szCs w:val="24"/>
        </w:rPr>
        <w:t xml:space="preserve">, </w:t>
      </w:r>
      <w:r w:rsidRPr="009012B4">
        <w:rPr>
          <w:rFonts w:ascii="Times New Roman" w:hAnsi="Times New Roman" w:cs="Times New Roman"/>
          <w:color w:val="000000"/>
          <w:sz w:val="24"/>
          <w:szCs w:val="24"/>
        </w:rPr>
        <w:t xml:space="preserve">Lietuvos Respublikos Vyriausybės 2001 m. rugsėjo 25 d. </w:t>
      </w:r>
      <w:r w:rsidRPr="00311E4B">
        <w:rPr>
          <w:rFonts w:ascii="Times New Roman" w:hAnsi="Times New Roman" w:cs="Times New Roman"/>
          <w:color w:val="000000"/>
          <w:sz w:val="24"/>
          <w:szCs w:val="24"/>
        </w:rPr>
        <w:t>nutarimu Nr. 1156 „Dėl įgaliojimų Valstybinei duomenų apsaugos inspekcijai suteikimo ir Valstybinės duomenų</w:t>
      </w:r>
      <w:r w:rsidRPr="003B5938">
        <w:rPr>
          <w:rFonts w:ascii="Times New Roman" w:hAnsi="Times New Roman" w:cs="Times New Roman"/>
          <w:color w:val="000000"/>
          <w:sz w:val="24"/>
          <w:szCs w:val="24"/>
        </w:rPr>
        <w:t xml:space="preserve"> apsaugos inspekcijos nuostatų patvirtinimo“ patvirtintus </w:t>
      </w:r>
      <w:r w:rsidRPr="003B5938">
        <w:rPr>
          <w:rFonts w:ascii="Times New Roman" w:hAnsi="Times New Roman" w:cs="Times New Roman"/>
          <w:sz w:val="24"/>
          <w:szCs w:val="24"/>
        </w:rPr>
        <w:t>Valstybinės duomenų apsaugos inspekcijos nuostatus ir Valstybinės duomenų apsaugos inspekcijos direktoriaus 2019 m. kovo 5 d. įsakymu Nr. 1T-28(1.12.E) „Dėl Valstybinės duomenų apsaugos inspekcijos darbo reglamento patvirtinimo“ patvirtintą Valstybinės duomenų apsaugos inspekcijos darbo reglamentą</w:t>
      </w:r>
      <w:r>
        <w:rPr>
          <w:rFonts w:ascii="Times New Roman" w:hAnsi="Times New Roman" w:cs="Times New Roman"/>
          <w:sz w:val="24"/>
          <w:szCs w:val="24"/>
        </w:rPr>
        <w:t>.</w:t>
      </w:r>
    </w:p>
    <w:p w14:paraId="7BAAC475" w14:textId="77777777" w:rsidR="00126408" w:rsidRDefault="00126408" w:rsidP="00126408">
      <w:pPr>
        <w:tabs>
          <w:tab w:val="left" w:pos="960"/>
          <w:tab w:val="left" w:pos="1080"/>
        </w:tabs>
        <w:jc w:val="both"/>
      </w:pPr>
      <w:r>
        <w:tab/>
      </w:r>
    </w:p>
    <w:p w14:paraId="7BAAC476" w14:textId="77777777" w:rsidR="00126408" w:rsidRDefault="00126408" w:rsidP="00126408">
      <w:pPr>
        <w:tabs>
          <w:tab w:val="left" w:pos="709"/>
          <w:tab w:val="left" w:pos="1080"/>
        </w:tabs>
        <w:jc w:val="both"/>
        <w:rPr>
          <w:b/>
        </w:rPr>
      </w:pPr>
      <w:r>
        <w:tab/>
      </w:r>
      <w:r>
        <w:rPr>
          <w:b/>
        </w:rPr>
        <w:t xml:space="preserve">12. </w:t>
      </w:r>
      <w:r w:rsidR="006E2119">
        <w:rPr>
          <w:b/>
          <w:color w:val="000000" w:themeColor="text1"/>
        </w:rPr>
        <w:t>Kiek v</w:t>
      </w:r>
      <w:r w:rsidR="006E2119" w:rsidRPr="002B1E1E">
        <w:rPr>
          <w:b/>
          <w:color w:val="000000" w:themeColor="text1"/>
        </w:rPr>
        <w:t>alstybės,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14:paraId="7BAAC477" w14:textId="77777777" w:rsidR="00126408" w:rsidRDefault="00126408" w:rsidP="00126408">
      <w:pPr>
        <w:tabs>
          <w:tab w:val="left" w:pos="960"/>
          <w:tab w:val="left" w:pos="1080"/>
        </w:tabs>
        <w:ind w:firstLine="709"/>
        <w:jc w:val="both"/>
      </w:pPr>
      <w:r>
        <w:t>Įstatymų projektuose numatytoms nuostatoms įgyvendinti neprireiks valstybės, savivaldybių biudžetų ar kitų valstybės įsteigtų fondų lėšų.</w:t>
      </w:r>
    </w:p>
    <w:p w14:paraId="7BAAC478" w14:textId="77777777" w:rsidR="00126408" w:rsidRDefault="00126408" w:rsidP="00126408">
      <w:pPr>
        <w:tabs>
          <w:tab w:val="left" w:pos="960"/>
          <w:tab w:val="left" w:pos="1080"/>
        </w:tabs>
        <w:jc w:val="both"/>
      </w:pPr>
    </w:p>
    <w:p w14:paraId="7BAAC479"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13. Įstatymų projektų rengimo metu gauti specialistų vertinimai ir išvados</w:t>
      </w:r>
    </w:p>
    <w:p w14:paraId="7BAAC47A" w14:textId="77777777"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Įstatymų projektų rengimo metu specialistų vertinimų ir išvadų nebuvo gauta.</w:t>
      </w:r>
    </w:p>
    <w:p w14:paraId="7BAAC47B" w14:textId="77777777"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7BAAC47C"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14.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„Euro</w:t>
      </w:r>
      <w:r w:rsidR="00E94E4F">
        <w:rPr>
          <w:rFonts w:ascii="Times New Roman" w:hAnsi="Times New Roman" w:cs="Times New Roman"/>
          <w:b/>
          <w:sz w:val="24"/>
          <w:szCs w:val="24"/>
        </w:rPr>
        <w:t>voc“ terminus, temas bei sritis</w:t>
      </w:r>
    </w:p>
    <w:p w14:paraId="7BAAC47D" w14:textId="77777777" w:rsidR="00126408" w:rsidRDefault="00384FB2" w:rsidP="00126408">
      <w:pPr>
        <w:pStyle w:val="HTMLPreformatted"/>
        <w:ind w:firstLine="720"/>
        <w:jc w:val="both"/>
        <w:rPr>
          <w:rFonts w:ascii="Times New Roman" w:hAnsi="Times New Roman" w:cs="Times New Roman"/>
          <w:b/>
          <w:sz w:val="24"/>
          <w:szCs w:val="24"/>
        </w:rPr>
      </w:pPr>
      <w:r>
        <w:rPr>
          <w:rFonts w:ascii="Times New Roman" w:hAnsi="Times New Roman" w:cs="Times New Roman"/>
          <w:sz w:val="24"/>
          <w:szCs w:val="24"/>
        </w:rPr>
        <w:t>„V</w:t>
      </w:r>
      <w:r w:rsidR="00126408">
        <w:rPr>
          <w:rFonts w:ascii="Times New Roman" w:hAnsi="Times New Roman" w:cs="Times New Roman"/>
          <w:sz w:val="24"/>
          <w:szCs w:val="24"/>
        </w:rPr>
        <w:t>yriausybė“</w:t>
      </w:r>
      <w:r>
        <w:rPr>
          <w:rFonts w:ascii="Times New Roman" w:hAnsi="Times New Roman" w:cs="Times New Roman"/>
          <w:sz w:val="24"/>
          <w:szCs w:val="24"/>
        </w:rPr>
        <w:t xml:space="preserve">, </w:t>
      </w:r>
      <w:r w:rsidR="00126408">
        <w:rPr>
          <w:rFonts w:ascii="Times New Roman" w:hAnsi="Times New Roman" w:cs="Times New Roman"/>
          <w:sz w:val="24"/>
          <w:szCs w:val="24"/>
        </w:rPr>
        <w:t>„duomenų apsauga“.</w:t>
      </w:r>
    </w:p>
    <w:p w14:paraId="7BAAC47E" w14:textId="77777777" w:rsidR="00126408" w:rsidRDefault="00126408" w:rsidP="00126408">
      <w:pPr>
        <w:pStyle w:val="HTMLPreformatted"/>
        <w:ind w:firstLine="720"/>
        <w:jc w:val="both"/>
        <w:rPr>
          <w:rFonts w:ascii="Times New Roman" w:hAnsi="Times New Roman" w:cs="Times New Roman"/>
          <w:b/>
          <w:sz w:val="24"/>
          <w:szCs w:val="24"/>
        </w:rPr>
      </w:pPr>
    </w:p>
    <w:p w14:paraId="7BAAC47F" w14:textId="77777777" w:rsidR="00126408" w:rsidRDefault="00126408" w:rsidP="00126408">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15. Kiti, iniciatorių nuomone, reikali</w:t>
      </w:r>
      <w:r w:rsidR="00E94E4F">
        <w:rPr>
          <w:rFonts w:ascii="Times New Roman" w:hAnsi="Times New Roman" w:cs="Times New Roman"/>
          <w:b/>
          <w:sz w:val="24"/>
          <w:szCs w:val="24"/>
        </w:rPr>
        <w:t>ngi pagrindimai ir paaiškinimai</w:t>
      </w:r>
    </w:p>
    <w:p w14:paraId="7BAAC480" w14:textId="77777777" w:rsidR="00126408" w:rsidRDefault="00126408" w:rsidP="00126408">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Nėra.</w:t>
      </w:r>
    </w:p>
    <w:p w14:paraId="7BAAC481" w14:textId="77777777"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BAAC482" w14:textId="77777777" w:rsidR="00DB7CF8" w:rsidRPr="00E70403" w:rsidRDefault="00DB7CF8" w:rsidP="00DB7CF8">
      <w:pPr>
        <w:ind w:firstLine="1296"/>
        <w:jc w:val="both"/>
        <w:rPr>
          <w:color w:val="000000" w:themeColor="text1"/>
        </w:rPr>
      </w:pPr>
    </w:p>
    <w:p w14:paraId="7BAAC483" w14:textId="77777777" w:rsidR="00DB7CF8" w:rsidRPr="00E70403" w:rsidRDefault="00DB7CF8" w:rsidP="00DB7CF8">
      <w:pPr>
        <w:ind w:firstLine="1296"/>
        <w:jc w:val="both"/>
        <w:rPr>
          <w:color w:val="000000" w:themeColor="text1"/>
        </w:rPr>
      </w:pPr>
    </w:p>
    <w:sectPr w:rsidR="00DB7CF8" w:rsidRPr="00E704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43495"/>
    <w:rsid w:val="0004637A"/>
    <w:rsid w:val="00126408"/>
    <w:rsid w:val="00196E34"/>
    <w:rsid w:val="001C66A7"/>
    <w:rsid w:val="001E52A3"/>
    <w:rsid w:val="00311E4B"/>
    <w:rsid w:val="00384FB2"/>
    <w:rsid w:val="003B5938"/>
    <w:rsid w:val="003E7EF7"/>
    <w:rsid w:val="00471D10"/>
    <w:rsid w:val="00580968"/>
    <w:rsid w:val="00612A20"/>
    <w:rsid w:val="00632347"/>
    <w:rsid w:val="00637336"/>
    <w:rsid w:val="00672FB2"/>
    <w:rsid w:val="006C6804"/>
    <w:rsid w:val="006C7599"/>
    <w:rsid w:val="006E2119"/>
    <w:rsid w:val="00735B32"/>
    <w:rsid w:val="00772F42"/>
    <w:rsid w:val="007B5F19"/>
    <w:rsid w:val="007D5732"/>
    <w:rsid w:val="007F47E3"/>
    <w:rsid w:val="008E7483"/>
    <w:rsid w:val="008E7F06"/>
    <w:rsid w:val="009012B4"/>
    <w:rsid w:val="00915E05"/>
    <w:rsid w:val="0091796D"/>
    <w:rsid w:val="00920097"/>
    <w:rsid w:val="00933655"/>
    <w:rsid w:val="00933AC8"/>
    <w:rsid w:val="00A2029E"/>
    <w:rsid w:val="00B10975"/>
    <w:rsid w:val="00B15915"/>
    <w:rsid w:val="00B35C4D"/>
    <w:rsid w:val="00B70822"/>
    <w:rsid w:val="00B8132F"/>
    <w:rsid w:val="00B86301"/>
    <w:rsid w:val="00BB7323"/>
    <w:rsid w:val="00BF499A"/>
    <w:rsid w:val="00C01F6C"/>
    <w:rsid w:val="00C033FA"/>
    <w:rsid w:val="00C251F8"/>
    <w:rsid w:val="00CC44A5"/>
    <w:rsid w:val="00CD396D"/>
    <w:rsid w:val="00D579B4"/>
    <w:rsid w:val="00D80CE6"/>
    <w:rsid w:val="00D951DE"/>
    <w:rsid w:val="00DA633A"/>
    <w:rsid w:val="00DA703C"/>
    <w:rsid w:val="00DB7CF8"/>
    <w:rsid w:val="00DE127C"/>
    <w:rsid w:val="00E14D19"/>
    <w:rsid w:val="00E3426E"/>
    <w:rsid w:val="00E70403"/>
    <w:rsid w:val="00E85DB2"/>
    <w:rsid w:val="00E94E4F"/>
    <w:rsid w:val="00EC1EB0"/>
    <w:rsid w:val="00EE2B17"/>
    <w:rsid w:val="00EE6968"/>
    <w:rsid w:val="00F13656"/>
    <w:rsid w:val="00F14296"/>
    <w:rsid w:val="00F20912"/>
    <w:rsid w:val="00F2406B"/>
    <w:rsid w:val="00F2723D"/>
    <w:rsid w:val="00F9378D"/>
    <w:rsid w:val="00FC0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C44C"/>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408"/>
    <w:pPr>
      <w:spacing w:after="0" w:line="240" w:lineRule="auto"/>
    </w:pPr>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6408"/>
    <w:rPr>
      <w:rFonts w:ascii="Courier New" w:eastAsia="Times New Roman" w:hAnsi="Courier New" w:cs="Courier New"/>
      <w:sz w:val="20"/>
      <w:szCs w:val="20"/>
      <w:lang w:eastAsia="lt-LT"/>
    </w:rPr>
  </w:style>
  <w:style w:type="paragraph" w:styleId="CommentText">
    <w:name w:val="annotation text"/>
    <w:basedOn w:val="Normal"/>
    <w:link w:val="CommentTextChar"/>
    <w:uiPriority w:val="99"/>
    <w:unhideWhenUsed/>
    <w:rsid w:val="00126408"/>
    <w:rPr>
      <w:sz w:val="20"/>
      <w:szCs w:val="20"/>
    </w:rPr>
  </w:style>
  <w:style w:type="character" w:customStyle="1" w:styleId="CommentTextChar">
    <w:name w:val="Comment Text Char"/>
    <w:basedOn w:val="DefaultParagraphFont"/>
    <w:link w:val="CommentText"/>
    <w:uiPriority w:val="99"/>
    <w:rsid w:val="00126408"/>
    <w:rPr>
      <w:rFonts w:eastAsia="Times New Roman" w:cs="Times New Roman"/>
      <w:sz w:val="20"/>
      <w:szCs w:val="20"/>
      <w:lang w:eastAsia="lt-LT"/>
    </w:rPr>
  </w:style>
  <w:style w:type="paragraph" w:styleId="Header">
    <w:name w:val="header"/>
    <w:basedOn w:val="Normal"/>
    <w:link w:val="HeaderChar"/>
    <w:semiHidden/>
    <w:unhideWhenUsed/>
    <w:rsid w:val="00126408"/>
    <w:pPr>
      <w:tabs>
        <w:tab w:val="center" w:pos="4819"/>
        <w:tab w:val="right" w:pos="9638"/>
      </w:tabs>
    </w:pPr>
  </w:style>
  <w:style w:type="character" w:customStyle="1" w:styleId="HeaderChar">
    <w:name w:val="Header Char"/>
    <w:basedOn w:val="DefaultParagraphFont"/>
    <w:link w:val="Header"/>
    <w:semiHidden/>
    <w:rsid w:val="00126408"/>
    <w:rPr>
      <w:rFonts w:eastAsia="Times New Roman" w:cs="Times New Roman"/>
      <w:szCs w:val="24"/>
      <w:lang w:eastAsia="lt-LT"/>
    </w:rPr>
  </w:style>
  <w:style w:type="paragraph" w:styleId="BodyText">
    <w:name w:val="Body Text"/>
    <w:basedOn w:val="Normal"/>
    <w:link w:val="BodyTextChar"/>
    <w:semiHidden/>
    <w:unhideWhenUsed/>
    <w:rsid w:val="00126408"/>
    <w:pPr>
      <w:jc w:val="center"/>
    </w:pPr>
    <w:rPr>
      <w:b/>
      <w:bCs/>
      <w:lang w:eastAsia="en-US"/>
    </w:rPr>
  </w:style>
  <w:style w:type="character" w:customStyle="1" w:styleId="BodyTextChar">
    <w:name w:val="Body Text Char"/>
    <w:basedOn w:val="DefaultParagraphFont"/>
    <w:link w:val="BodyText"/>
    <w:semiHidden/>
    <w:rsid w:val="00126408"/>
    <w:rPr>
      <w:rFonts w:eastAsia="Times New Roman" w:cs="Times New Roman"/>
      <w:b/>
      <w:bCs/>
      <w:szCs w:val="24"/>
    </w:rPr>
  </w:style>
  <w:style w:type="paragraph" w:styleId="ListParagraph">
    <w:name w:val="List Paragraph"/>
    <w:basedOn w:val="Normal"/>
    <w:uiPriority w:val="34"/>
    <w:qFormat/>
    <w:rsid w:val="00126408"/>
    <w:pPr>
      <w:ind w:left="720"/>
      <w:contextualSpacing/>
    </w:pPr>
  </w:style>
  <w:style w:type="character" w:styleId="CommentReference">
    <w:name w:val="annotation reference"/>
    <w:basedOn w:val="DefaultParagraphFont"/>
    <w:uiPriority w:val="99"/>
    <w:semiHidden/>
    <w:unhideWhenUsed/>
    <w:rsid w:val="00126408"/>
    <w:rPr>
      <w:sz w:val="16"/>
      <w:szCs w:val="16"/>
    </w:rPr>
  </w:style>
  <w:style w:type="paragraph" w:styleId="BalloonText">
    <w:name w:val="Balloon Text"/>
    <w:basedOn w:val="Normal"/>
    <w:link w:val="BalloonTextChar"/>
    <w:uiPriority w:val="99"/>
    <w:semiHidden/>
    <w:unhideWhenUsed/>
    <w:rsid w:val="0012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408"/>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580968"/>
    <w:rPr>
      <w:b/>
      <w:bCs/>
    </w:rPr>
  </w:style>
  <w:style w:type="character" w:customStyle="1" w:styleId="CommentSubjectChar">
    <w:name w:val="Comment Subject Char"/>
    <w:basedOn w:val="CommentTextChar"/>
    <w:link w:val="CommentSubject"/>
    <w:uiPriority w:val="99"/>
    <w:semiHidden/>
    <w:rsid w:val="0058096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7391</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2020-05-12T12:35:00Z</dcterms:created>
  <dc:creator>Alina Levickienė</dc:creator>
  <cp:lastModifiedBy>Alina</cp:lastModifiedBy>
  <dcterms:modified xsi:type="dcterms:W3CDTF">2020-05-12T12:36:00Z</dcterms:modified>
  <cp:revision>3</cp:revision>
</cp:coreProperties>
</file>