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02D" w:rsidRPr="00F7352E" w:rsidRDefault="0051702D" w:rsidP="0051702D">
      <w:pPr>
        <w:jc w:val="center"/>
        <w:rPr>
          <w:b/>
          <w:color w:val="000000"/>
          <w:szCs w:val="24"/>
        </w:rPr>
      </w:pPr>
      <w:r w:rsidRPr="00F7352E">
        <w:rPr>
          <w:b/>
          <w:color w:val="000000"/>
          <w:szCs w:val="24"/>
        </w:rPr>
        <w:t>NUMATOMO TEISINIO REGULIAVIMO POVEIKIO VERTINIMO PAŽYMA</w:t>
      </w:r>
    </w:p>
    <w:p w:rsidR="006F5E8C" w:rsidRPr="00F7352E" w:rsidRDefault="006F5E8C" w:rsidP="0051702D">
      <w:pPr>
        <w:jc w:val="center"/>
        <w:rPr>
          <w:b/>
          <w:color w:val="000000"/>
          <w:szCs w:val="24"/>
        </w:rPr>
      </w:pPr>
    </w:p>
    <w:tbl>
      <w:tblPr>
        <w:tblW w:w="0" w:type="auto"/>
        <w:tblLook w:val="00A0" w:firstRow="1" w:lastRow="0" w:firstColumn="1" w:lastColumn="0" w:noHBand="0" w:noVBand="0"/>
      </w:tblPr>
      <w:tblGrid>
        <w:gridCol w:w="2235"/>
        <w:gridCol w:w="7337"/>
      </w:tblGrid>
      <w:tr w:rsidR="0051702D" w:rsidRPr="00F7352E" w:rsidTr="006F5E8C">
        <w:tc>
          <w:tcPr>
            <w:tcW w:w="2235" w:type="dxa"/>
            <w:shd w:val="clear" w:color="auto" w:fill="auto"/>
            <w:hideMark/>
          </w:tcPr>
          <w:p w:rsidR="006F5E8C" w:rsidRPr="00F7352E" w:rsidRDefault="006F5E8C" w:rsidP="009F4045">
            <w:pPr>
              <w:rPr>
                <w:i/>
                <w:szCs w:val="24"/>
                <w:shd w:val="clear" w:color="auto" w:fill="DBE5F1"/>
              </w:rPr>
            </w:pPr>
          </w:p>
          <w:p w:rsidR="006F5E8C" w:rsidRPr="00F7352E" w:rsidRDefault="006F5E8C" w:rsidP="009F4045">
            <w:pPr>
              <w:rPr>
                <w:b/>
                <w:szCs w:val="24"/>
              </w:rPr>
            </w:pPr>
            <w:r w:rsidRPr="00F7352E">
              <w:rPr>
                <w:b/>
                <w:szCs w:val="24"/>
              </w:rPr>
              <w:t xml:space="preserve">Projekto </w:t>
            </w:r>
          </w:p>
          <w:p w:rsidR="006F5E8C" w:rsidRPr="00F7352E" w:rsidRDefault="006F5E8C" w:rsidP="009F4045">
            <w:pPr>
              <w:rPr>
                <w:szCs w:val="24"/>
                <w:shd w:val="clear" w:color="auto" w:fill="DBE5F1"/>
              </w:rPr>
            </w:pPr>
            <w:r w:rsidRPr="00F7352E">
              <w:rPr>
                <w:b/>
                <w:szCs w:val="24"/>
              </w:rPr>
              <w:t>pavadinimas</w:t>
            </w:r>
          </w:p>
        </w:tc>
        <w:tc>
          <w:tcPr>
            <w:tcW w:w="7337" w:type="dxa"/>
            <w:shd w:val="clear" w:color="auto" w:fill="auto"/>
          </w:tcPr>
          <w:p w:rsidR="00DA4C6B" w:rsidRPr="00F7352E" w:rsidRDefault="00AD249B" w:rsidP="008E374E">
            <w:pPr>
              <w:jc w:val="both"/>
              <w:rPr>
                <w:szCs w:val="24"/>
              </w:rPr>
            </w:pPr>
            <w:r w:rsidRPr="00AD249B">
              <w:rPr>
                <w:rFonts w:eastAsia="Andale Sans UI"/>
                <w:szCs w:val="24"/>
                <w:lang w:bidi="en-US"/>
              </w:rPr>
              <w:t>Lietuvos Respublikos Vyriausybės nutarimo „Dėl Lietuvos Respublikos Vyriausybės 2002 m. rugpjūčio 10 d. nutarim</w:t>
            </w:r>
            <w:r w:rsidR="00E61A5F">
              <w:rPr>
                <w:rFonts w:eastAsia="Andale Sans UI"/>
                <w:szCs w:val="24"/>
                <w:lang w:bidi="en-US"/>
              </w:rPr>
              <w:t>o</w:t>
            </w:r>
            <w:r w:rsidRPr="00AD249B">
              <w:rPr>
                <w:rFonts w:eastAsia="Andale Sans UI"/>
                <w:szCs w:val="24"/>
                <w:lang w:bidi="en-US"/>
              </w:rPr>
              <w:t xml:space="preserve"> Nr. 1229 „Dėl Privalomųjų atskaitymų į Lietuvos Respublikos valstybės biudžetą </w:t>
            </w:r>
            <w:bookmarkStart w:id="0" w:name="_Hlk513450177"/>
            <w:r w:rsidRPr="00AD249B">
              <w:rPr>
                <w:rFonts w:eastAsia="Andale Sans UI"/>
                <w:szCs w:val="24"/>
                <w:lang w:bidi="en-US"/>
              </w:rPr>
              <w:t>iš pajamų už parduotą žaliavinę medieną ir nenukirstą mišką</w:t>
            </w:r>
            <w:bookmarkEnd w:id="0"/>
            <w:r w:rsidRPr="00AD249B">
              <w:rPr>
                <w:rFonts w:eastAsia="Andale Sans UI"/>
                <w:szCs w:val="24"/>
                <w:lang w:bidi="en-US"/>
              </w:rPr>
              <w:t xml:space="preserve"> apskaičiavimo ir mokėjimo tvarkos patvirtinimo“ pakeitimo“ </w:t>
            </w:r>
            <w:r w:rsidR="000916E6">
              <w:rPr>
                <w:rFonts w:eastAsia="Andale Sans UI"/>
                <w:szCs w:val="24"/>
                <w:lang w:bidi="en-US"/>
              </w:rPr>
              <w:t>projektas</w:t>
            </w:r>
            <w:r w:rsidR="008E374E">
              <w:rPr>
                <w:szCs w:val="24"/>
              </w:rPr>
              <w:t>.</w:t>
            </w:r>
          </w:p>
        </w:tc>
      </w:tr>
    </w:tbl>
    <w:p w:rsidR="0051702D" w:rsidRPr="00F7352E" w:rsidRDefault="0051702D" w:rsidP="0051702D">
      <w:pPr>
        <w:rPr>
          <w:szCs w:val="24"/>
        </w:rPr>
      </w:pPr>
    </w:p>
    <w:tbl>
      <w:tblPr>
        <w:tblW w:w="0" w:type="auto"/>
        <w:tblLook w:val="00A0" w:firstRow="1" w:lastRow="0" w:firstColumn="1" w:lastColumn="0" w:noHBand="0" w:noVBand="0"/>
      </w:tblPr>
      <w:tblGrid>
        <w:gridCol w:w="2235"/>
        <w:gridCol w:w="7337"/>
      </w:tblGrid>
      <w:tr w:rsidR="0051702D" w:rsidRPr="00F7352E" w:rsidTr="006F5E8C">
        <w:tc>
          <w:tcPr>
            <w:tcW w:w="2235" w:type="dxa"/>
            <w:shd w:val="clear" w:color="auto" w:fill="auto"/>
            <w:hideMark/>
          </w:tcPr>
          <w:p w:rsidR="0051702D" w:rsidRPr="00F7352E" w:rsidRDefault="006F5E8C" w:rsidP="009F4045">
            <w:pPr>
              <w:rPr>
                <w:b/>
                <w:szCs w:val="24"/>
              </w:rPr>
            </w:pPr>
            <w:r w:rsidRPr="00F7352E">
              <w:rPr>
                <w:b/>
                <w:szCs w:val="24"/>
              </w:rPr>
              <w:t>Projekto rengėjas</w:t>
            </w:r>
          </w:p>
        </w:tc>
        <w:tc>
          <w:tcPr>
            <w:tcW w:w="7337" w:type="dxa"/>
            <w:shd w:val="clear" w:color="auto" w:fill="auto"/>
            <w:hideMark/>
          </w:tcPr>
          <w:p w:rsidR="0051702D" w:rsidRPr="00F7352E" w:rsidRDefault="0051702D" w:rsidP="009F4045">
            <w:pPr>
              <w:jc w:val="both"/>
              <w:rPr>
                <w:b/>
                <w:szCs w:val="24"/>
              </w:rPr>
            </w:pPr>
            <w:r w:rsidRPr="00F7352E">
              <w:rPr>
                <w:szCs w:val="24"/>
              </w:rPr>
              <w:t>Aplinkos ministerija</w:t>
            </w:r>
            <w:r w:rsidR="008E374E">
              <w:rPr>
                <w:szCs w:val="24"/>
              </w:rPr>
              <w:t>.</w:t>
            </w:r>
          </w:p>
        </w:tc>
      </w:tr>
    </w:tbl>
    <w:p w:rsidR="0051702D" w:rsidRPr="00F7352E" w:rsidRDefault="0051702D" w:rsidP="0051702D">
      <w:pPr>
        <w:rPr>
          <w:szCs w:val="24"/>
        </w:rPr>
      </w:pPr>
    </w:p>
    <w:tbl>
      <w:tblPr>
        <w:tblW w:w="0" w:type="auto"/>
        <w:tblLook w:val="00A0" w:firstRow="1" w:lastRow="0" w:firstColumn="1" w:lastColumn="0" w:noHBand="0" w:noVBand="0"/>
      </w:tblPr>
      <w:tblGrid>
        <w:gridCol w:w="2235"/>
        <w:gridCol w:w="7337"/>
      </w:tblGrid>
      <w:tr w:rsidR="0051702D" w:rsidRPr="00F7352E" w:rsidTr="006F5E8C">
        <w:tc>
          <w:tcPr>
            <w:tcW w:w="2235" w:type="dxa"/>
            <w:shd w:val="clear" w:color="auto" w:fill="auto"/>
            <w:hideMark/>
          </w:tcPr>
          <w:p w:rsidR="0051702D" w:rsidRPr="00F7352E" w:rsidRDefault="0051702D" w:rsidP="009F4045">
            <w:pPr>
              <w:rPr>
                <w:b/>
                <w:szCs w:val="24"/>
              </w:rPr>
            </w:pPr>
            <w:r w:rsidRPr="00F7352E">
              <w:rPr>
                <w:b/>
                <w:szCs w:val="24"/>
              </w:rPr>
              <w:t>Projekto tikslas</w:t>
            </w:r>
          </w:p>
        </w:tc>
        <w:tc>
          <w:tcPr>
            <w:tcW w:w="7337" w:type="dxa"/>
            <w:shd w:val="clear" w:color="auto" w:fill="auto"/>
            <w:hideMark/>
          </w:tcPr>
          <w:p w:rsidR="0051702D" w:rsidRPr="008E374E" w:rsidRDefault="00AD249B" w:rsidP="000916E6">
            <w:pPr>
              <w:pStyle w:val="BodyText"/>
              <w:jc w:val="both"/>
            </w:pPr>
            <w:r>
              <w:rPr>
                <w:rFonts w:eastAsia="Andale Sans UI"/>
                <w:szCs w:val="24"/>
                <w:lang w:bidi="en-US"/>
              </w:rPr>
              <w:t>S</w:t>
            </w:r>
            <w:r w:rsidRPr="00AD249B">
              <w:rPr>
                <w:rFonts w:eastAsia="Andale Sans UI"/>
                <w:szCs w:val="24"/>
                <w:lang w:bidi="en-US"/>
              </w:rPr>
              <w:t xml:space="preserve">iekiant sumažinti Valstybinei mokesčių inspekcijai prie Lietuvos Respublikos finansų ministerijos </w:t>
            </w:r>
            <w:r w:rsidR="00320077">
              <w:rPr>
                <w:rFonts w:eastAsia="Andale Sans UI"/>
                <w:szCs w:val="24"/>
                <w:lang w:bidi="en-US"/>
              </w:rPr>
              <w:t xml:space="preserve">ir </w:t>
            </w:r>
            <w:r w:rsidR="00320077" w:rsidRPr="00AD249B">
              <w:rPr>
                <w:rFonts w:eastAsia="Andale Sans UI"/>
                <w:szCs w:val="24"/>
                <w:lang w:bidi="en-US"/>
              </w:rPr>
              <w:t xml:space="preserve">miško valdytojams </w:t>
            </w:r>
            <w:r w:rsidR="00320077">
              <w:rPr>
                <w:rFonts w:eastAsia="Andale Sans UI"/>
                <w:szCs w:val="24"/>
                <w:lang w:bidi="en-US"/>
              </w:rPr>
              <w:t xml:space="preserve">tenkančią </w:t>
            </w:r>
            <w:r w:rsidRPr="00AD249B">
              <w:rPr>
                <w:rFonts w:eastAsia="Andale Sans UI"/>
                <w:szCs w:val="24"/>
                <w:lang w:bidi="en-US"/>
              </w:rPr>
              <w:t xml:space="preserve">administracinę naštą, pakeisti miško valdytojų, kurie yra fiziniai asmenys, privalomųjų atskaitymų iš pajamų už parduotą žaliavinę medieną ir nenukirstą mišką mokestinį laikotarpį ir suvienodinti privalomųjų atskaitymų deklaravimo ir sumokėjimo terminą su gyventojų pajamų mokesčio </w:t>
            </w:r>
            <w:r w:rsidR="00FB052B">
              <w:rPr>
                <w:color w:val="000000"/>
              </w:rPr>
              <w:t>deklaravimo ir sumokėjimo</w:t>
            </w:r>
            <w:r w:rsidRPr="00AD249B">
              <w:rPr>
                <w:rFonts w:eastAsia="Andale Sans UI"/>
                <w:szCs w:val="24"/>
                <w:lang w:bidi="en-US"/>
              </w:rPr>
              <w:t xml:space="preserve"> terminu.</w:t>
            </w:r>
          </w:p>
        </w:tc>
      </w:tr>
    </w:tbl>
    <w:p w:rsidR="0051702D" w:rsidRPr="00F7352E" w:rsidRDefault="0051702D" w:rsidP="0051702D">
      <w:pPr>
        <w:rPr>
          <w:szCs w:val="24"/>
        </w:rPr>
      </w:pPr>
    </w:p>
    <w:tbl>
      <w:tblPr>
        <w:tblW w:w="0" w:type="auto"/>
        <w:tblLook w:val="00A0" w:firstRow="1" w:lastRow="0" w:firstColumn="1" w:lastColumn="0" w:noHBand="0" w:noVBand="0"/>
      </w:tblPr>
      <w:tblGrid>
        <w:gridCol w:w="2164"/>
        <w:gridCol w:w="7442"/>
      </w:tblGrid>
      <w:tr w:rsidR="0051702D" w:rsidRPr="00F7352E" w:rsidTr="00F7352E">
        <w:trPr>
          <w:trHeight w:val="415"/>
        </w:trPr>
        <w:tc>
          <w:tcPr>
            <w:tcW w:w="2164" w:type="dxa"/>
            <w:shd w:val="clear" w:color="auto" w:fill="auto"/>
          </w:tcPr>
          <w:p w:rsidR="0051702D" w:rsidRPr="00F7352E" w:rsidRDefault="0051702D" w:rsidP="009F4045">
            <w:pPr>
              <w:rPr>
                <w:szCs w:val="24"/>
              </w:rPr>
            </w:pPr>
          </w:p>
        </w:tc>
        <w:tc>
          <w:tcPr>
            <w:tcW w:w="7442" w:type="dxa"/>
            <w:shd w:val="clear" w:color="auto" w:fill="auto"/>
            <w:hideMark/>
          </w:tcPr>
          <w:p w:rsidR="0051702D" w:rsidRPr="00F7352E" w:rsidRDefault="0051702D" w:rsidP="009F4045">
            <w:pPr>
              <w:jc w:val="center"/>
              <w:rPr>
                <w:b/>
                <w:szCs w:val="24"/>
              </w:rPr>
            </w:pPr>
            <w:r w:rsidRPr="00F7352E">
              <w:rPr>
                <w:b/>
                <w:szCs w:val="24"/>
              </w:rPr>
              <w:t xml:space="preserve">Siūlomo projekto poveikio įvertinimas </w:t>
            </w:r>
          </w:p>
          <w:p w:rsidR="0051702D" w:rsidRPr="00F7352E" w:rsidRDefault="0051702D" w:rsidP="00FF4DFE">
            <w:pPr>
              <w:jc w:val="center"/>
              <w:rPr>
                <w:b/>
                <w:szCs w:val="24"/>
              </w:rPr>
            </w:pPr>
            <w:r w:rsidRPr="00F7352E">
              <w:rPr>
                <w:b/>
                <w:szCs w:val="24"/>
              </w:rPr>
              <w:t>(</w:t>
            </w:r>
            <w:r w:rsidRPr="00F7352E">
              <w:rPr>
                <w:b/>
                <w:bCs/>
                <w:szCs w:val="24"/>
              </w:rPr>
              <w:t>teigiamos ir (ar) neigiamos pasekmės)</w:t>
            </w:r>
          </w:p>
        </w:tc>
      </w:tr>
    </w:tbl>
    <w:p w:rsidR="0051702D" w:rsidRPr="00F7352E" w:rsidRDefault="0051702D" w:rsidP="0051702D">
      <w:pPr>
        <w:rPr>
          <w:szCs w:val="24"/>
        </w:rPr>
      </w:pPr>
    </w:p>
    <w:tbl>
      <w:tblPr>
        <w:tblW w:w="0" w:type="auto"/>
        <w:tblLook w:val="00A0" w:firstRow="1" w:lastRow="0" w:firstColumn="1" w:lastColumn="0" w:noHBand="0" w:noVBand="0"/>
      </w:tblPr>
      <w:tblGrid>
        <w:gridCol w:w="2235"/>
        <w:gridCol w:w="7371"/>
      </w:tblGrid>
      <w:tr w:rsidR="0051702D" w:rsidRPr="00F7352E" w:rsidTr="00F7352E">
        <w:tc>
          <w:tcPr>
            <w:tcW w:w="2235" w:type="dxa"/>
            <w:shd w:val="clear" w:color="auto" w:fill="auto"/>
          </w:tcPr>
          <w:p w:rsidR="0051702D" w:rsidRPr="00F7352E" w:rsidRDefault="0051702D" w:rsidP="007D5753">
            <w:pPr>
              <w:rPr>
                <w:b/>
                <w:szCs w:val="24"/>
              </w:rPr>
            </w:pPr>
            <w:r w:rsidRPr="00F7352E">
              <w:rPr>
                <w:b/>
                <w:szCs w:val="24"/>
              </w:rPr>
              <w:t xml:space="preserve">Poveikis </w:t>
            </w:r>
            <w:r w:rsidR="00FB052B">
              <w:rPr>
                <w:b/>
                <w:szCs w:val="24"/>
              </w:rPr>
              <w:t>miškų</w:t>
            </w:r>
            <w:r w:rsidR="007D5753" w:rsidRPr="00F7352E">
              <w:rPr>
                <w:b/>
                <w:szCs w:val="24"/>
              </w:rPr>
              <w:t xml:space="preserve"> sričiai</w:t>
            </w:r>
          </w:p>
        </w:tc>
        <w:tc>
          <w:tcPr>
            <w:tcW w:w="7371" w:type="dxa"/>
            <w:shd w:val="clear" w:color="auto" w:fill="auto"/>
          </w:tcPr>
          <w:p w:rsidR="0051702D" w:rsidRPr="00F7352E" w:rsidRDefault="00FB052B" w:rsidP="00F56751">
            <w:pPr>
              <w:jc w:val="both"/>
              <w:rPr>
                <w:szCs w:val="24"/>
              </w:rPr>
            </w:pPr>
            <w:r>
              <w:rPr>
                <w:rFonts w:eastAsia="Andale Sans UI" w:cs="Tahoma"/>
                <w:color w:val="000000"/>
                <w:szCs w:val="24"/>
                <w:lang w:bidi="en-US"/>
              </w:rPr>
              <w:t>M</w:t>
            </w:r>
            <w:r w:rsidRPr="00FB052B">
              <w:rPr>
                <w:rFonts w:eastAsia="Andale Sans UI" w:cs="Tahoma"/>
                <w:color w:val="000000"/>
                <w:szCs w:val="24"/>
                <w:lang w:bidi="en-US"/>
              </w:rPr>
              <w:t xml:space="preserve">iško valdytojams, kurie yra fiziniai asmenys, sumažėtų </w:t>
            </w:r>
            <w:r w:rsidR="00320077">
              <w:rPr>
                <w:rFonts w:eastAsia="Andale Sans UI" w:cs="Tahoma"/>
                <w:color w:val="000000"/>
                <w:szCs w:val="24"/>
                <w:lang w:bidi="en-US"/>
              </w:rPr>
              <w:t>administracinė</w:t>
            </w:r>
            <w:r w:rsidRPr="00FB052B">
              <w:rPr>
                <w:rFonts w:eastAsia="Andale Sans UI" w:cs="Tahoma"/>
                <w:color w:val="000000"/>
                <w:szCs w:val="24"/>
                <w:lang w:bidi="en-US"/>
              </w:rPr>
              <w:t xml:space="preserve"> našta (mokestis būtų mokamas vieną kartą už mokestinį laikotarpį) ir palengvėtų privalomųjų atskaitymo mokėjimo deklaracijos už mokestinį laikotarpį pildymas</w:t>
            </w:r>
            <w:r w:rsidR="00E61A5F">
              <w:rPr>
                <w:rFonts w:eastAsia="Andale Sans UI" w:cs="Tahoma"/>
                <w:color w:val="000000"/>
                <w:szCs w:val="24"/>
                <w:lang w:bidi="en-US"/>
              </w:rPr>
              <w:t>.</w:t>
            </w:r>
            <w:bookmarkStart w:id="1" w:name="_GoBack"/>
            <w:bookmarkEnd w:id="1"/>
          </w:p>
        </w:tc>
      </w:tr>
    </w:tbl>
    <w:p w:rsidR="0051702D" w:rsidRPr="00F7352E" w:rsidRDefault="0051702D" w:rsidP="0051702D">
      <w:pPr>
        <w:rPr>
          <w:szCs w:val="24"/>
        </w:rPr>
      </w:pPr>
    </w:p>
    <w:tbl>
      <w:tblPr>
        <w:tblW w:w="9606" w:type="dxa"/>
        <w:tblLook w:val="00A0" w:firstRow="1" w:lastRow="0" w:firstColumn="1" w:lastColumn="0" w:noHBand="0" w:noVBand="0"/>
      </w:tblPr>
      <w:tblGrid>
        <w:gridCol w:w="2235"/>
        <w:gridCol w:w="7371"/>
      </w:tblGrid>
      <w:tr w:rsidR="0051702D" w:rsidRPr="00F7352E" w:rsidTr="00FB052B">
        <w:tc>
          <w:tcPr>
            <w:tcW w:w="2235" w:type="dxa"/>
            <w:shd w:val="clear" w:color="auto" w:fill="auto"/>
            <w:hideMark/>
          </w:tcPr>
          <w:p w:rsidR="0051702D" w:rsidRPr="00F7352E" w:rsidRDefault="0051702D" w:rsidP="009F4045">
            <w:pPr>
              <w:rPr>
                <w:b/>
                <w:szCs w:val="24"/>
              </w:rPr>
            </w:pPr>
            <w:r w:rsidRPr="00F7352E">
              <w:rPr>
                <w:b/>
                <w:szCs w:val="24"/>
              </w:rPr>
              <w:t xml:space="preserve">Poveikis </w:t>
            </w:r>
          </w:p>
          <w:p w:rsidR="0051702D" w:rsidRPr="00F7352E" w:rsidRDefault="0051702D" w:rsidP="009F4045">
            <w:pPr>
              <w:rPr>
                <w:b/>
                <w:szCs w:val="24"/>
              </w:rPr>
            </w:pPr>
            <w:r w:rsidRPr="00F7352E">
              <w:rPr>
                <w:b/>
                <w:szCs w:val="24"/>
              </w:rPr>
              <w:t>valstybės finansams</w:t>
            </w:r>
          </w:p>
        </w:tc>
        <w:tc>
          <w:tcPr>
            <w:tcW w:w="7371" w:type="dxa"/>
            <w:shd w:val="clear" w:color="auto" w:fill="auto"/>
          </w:tcPr>
          <w:p w:rsidR="0051702D" w:rsidRPr="00F7352E" w:rsidRDefault="00FB052B" w:rsidP="00763F55">
            <w:pPr>
              <w:jc w:val="both"/>
              <w:rPr>
                <w:szCs w:val="24"/>
              </w:rPr>
            </w:pPr>
            <w:r>
              <w:rPr>
                <w:szCs w:val="24"/>
              </w:rPr>
              <w:t xml:space="preserve">- </w:t>
            </w:r>
          </w:p>
        </w:tc>
      </w:tr>
    </w:tbl>
    <w:p w:rsidR="0051702D" w:rsidRPr="006F5E8C" w:rsidRDefault="0051702D" w:rsidP="0051702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396"/>
      </w:tblGrid>
      <w:tr w:rsidR="0051702D" w:rsidRPr="006F5E8C" w:rsidTr="00FB052B">
        <w:trPr>
          <w:trHeight w:val="1413"/>
        </w:trPr>
        <w:tc>
          <w:tcPr>
            <w:tcW w:w="2210" w:type="dxa"/>
            <w:tcBorders>
              <w:top w:val="nil"/>
              <w:left w:val="nil"/>
              <w:bottom w:val="nil"/>
              <w:right w:val="nil"/>
            </w:tcBorders>
            <w:shd w:val="clear" w:color="auto" w:fill="auto"/>
          </w:tcPr>
          <w:p w:rsidR="0051702D" w:rsidRPr="00F7352E" w:rsidRDefault="006F5E8C" w:rsidP="009F4045">
            <w:pPr>
              <w:rPr>
                <w:b/>
                <w:szCs w:val="24"/>
              </w:rPr>
            </w:pPr>
            <w:r w:rsidRPr="00F7352E">
              <w:rPr>
                <w:b/>
                <w:szCs w:val="24"/>
              </w:rPr>
              <w:t xml:space="preserve">Poveikis </w:t>
            </w:r>
          </w:p>
          <w:p w:rsidR="006F5E8C" w:rsidRPr="00F7352E" w:rsidRDefault="006F5E8C" w:rsidP="009F4045">
            <w:pPr>
              <w:rPr>
                <w:b/>
                <w:szCs w:val="24"/>
              </w:rPr>
            </w:pPr>
            <w:r w:rsidRPr="00F7352E">
              <w:rPr>
                <w:b/>
                <w:szCs w:val="24"/>
              </w:rPr>
              <w:t xml:space="preserve">administracinei </w:t>
            </w:r>
          </w:p>
          <w:p w:rsidR="006F5E8C" w:rsidRPr="00F7352E" w:rsidRDefault="006F5E8C" w:rsidP="009F4045">
            <w:pPr>
              <w:rPr>
                <w:szCs w:val="24"/>
              </w:rPr>
            </w:pPr>
            <w:r w:rsidRPr="00F7352E">
              <w:rPr>
                <w:b/>
                <w:szCs w:val="24"/>
              </w:rPr>
              <w:t>naštai</w:t>
            </w:r>
          </w:p>
        </w:tc>
        <w:tc>
          <w:tcPr>
            <w:tcW w:w="7396" w:type="dxa"/>
            <w:tcBorders>
              <w:top w:val="nil"/>
              <w:left w:val="nil"/>
              <w:bottom w:val="nil"/>
              <w:right w:val="nil"/>
            </w:tcBorders>
            <w:shd w:val="clear" w:color="auto" w:fill="auto"/>
          </w:tcPr>
          <w:p w:rsidR="0051702D" w:rsidRPr="00F7352E" w:rsidRDefault="00FB052B" w:rsidP="003B246B">
            <w:pPr>
              <w:jc w:val="both"/>
              <w:rPr>
                <w:szCs w:val="24"/>
              </w:rPr>
            </w:pPr>
            <w:r w:rsidRPr="00FB052B">
              <w:rPr>
                <w:szCs w:val="24"/>
              </w:rPr>
              <w:t>Valstybinei mokesčių inspekcijai prie Lietuvos Respublikos finansų ministerijos</w:t>
            </w:r>
            <w:r>
              <w:rPr>
                <w:szCs w:val="24"/>
              </w:rPr>
              <w:t xml:space="preserve"> būtų</w:t>
            </w:r>
            <w:r w:rsidRPr="00FB052B">
              <w:rPr>
                <w:szCs w:val="24"/>
              </w:rPr>
              <w:t xml:space="preserve"> sumažin</w:t>
            </w:r>
            <w:r>
              <w:rPr>
                <w:szCs w:val="24"/>
              </w:rPr>
              <w:t>ama</w:t>
            </w:r>
            <w:r w:rsidRPr="00FB052B">
              <w:rPr>
                <w:szCs w:val="24"/>
              </w:rPr>
              <w:t xml:space="preserve"> </w:t>
            </w:r>
            <w:r>
              <w:rPr>
                <w:szCs w:val="24"/>
              </w:rPr>
              <w:t xml:space="preserve">šiuo metu </w:t>
            </w:r>
            <w:r w:rsidRPr="00FB052B">
              <w:rPr>
                <w:szCs w:val="24"/>
              </w:rPr>
              <w:t>tenkan</w:t>
            </w:r>
            <w:r>
              <w:rPr>
                <w:szCs w:val="24"/>
              </w:rPr>
              <w:t>ti</w:t>
            </w:r>
            <w:r w:rsidRPr="00FB052B">
              <w:rPr>
                <w:szCs w:val="24"/>
              </w:rPr>
              <w:t xml:space="preserve"> administracin</w:t>
            </w:r>
            <w:r>
              <w:rPr>
                <w:szCs w:val="24"/>
              </w:rPr>
              <w:t>ė</w:t>
            </w:r>
            <w:r w:rsidRPr="00FB052B">
              <w:rPr>
                <w:szCs w:val="24"/>
              </w:rPr>
              <w:t xml:space="preserve"> našt</w:t>
            </w:r>
            <w:r>
              <w:rPr>
                <w:szCs w:val="24"/>
              </w:rPr>
              <w:t xml:space="preserve">a, būtų išspręstos </w:t>
            </w:r>
            <w:r w:rsidRPr="00FB052B">
              <w:rPr>
                <w:rFonts w:eastAsia="Andale Sans UI"/>
                <w:szCs w:val="24"/>
                <w:lang w:bidi="en-US"/>
              </w:rPr>
              <w:t>problem</w:t>
            </w:r>
            <w:r>
              <w:rPr>
                <w:rFonts w:eastAsia="Andale Sans UI"/>
                <w:szCs w:val="24"/>
                <w:lang w:bidi="en-US"/>
              </w:rPr>
              <w:t xml:space="preserve">os, susijusios su </w:t>
            </w:r>
            <w:r w:rsidRPr="00FB052B">
              <w:rPr>
                <w:rFonts w:eastAsia="Andale Sans UI"/>
                <w:szCs w:val="24"/>
                <w:lang w:bidi="en-US"/>
              </w:rPr>
              <w:t>privalomųjų atskaitymų</w:t>
            </w:r>
            <w:r w:rsidRPr="00FB052B">
              <w:rPr>
                <w:rFonts w:eastAsia="Andale Sans UI" w:cs="Tahoma"/>
                <w:color w:val="000000"/>
                <w:szCs w:val="24"/>
                <w:lang w:bidi="en-US"/>
              </w:rPr>
              <w:t xml:space="preserve"> deklara</w:t>
            </w:r>
            <w:r>
              <w:rPr>
                <w:rFonts w:eastAsia="Andale Sans UI" w:cs="Tahoma"/>
                <w:color w:val="000000"/>
                <w:szCs w:val="24"/>
                <w:lang w:bidi="en-US"/>
              </w:rPr>
              <w:t>vimo duomenų surinkimu.</w:t>
            </w:r>
          </w:p>
        </w:tc>
      </w:tr>
    </w:tbl>
    <w:p w:rsidR="0051702D" w:rsidRDefault="0051702D" w:rsidP="0051702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396"/>
      </w:tblGrid>
      <w:tr w:rsidR="00D31627" w:rsidRPr="006F5E8C" w:rsidTr="00F7352E">
        <w:tc>
          <w:tcPr>
            <w:tcW w:w="2210" w:type="dxa"/>
            <w:tcBorders>
              <w:top w:val="nil"/>
              <w:left w:val="nil"/>
              <w:bottom w:val="nil"/>
              <w:right w:val="nil"/>
            </w:tcBorders>
            <w:shd w:val="clear" w:color="auto" w:fill="auto"/>
          </w:tcPr>
          <w:p w:rsidR="00D31627" w:rsidRPr="00F7352E" w:rsidRDefault="00D31627" w:rsidP="00C759F0">
            <w:pPr>
              <w:rPr>
                <w:szCs w:val="24"/>
              </w:rPr>
            </w:pPr>
            <w:r w:rsidRPr="00F7352E">
              <w:rPr>
                <w:b/>
                <w:szCs w:val="24"/>
              </w:rPr>
              <w:t>Kita svarbi informacija</w:t>
            </w:r>
          </w:p>
        </w:tc>
        <w:tc>
          <w:tcPr>
            <w:tcW w:w="7396" w:type="dxa"/>
            <w:tcBorders>
              <w:top w:val="nil"/>
              <w:left w:val="nil"/>
              <w:bottom w:val="nil"/>
              <w:right w:val="nil"/>
            </w:tcBorders>
            <w:shd w:val="clear" w:color="auto" w:fill="auto"/>
            <w:hideMark/>
          </w:tcPr>
          <w:p w:rsidR="00D31627" w:rsidRPr="00F7352E" w:rsidRDefault="008E374E" w:rsidP="008E374E">
            <w:pPr>
              <w:jc w:val="both"/>
              <w:rPr>
                <w:szCs w:val="24"/>
              </w:rPr>
            </w:pPr>
            <w:r>
              <w:t>-</w:t>
            </w:r>
          </w:p>
        </w:tc>
      </w:tr>
    </w:tbl>
    <w:p w:rsidR="00D31627" w:rsidRPr="00DB7455" w:rsidRDefault="00D31627" w:rsidP="0051702D">
      <w:pPr>
        <w:rPr>
          <w:sz w:val="22"/>
          <w:szCs w:val="22"/>
        </w:rPr>
      </w:pPr>
    </w:p>
    <w:p w:rsidR="0051702D" w:rsidRPr="00F7352E" w:rsidRDefault="0051702D" w:rsidP="003B246B">
      <w:pPr>
        <w:pStyle w:val="ListParagraph1"/>
        <w:ind w:left="0"/>
        <w:contextualSpacing/>
        <w:jc w:val="both"/>
        <w:rPr>
          <w:b/>
          <w:szCs w:val="24"/>
        </w:rPr>
      </w:pPr>
      <w:r w:rsidRPr="00F7352E">
        <w:rPr>
          <w:b/>
          <w:szCs w:val="24"/>
        </w:rPr>
        <w:t>Informacija apie asmenį ir instituciją, atsakingą už poveikio vertinimą</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617"/>
      </w:tblGrid>
      <w:tr w:rsidR="0051702D" w:rsidRPr="00F7352E" w:rsidTr="00F7352E">
        <w:tc>
          <w:tcPr>
            <w:tcW w:w="1475"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1702D" w:rsidRPr="00F7352E" w:rsidRDefault="0051702D" w:rsidP="009F4045">
            <w:pPr>
              <w:pStyle w:val="ListParagraph1"/>
              <w:ind w:left="0"/>
              <w:rPr>
                <w:szCs w:val="24"/>
              </w:rPr>
            </w:pPr>
            <w:r w:rsidRPr="00F7352E">
              <w:rPr>
                <w:szCs w:val="24"/>
              </w:rPr>
              <w:t>Vardas ir pavardė</w:t>
            </w:r>
          </w:p>
        </w:tc>
        <w:tc>
          <w:tcPr>
            <w:tcW w:w="3525" w:type="pct"/>
            <w:tcBorders>
              <w:top w:val="single" w:sz="4" w:space="0" w:color="auto"/>
              <w:left w:val="single" w:sz="4" w:space="0" w:color="auto"/>
              <w:bottom w:val="single" w:sz="4" w:space="0" w:color="auto"/>
              <w:right w:val="single" w:sz="4" w:space="0" w:color="auto"/>
            </w:tcBorders>
            <w:tcMar>
              <w:top w:w="28" w:type="dxa"/>
              <w:bottom w:w="28" w:type="dxa"/>
            </w:tcMar>
          </w:tcPr>
          <w:p w:rsidR="0051702D" w:rsidRPr="00F7352E" w:rsidRDefault="00A34ED9" w:rsidP="00D97319">
            <w:pPr>
              <w:pStyle w:val="ListParagraph1"/>
              <w:ind w:left="0"/>
              <w:rPr>
                <w:szCs w:val="24"/>
              </w:rPr>
            </w:pPr>
            <w:proofErr w:type="spellStart"/>
            <w:r>
              <w:rPr>
                <w:color w:val="000000"/>
                <w:szCs w:val="24"/>
              </w:rPr>
              <w:t>Anžela</w:t>
            </w:r>
            <w:proofErr w:type="spellEnd"/>
            <w:r>
              <w:rPr>
                <w:color w:val="000000"/>
                <w:szCs w:val="24"/>
              </w:rPr>
              <w:t xml:space="preserve"> </w:t>
            </w:r>
            <w:proofErr w:type="spellStart"/>
            <w:r>
              <w:rPr>
                <w:color w:val="000000"/>
                <w:szCs w:val="24"/>
              </w:rPr>
              <w:t>Graževič</w:t>
            </w:r>
            <w:proofErr w:type="spellEnd"/>
            <w:r>
              <w:rPr>
                <w:color w:val="000000"/>
                <w:szCs w:val="24"/>
              </w:rPr>
              <w:t>-Kulik</w:t>
            </w:r>
          </w:p>
        </w:tc>
      </w:tr>
      <w:tr w:rsidR="0051702D" w:rsidRPr="00F7352E" w:rsidTr="00F7352E">
        <w:tc>
          <w:tcPr>
            <w:tcW w:w="1475"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1702D" w:rsidRPr="00F7352E" w:rsidRDefault="0051702D" w:rsidP="009F4045">
            <w:pPr>
              <w:pStyle w:val="ListParagraph1"/>
              <w:ind w:left="0"/>
              <w:rPr>
                <w:b/>
                <w:szCs w:val="24"/>
              </w:rPr>
            </w:pPr>
            <w:r w:rsidRPr="00F7352E">
              <w:rPr>
                <w:szCs w:val="24"/>
              </w:rPr>
              <w:t>Pareigos</w:t>
            </w:r>
          </w:p>
        </w:tc>
        <w:tc>
          <w:tcPr>
            <w:tcW w:w="3525" w:type="pct"/>
            <w:tcBorders>
              <w:top w:val="single" w:sz="4" w:space="0" w:color="auto"/>
              <w:left w:val="single" w:sz="4" w:space="0" w:color="auto"/>
              <w:bottom w:val="single" w:sz="4" w:space="0" w:color="auto"/>
              <w:right w:val="single" w:sz="4" w:space="0" w:color="auto"/>
            </w:tcBorders>
            <w:tcMar>
              <w:top w:w="28" w:type="dxa"/>
              <w:bottom w:w="28" w:type="dxa"/>
            </w:tcMar>
          </w:tcPr>
          <w:p w:rsidR="0051702D" w:rsidRPr="00F7352E" w:rsidRDefault="00A34ED9" w:rsidP="009F4045">
            <w:pPr>
              <w:pStyle w:val="ListParagraph1"/>
              <w:ind w:left="0"/>
              <w:jc w:val="both"/>
              <w:rPr>
                <w:b/>
                <w:szCs w:val="24"/>
              </w:rPr>
            </w:pPr>
            <w:r>
              <w:rPr>
                <w:color w:val="000000"/>
                <w:szCs w:val="24"/>
              </w:rPr>
              <w:t>Miškų politikos skyriaus vyriausioji specialistė</w:t>
            </w:r>
          </w:p>
        </w:tc>
      </w:tr>
      <w:tr w:rsidR="0051702D" w:rsidRPr="00F7352E" w:rsidTr="00F7352E">
        <w:tc>
          <w:tcPr>
            <w:tcW w:w="1475"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1702D" w:rsidRPr="00F7352E" w:rsidRDefault="0051702D" w:rsidP="009F4045">
            <w:pPr>
              <w:pStyle w:val="ListParagraph1"/>
              <w:ind w:left="0"/>
              <w:rPr>
                <w:b/>
                <w:szCs w:val="24"/>
              </w:rPr>
            </w:pPr>
            <w:r w:rsidRPr="00F7352E">
              <w:rPr>
                <w:szCs w:val="24"/>
              </w:rPr>
              <w:t>Institucija (padalinys)</w:t>
            </w:r>
          </w:p>
        </w:tc>
        <w:tc>
          <w:tcPr>
            <w:tcW w:w="3525" w:type="pct"/>
            <w:tcBorders>
              <w:top w:val="single" w:sz="4" w:space="0" w:color="auto"/>
              <w:left w:val="single" w:sz="4" w:space="0" w:color="auto"/>
              <w:bottom w:val="single" w:sz="4" w:space="0" w:color="auto"/>
              <w:right w:val="single" w:sz="4" w:space="0" w:color="auto"/>
            </w:tcBorders>
            <w:tcMar>
              <w:top w:w="28" w:type="dxa"/>
              <w:bottom w:w="28" w:type="dxa"/>
            </w:tcMar>
          </w:tcPr>
          <w:p w:rsidR="0051702D" w:rsidRPr="00F7352E" w:rsidRDefault="00DD5E94" w:rsidP="00A34ED9">
            <w:pPr>
              <w:pStyle w:val="ListParagraph1"/>
              <w:ind w:left="0"/>
              <w:jc w:val="both"/>
              <w:rPr>
                <w:b/>
                <w:szCs w:val="24"/>
              </w:rPr>
            </w:pPr>
            <w:r w:rsidRPr="00F7352E">
              <w:rPr>
                <w:color w:val="000000"/>
                <w:szCs w:val="24"/>
              </w:rPr>
              <w:t>Aplinkos ministerij</w:t>
            </w:r>
            <w:r w:rsidR="00167F15" w:rsidRPr="00F7352E">
              <w:rPr>
                <w:color w:val="000000"/>
                <w:szCs w:val="24"/>
              </w:rPr>
              <w:t>os</w:t>
            </w:r>
            <w:r w:rsidRPr="00F7352E">
              <w:rPr>
                <w:color w:val="000000"/>
                <w:szCs w:val="24"/>
              </w:rPr>
              <w:t xml:space="preserve"> </w:t>
            </w:r>
            <w:r w:rsidR="00A34ED9">
              <w:rPr>
                <w:color w:val="000000"/>
                <w:szCs w:val="24"/>
              </w:rPr>
              <w:t>Gamtos apsaugos ir m</w:t>
            </w:r>
            <w:r w:rsidRPr="00F7352E">
              <w:rPr>
                <w:color w:val="000000"/>
                <w:szCs w:val="24"/>
              </w:rPr>
              <w:t>iškų departamentas</w:t>
            </w:r>
          </w:p>
        </w:tc>
      </w:tr>
      <w:tr w:rsidR="0051702D" w:rsidRPr="00F7352E" w:rsidTr="00F7352E">
        <w:tc>
          <w:tcPr>
            <w:tcW w:w="1475" w:type="pct"/>
            <w:tcBorders>
              <w:top w:val="single" w:sz="4" w:space="0" w:color="auto"/>
              <w:left w:val="single" w:sz="4" w:space="0" w:color="auto"/>
              <w:bottom w:val="single" w:sz="4" w:space="0" w:color="auto"/>
              <w:right w:val="single" w:sz="4" w:space="0" w:color="auto"/>
            </w:tcBorders>
            <w:tcMar>
              <w:top w:w="28" w:type="dxa"/>
              <w:bottom w:w="28" w:type="dxa"/>
            </w:tcMar>
            <w:hideMark/>
          </w:tcPr>
          <w:p w:rsidR="0051702D" w:rsidRPr="00F7352E" w:rsidRDefault="0051702D" w:rsidP="009F4045">
            <w:pPr>
              <w:pStyle w:val="ListParagraph1"/>
              <w:ind w:left="0"/>
              <w:rPr>
                <w:szCs w:val="24"/>
              </w:rPr>
            </w:pPr>
            <w:r w:rsidRPr="00F7352E">
              <w:rPr>
                <w:szCs w:val="24"/>
              </w:rPr>
              <w:t>Telefono numeris ir elektroninio pašto adresas</w:t>
            </w:r>
          </w:p>
        </w:tc>
        <w:tc>
          <w:tcPr>
            <w:tcW w:w="3525" w:type="pct"/>
            <w:tcBorders>
              <w:top w:val="single" w:sz="4" w:space="0" w:color="auto"/>
              <w:left w:val="single" w:sz="4" w:space="0" w:color="auto"/>
              <w:bottom w:val="single" w:sz="4" w:space="0" w:color="auto"/>
              <w:right w:val="single" w:sz="4" w:space="0" w:color="auto"/>
            </w:tcBorders>
            <w:tcMar>
              <w:top w:w="28" w:type="dxa"/>
              <w:bottom w:w="28" w:type="dxa"/>
            </w:tcMar>
          </w:tcPr>
          <w:p w:rsidR="0051702D" w:rsidRPr="00F7352E" w:rsidRDefault="00FC6260" w:rsidP="00A34ED9">
            <w:pPr>
              <w:pStyle w:val="ListParagraph1"/>
              <w:ind w:left="0"/>
              <w:jc w:val="both"/>
              <w:rPr>
                <w:b/>
                <w:szCs w:val="24"/>
              </w:rPr>
            </w:pPr>
            <w:r w:rsidRPr="00F7352E">
              <w:rPr>
                <w:szCs w:val="24"/>
              </w:rPr>
              <w:t xml:space="preserve">(8-5) </w:t>
            </w:r>
            <w:r w:rsidR="003273E0" w:rsidRPr="00F7352E">
              <w:rPr>
                <w:szCs w:val="24"/>
              </w:rPr>
              <w:t xml:space="preserve">272 </w:t>
            </w:r>
            <w:r w:rsidR="00A34ED9">
              <w:rPr>
                <w:szCs w:val="24"/>
              </w:rPr>
              <w:t>82</w:t>
            </w:r>
            <w:r w:rsidR="00D94534" w:rsidRPr="00F7352E">
              <w:rPr>
                <w:szCs w:val="24"/>
              </w:rPr>
              <w:t>75</w:t>
            </w:r>
            <w:r w:rsidR="003273E0" w:rsidRPr="00F7352E">
              <w:rPr>
                <w:szCs w:val="24"/>
              </w:rPr>
              <w:t xml:space="preserve">, el. p. </w:t>
            </w:r>
            <w:proofErr w:type="spellStart"/>
            <w:r w:rsidR="00A34ED9">
              <w:rPr>
                <w:szCs w:val="24"/>
              </w:rPr>
              <w:t>anzela.grazevic</w:t>
            </w:r>
            <w:proofErr w:type="spellEnd"/>
            <w:r w:rsidR="00DD5E94" w:rsidRPr="00F7352E">
              <w:rPr>
                <w:szCs w:val="24"/>
                <w:lang w:val="en-US"/>
              </w:rPr>
              <w:t>@</w:t>
            </w:r>
            <w:proofErr w:type="spellStart"/>
            <w:r w:rsidR="00DD5E94" w:rsidRPr="00F7352E">
              <w:rPr>
                <w:szCs w:val="24"/>
              </w:rPr>
              <w:t>am.lt</w:t>
            </w:r>
            <w:proofErr w:type="spellEnd"/>
          </w:p>
        </w:tc>
      </w:tr>
    </w:tbl>
    <w:p w:rsidR="0051702D" w:rsidRDefault="0051702D" w:rsidP="0051702D">
      <w:pPr>
        <w:jc w:val="both"/>
        <w:rPr>
          <w:sz w:val="22"/>
          <w:szCs w:val="22"/>
        </w:rPr>
      </w:pPr>
    </w:p>
    <w:p w:rsidR="0051702D" w:rsidRDefault="0051702D" w:rsidP="0051702D">
      <w:pPr>
        <w:jc w:val="both"/>
        <w:rPr>
          <w:sz w:val="22"/>
          <w:szCs w:val="22"/>
        </w:rPr>
      </w:pPr>
    </w:p>
    <w:sectPr w:rsidR="0051702D" w:rsidSect="006F5E8C">
      <w:pgSz w:w="11907" w:h="16839" w:code="9"/>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2D"/>
    <w:rsid w:val="00002B9E"/>
    <w:rsid w:val="000410F8"/>
    <w:rsid w:val="000755D2"/>
    <w:rsid w:val="000916E6"/>
    <w:rsid w:val="000B1EE3"/>
    <w:rsid w:val="000D5399"/>
    <w:rsid w:val="000E7734"/>
    <w:rsid w:val="0012423E"/>
    <w:rsid w:val="001463F9"/>
    <w:rsid w:val="00167F15"/>
    <w:rsid w:val="0018437E"/>
    <w:rsid w:val="001C520F"/>
    <w:rsid w:val="001D2F53"/>
    <w:rsid w:val="0020517E"/>
    <w:rsid w:val="00223107"/>
    <w:rsid w:val="00242E4B"/>
    <w:rsid w:val="00320077"/>
    <w:rsid w:val="003273E0"/>
    <w:rsid w:val="00330E68"/>
    <w:rsid w:val="003620E7"/>
    <w:rsid w:val="003813AD"/>
    <w:rsid w:val="003815A9"/>
    <w:rsid w:val="003B246B"/>
    <w:rsid w:val="003B45AC"/>
    <w:rsid w:val="003C3905"/>
    <w:rsid w:val="003F36DC"/>
    <w:rsid w:val="00434A34"/>
    <w:rsid w:val="004464EC"/>
    <w:rsid w:val="004A262C"/>
    <w:rsid w:val="004C7F81"/>
    <w:rsid w:val="004D13FE"/>
    <w:rsid w:val="0051702D"/>
    <w:rsid w:val="005347B9"/>
    <w:rsid w:val="00535B3A"/>
    <w:rsid w:val="00544E19"/>
    <w:rsid w:val="00570DEC"/>
    <w:rsid w:val="005C67F8"/>
    <w:rsid w:val="006860CA"/>
    <w:rsid w:val="006D1E1B"/>
    <w:rsid w:val="006F5E8C"/>
    <w:rsid w:val="00711731"/>
    <w:rsid w:val="00763F55"/>
    <w:rsid w:val="00793AA2"/>
    <w:rsid w:val="007D5753"/>
    <w:rsid w:val="00831B91"/>
    <w:rsid w:val="008B29A8"/>
    <w:rsid w:val="008E374E"/>
    <w:rsid w:val="00944C3B"/>
    <w:rsid w:val="0096600F"/>
    <w:rsid w:val="00986511"/>
    <w:rsid w:val="009F4045"/>
    <w:rsid w:val="00A34ED9"/>
    <w:rsid w:val="00A41956"/>
    <w:rsid w:val="00A71BB6"/>
    <w:rsid w:val="00A957A1"/>
    <w:rsid w:val="00A96C6E"/>
    <w:rsid w:val="00AC05A3"/>
    <w:rsid w:val="00AC15ED"/>
    <w:rsid w:val="00AD249B"/>
    <w:rsid w:val="00AF4E99"/>
    <w:rsid w:val="00B73E44"/>
    <w:rsid w:val="00C32567"/>
    <w:rsid w:val="00C72A4D"/>
    <w:rsid w:val="00C759F0"/>
    <w:rsid w:val="00CB6849"/>
    <w:rsid w:val="00D216EB"/>
    <w:rsid w:val="00D31627"/>
    <w:rsid w:val="00D36014"/>
    <w:rsid w:val="00D8589B"/>
    <w:rsid w:val="00D9217D"/>
    <w:rsid w:val="00D94534"/>
    <w:rsid w:val="00D97319"/>
    <w:rsid w:val="00DA4C6B"/>
    <w:rsid w:val="00DA7A46"/>
    <w:rsid w:val="00DB7455"/>
    <w:rsid w:val="00DD5E94"/>
    <w:rsid w:val="00E57C54"/>
    <w:rsid w:val="00E61A5F"/>
    <w:rsid w:val="00E76F83"/>
    <w:rsid w:val="00EF3640"/>
    <w:rsid w:val="00F06CA7"/>
    <w:rsid w:val="00F2579C"/>
    <w:rsid w:val="00F56751"/>
    <w:rsid w:val="00F70993"/>
    <w:rsid w:val="00F7352E"/>
    <w:rsid w:val="00FB052B"/>
    <w:rsid w:val="00FC03C7"/>
    <w:rsid w:val="00FC2C2B"/>
    <w:rsid w:val="00FC6260"/>
    <w:rsid w:val="00FF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3BA2"/>
  <w15:docId w15:val="{0602E194-6812-40E8-BE4D-163AC456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02D"/>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51702D"/>
    <w:pPr>
      <w:ind w:left="1296"/>
    </w:pPr>
  </w:style>
  <w:style w:type="paragraph" w:styleId="BodyText2">
    <w:name w:val="Body Text 2"/>
    <w:basedOn w:val="Normal"/>
    <w:link w:val="BodyText2Char"/>
    <w:semiHidden/>
    <w:rsid w:val="00C32567"/>
    <w:pPr>
      <w:jc w:val="both"/>
    </w:pPr>
    <w:rPr>
      <w:bCs/>
      <w:szCs w:val="24"/>
      <w:lang w:val="x-none" w:eastAsia="ar-SA"/>
    </w:rPr>
  </w:style>
  <w:style w:type="character" w:customStyle="1" w:styleId="BodyText2Char">
    <w:name w:val="Body Text 2 Char"/>
    <w:link w:val="BodyText2"/>
    <w:semiHidden/>
    <w:rsid w:val="00C32567"/>
    <w:rPr>
      <w:rFonts w:ascii="Times New Roman" w:eastAsia="Times New Roman" w:hAnsi="Times New Roman"/>
      <w:bCs/>
      <w:sz w:val="24"/>
      <w:szCs w:val="24"/>
      <w:lang w:eastAsia="ar-SA"/>
    </w:rPr>
  </w:style>
  <w:style w:type="paragraph" w:styleId="BalloonText">
    <w:name w:val="Balloon Text"/>
    <w:basedOn w:val="Normal"/>
    <w:link w:val="BalloonTextChar"/>
    <w:uiPriority w:val="99"/>
    <w:semiHidden/>
    <w:unhideWhenUsed/>
    <w:rsid w:val="00535B3A"/>
    <w:rPr>
      <w:rFonts w:ascii="Tahoma" w:hAnsi="Tahoma" w:cs="Tahoma"/>
      <w:sz w:val="16"/>
      <w:szCs w:val="16"/>
    </w:rPr>
  </w:style>
  <w:style w:type="character" w:customStyle="1" w:styleId="BalloonTextChar">
    <w:name w:val="Balloon Text Char"/>
    <w:link w:val="BalloonText"/>
    <w:uiPriority w:val="99"/>
    <w:semiHidden/>
    <w:rsid w:val="00535B3A"/>
    <w:rPr>
      <w:rFonts w:ascii="Tahoma" w:eastAsia="Times New Roman" w:hAnsi="Tahoma" w:cs="Tahoma"/>
      <w:sz w:val="16"/>
      <w:szCs w:val="16"/>
      <w:lang w:eastAsia="en-US"/>
    </w:rPr>
  </w:style>
  <w:style w:type="character" w:styleId="CommentReference">
    <w:name w:val="annotation reference"/>
    <w:uiPriority w:val="99"/>
    <w:semiHidden/>
    <w:unhideWhenUsed/>
    <w:rsid w:val="00535B3A"/>
    <w:rPr>
      <w:sz w:val="16"/>
      <w:szCs w:val="16"/>
    </w:rPr>
  </w:style>
  <w:style w:type="paragraph" w:styleId="CommentText">
    <w:name w:val="annotation text"/>
    <w:basedOn w:val="Normal"/>
    <w:link w:val="CommentTextChar"/>
    <w:uiPriority w:val="99"/>
    <w:semiHidden/>
    <w:unhideWhenUsed/>
    <w:rsid w:val="00535B3A"/>
    <w:rPr>
      <w:sz w:val="20"/>
    </w:rPr>
  </w:style>
  <w:style w:type="character" w:customStyle="1" w:styleId="CommentTextChar">
    <w:name w:val="Comment Text Char"/>
    <w:link w:val="CommentText"/>
    <w:uiPriority w:val="99"/>
    <w:semiHidden/>
    <w:rsid w:val="00535B3A"/>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35B3A"/>
    <w:rPr>
      <w:b/>
      <w:bCs/>
    </w:rPr>
  </w:style>
  <w:style w:type="character" w:customStyle="1" w:styleId="CommentSubjectChar">
    <w:name w:val="Comment Subject Char"/>
    <w:link w:val="CommentSubject"/>
    <w:uiPriority w:val="99"/>
    <w:semiHidden/>
    <w:rsid w:val="00535B3A"/>
    <w:rPr>
      <w:rFonts w:ascii="Times New Roman" w:eastAsia="Times New Roman" w:hAnsi="Times New Roman"/>
      <w:b/>
      <w:bCs/>
      <w:lang w:eastAsia="en-US"/>
    </w:rPr>
  </w:style>
  <w:style w:type="paragraph" w:styleId="BodyText">
    <w:name w:val="Body Text"/>
    <w:basedOn w:val="Normal"/>
    <w:link w:val="BodyTextChar"/>
    <w:uiPriority w:val="99"/>
    <w:unhideWhenUsed/>
    <w:rsid w:val="008E374E"/>
    <w:pPr>
      <w:spacing w:after="120"/>
    </w:pPr>
  </w:style>
  <w:style w:type="character" w:customStyle="1" w:styleId="BodyTextChar">
    <w:name w:val="Body Text Char"/>
    <w:link w:val="BodyText"/>
    <w:uiPriority w:val="99"/>
    <w:rsid w:val="008E374E"/>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2018-05-07T06:48:00Z</dcterms:created>
  <dc:creator>Vytautas</dc:creator>
  <cp:lastModifiedBy>Andzela Grazevic - Kulik</cp:lastModifiedBy>
  <cp:lastPrinted>2018-07-18T05:18:00Z</cp:lastPrinted>
  <dcterms:modified xsi:type="dcterms:W3CDTF">2018-07-18T05:18:00Z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664906</vt:lpwstr>
  </property>
  <property fmtid="{D5CDD505-2E9C-101B-9397-08002B2CF9AE}" pid="4" name="DISCdDocAuthor">
    <vt:lpwstr>g.jasinevicius</vt:lpwstr>
  </property>
  <property fmtid="{D5CDD505-2E9C-101B-9397-08002B2CF9AE}" pid="5" name="VDVISDokPavadinimas">
    <vt:lpwstr>Numatomo teisinio reguliavimo poveikio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https://vdvis.am.lt/cs/idcplg?IdcService=DESKTOP_DOC_INFO&amp;dDocName=AM_662704&amp;dID=664906&amp;ClientControlled=DocMan,taskpane&amp;coreContentOnly=1</vt:lpwstr>
  </property>
  <property fmtid="{D5CDD505-2E9C-101B-9397-08002B2CF9AE}" pid="9" name="DISdUser">
    <vt:lpwstr>a.grazevic</vt:lpwstr>
  </property>
  <property fmtid="{D5CDD505-2E9C-101B-9397-08002B2CF9AE}" pid="10" name="DISdDocName">
    <vt:lpwstr>AM_662704</vt:lpwstr>
  </property>
</Properties>
</file>