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32" w:rsidRPr="00883791" w:rsidRDefault="000B66C8">
      <w:pPr>
        <w:spacing w:after="0" w:line="288" w:lineRule="atLeast"/>
        <w:ind w:left="5184"/>
        <w:jc w:val="center"/>
        <w:textAlignment w:val="center"/>
        <w:rPr>
          <w:rFonts w:eastAsia="Times New Roman" w:cs="Times New Roman"/>
          <w:b/>
          <w:sz w:val="24"/>
          <w:szCs w:val="24"/>
        </w:rPr>
      </w:pPr>
      <w:r w:rsidRPr="00883791">
        <w:rPr>
          <w:rFonts w:eastAsia="Times New Roman" w:cs="Times New Roman"/>
          <w:b/>
          <w:sz w:val="24"/>
          <w:szCs w:val="24"/>
        </w:rPr>
        <w:t xml:space="preserve">               Projekto</w:t>
      </w:r>
    </w:p>
    <w:p w:rsidR="004C1732" w:rsidRPr="00883791" w:rsidRDefault="000B66C8">
      <w:pPr>
        <w:spacing w:after="0" w:line="288" w:lineRule="atLeast"/>
        <w:ind w:firstLine="312"/>
        <w:jc w:val="right"/>
        <w:textAlignment w:val="center"/>
        <w:rPr>
          <w:rFonts w:eastAsia="Times New Roman" w:cs="Times New Roman"/>
          <w:b/>
          <w:sz w:val="24"/>
          <w:szCs w:val="24"/>
        </w:rPr>
      </w:pPr>
      <w:r w:rsidRPr="00883791">
        <w:rPr>
          <w:rFonts w:eastAsia="Times New Roman" w:cs="Times New Roman"/>
          <w:b/>
          <w:sz w:val="24"/>
          <w:szCs w:val="24"/>
        </w:rPr>
        <w:t>lyginamasis variantas</w:t>
      </w:r>
    </w:p>
    <w:p w:rsidR="004C1732" w:rsidRPr="00883791" w:rsidRDefault="004C1732">
      <w:pPr>
        <w:spacing w:after="0" w:line="288" w:lineRule="atLeast"/>
        <w:ind w:firstLine="312"/>
        <w:jc w:val="center"/>
        <w:textAlignment w:val="center"/>
        <w:rPr>
          <w:rFonts w:eastAsia="Times New Roman" w:cs="Times New Roman"/>
          <w:b/>
          <w:sz w:val="24"/>
          <w:szCs w:val="24"/>
        </w:rPr>
      </w:pPr>
    </w:p>
    <w:p w:rsidR="004C1732" w:rsidRPr="00883791" w:rsidRDefault="000B66C8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/>
          <w:bCs/>
          <w:caps/>
          <w:color w:val="000000"/>
          <w:sz w:val="24"/>
          <w:szCs w:val="24"/>
          <w:lang w:eastAsia="lt-LT"/>
        </w:rPr>
        <w:t>LIETUVOS RESPUBLIKOS</w:t>
      </w:r>
    </w:p>
    <w:p w:rsidR="004C1732" w:rsidRPr="00883791" w:rsidRDefault="000B66C8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/>
          <w:bCs/>
          <w:caps/>
          <w:color w:val="000000"/>
          <w:sz w:val="24"/>
          <w:szCs w:val="24"/>
          <w:lang w:eastAsia="lt-LT"/>
        </w:rPr>
        <w:t>PIRKIMŲ, ATLIEKAMŲ VANDENTVARKOS, ENERGETIKOS, TRANSPORTO AR PAŠTO PASLAUGŲ SRITIES PERKANČIŲJŲ SUBJEKTŲ, ĮSTATYMO NR. XIII-328 </w:t>
      </w:r>
      <w:r w:rsidRPr="00883791">
        <w:rPr>
          <w:rFonts w:eastAsia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39, </w:t>
      </w:r>
      <w:r w:rsidRPr="00883791">
        <w:rPr>
          <w:rFonts w:eastAsia="Times New Roman" w:cs="Times New Roman"/>
          <w:b/>
          <w:bCs/>
          <w:caps/>
          <w:color w:val="000000"/>
          <w:sz w:val="24"/>
          <w:szCs w:val="24"/>
          <w:lang w:eastAsia="lt-LT"/>
        </w:rPr>
        <w:t>48, 50, 95 IR 100 straipsnių PAKEITIMO</w:t>
      </w:r>
    </w:p>
    <w:p w:rsidR="004C1732" w:rsidRPr="00883791" w:rsidRDefault="000B66C8">
      <w:pPr>
        <w:spacing w:after="0" w:line="288" w:lineRule="atLeast"/>
        <w:ind w:firstLine="312"/>
        <w:jc w:val="center"/>
        <w:textAlignment w:val="center"/>
        <w:rPr>
          <w:rFonts w:eastAsia="Times New Roman" w:cs="Times New Roman"/>
          <w:b/>
          <w:sz w:val="24"/>
          <w:szCs w:val="24"/>
        </w:rPr>
      </w:pPr>
      <w:r w:rsidRPr="00883791">
        <w:rPr>
          <w:rFonts w:eastAsia="Times New Roman" w:cs="Times New Roman"/>
          <w:b/>
          <w:sz w:val="24"/>
          <w:szCs w:val="24"/>
        </w:rPr>
        <w:t>ĮSTATYMAS</w:t>
      </w:r>
    </w:p>
    <w:p w:rsidR="004C1732" w:rsidRPr="00883791" w:rsidRDefault="000B66C8">
      <w:pPr>
        <w:spacing w:after="0" w:line="288" w:lineRule="atLeast"/>
        <w:ind w:firstLine="312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4C1732" w:rsidRPr="00883791" w:rsidRDefault="000B66C8">
      <w:pPr>
        <w:spacing w:after="0" w:line="288" w:lineRule="atLeast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2020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m.                    d. Nr.</w:t>
      </w:r>
    </w:p>
    <w:p w:rsidR="004C1732" w:rsidRPr="00883791" w:rsidRDefault="000B66C8">
      <w:pPr>
        <w:spacing w:after="0" w:line="288" w:lineRule="atLeast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Vilnius</w:t>
      </w:r>
    </w:p>
    <w:p w:rsidR="004C1732" w:rsidRPr="00883791" w:rsidRDefault="000B66C8">
      <w:pPr>
        <w:spacing w:after="0" w:line="240" w:lineRule="auto"/>
        <w:jc w:val="center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:rsidR="004C1732" w:rsidRPr="00883791" w:rsidRDefault="004C1732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1 straipsnis. 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39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straipsnio pakeitimas</w:t>
      </w: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Cs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 xml:space="preserve">1. Papildyti 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39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 xml:space="preserve"> straipsnį nauj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a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5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dalimi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:</w:t>
      </w: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Cs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„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5.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Perkantysis subjektas</w:t>
      </w:r>
      <w:r w:rsidR="00883791"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,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valdantis ypatingos svarbos informacinę infrastruktūrą, pasirengdamas pirkimui ir siekdamas įvertinti</w:t>
      </w:r>
      <w:r w:rsid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,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ar 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pirkimas susijęs su nacionaliniu saugumu, privalo kreiptis į Lietuvos Respublikos krašto apsaugos ministeriją su prašymu pateikti motyvuot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ą 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rekomendaciją dėl sutarties vykdymo metu galinčių kilti technologinių rizikų</w:t>
      </w:r>
      <w:r w:rsid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,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susijusių su ypatingos svarbos informac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ine infrastruktūra</w:t>
      </w:r>
      <w:r w:rsid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,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ir pirkimo dokumentuose šio įstatymo 37 straipsnio 2 dalyje bei 47 straipsnio 6 dalyje nurodytų reikalavimų</w:t>
      </w:r>
      <w:r w:rsid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,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susijusių su nacionaliniu saugumu nustatymo tikslingumo. Kreipiantis rekomendacijos</w:t>
      </w:r>
      <w:r w:rsid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,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turi būti pateikiami duomenys</w:t>
      </w:r>
      <w:r w:rsid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,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83791">
        <w:rPr>
          <w:b/>
          <w:bCs/>
          <w:sz w:val="24"/>
          <w:szCs w:val="24"/>
        </w:rPr>
        <w:t>apibūdinantys p</w:t>
      </w:r>
      <w:r w:rsidRPr="00883791">
        <w:rPr>
          <w:b/>
          <w:bCs/>
          <w:sz w:val="24"/>
          <w:szCs w:val="24"/>
        </w:rPr>
        <w:t>irkimo objektą, pagrindinės ketinamos sudaryti pirkimo sutarties sąlygos ir motyvai, kodėl pirkimas galėtų būti susijęs su nacionaliniu saugumu.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“</w:t>
      </w:r>
    </w:p>
    <w:p w:rsidR="004C1732" w:rsidRPr="00883791" w:rsidRDefault="004C1732">
      <w:pPr>
        <w:spacing w:after="0" w:line="240" w:lineRule="auto"/>
        <w:jc w:val="both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2 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straipsnis. 48 straipsnio pakeitimas</w:t>
      </w: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Cs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1. Papildyti 48 straipsnio 2 dalį nauju 32 punktu:</w:t>
      </w: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Cs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„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32) informacija, 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kad, jeigu pirkimo metu bus atliekama patikra pagal Nacionaliniam saugumui užtikrinti svarbių objektų apsaugos įstatyme nustatytą tvarką, tiekėjas turės pateikti tokiai patikrai atlikti reikalingus dokumentus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.“</w:t>
      </w:r>
    </w:p>
    <w:p w:rsidR="004C1732" w:rsidRPr="00883791" w:rsidRDefault="000B66C8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883791">
        <w:rPr>
          <w:color w:val="000000"/>
          <w:sz w:val="24"/>
          <w:szCs w:val="24"/>
        </w:rPr>
        <w:t>2. Buvusį 35 straipsnio 2 dalies 32 punktą la</w:t>
      </w:r>
      <w:r w:rsidRPr="00883791">
        <w:rPr>
          <w:color w:val="000000"/>
          <w:sz w:val="24"/>
          <w:szCs w:val="24"/>
        </w:rPr>
        <w:t>ikyti 33 punktu.</w:t>
      </w:r>
    </w:p>
    <w:p w:rsidR="004C1732" w:rsidRPr="00883791" w:rsidRDefault="004C1732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straipsnis. 50</w:t>
      </w: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 xml:space="preserve"> straipsnio pakeitimas</w:t>
      </w: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Pakeisti 50 straipsnio 2 dalį ir ją išdėstyti taip:</w:t>
      </w:r>
    </w:p>
    <w:p w:rsidR="004C1732" w:rsidRPr="00883791" w:rsidRDefault="000B66C8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bookmarkStart w:id="0" w:name="part_31883f37e2604ee4bb33f2ee2c0546e7"/>
      <w:bookmarkStart w:id="1" w:name="part_67e27356355048baab0e20b4142fd7cc"/>
      <w:bookmarkEnd w:id="0"/>
      <w:bookmarkEnd w:id="1"/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 xml:space="preserve">„2. Visų pirkimų, skirtų fiziniams asmenims (visai visuomenei, perkančiojo subjekto darbuotojams), techninės specifikacijos, išskyrus pagrįstus 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atvejus, turėtų būti parengtos taip, kad jose būtų atsižvelgta į neįgaliųjų kriterijus ir tinkamumą visiems naudotojams. Jeigu Europos Sąjungos ar nacionalinės teisės aktu yra nustatyti privalomi neįgaliųjų kriterijai ir tinkamumo visiems naudotojams krite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rijai, perkantysis subjektas privalo jais vadovautis rengdamas technines specifikacijas.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 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Perkantysis subjektas, veikiantis gynybos srityje ar valdantis ypatingos svarbos informacinę infrastruktūrą, ar veikiantis srityse, kurios laikomos nacionaliniam saugu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mui užtikrinti strategiškai svarbių ūkio sektorių dalimi, rengdamas su nacionaliniu saugumu susijusių pirkimų technines specifikacijas, turi teisę reikalauti, kad tiekėjo siūlomos prekės, paslaugos ar darbai nekeltų grėsmės nacionaliniam saugumui.</w:t>
      </w:r>
      <w:r w:rsidRPr="00883791">
        <w:rPr>
          <w:b/>
          <w:sz w:val="24"/>
          <w:szCs w:val="24"/>
        </w:rPr>
        <w:t xml:space="preserve"> Perkanty</w:t>
      </w:r>
      <w:r w:rsidRPr="00883791">
        <w:rPr>
          <w:b/>
          <w:sz w:val="24"/>
          <w:szCs w:val="24"/>
        </w:rPr>
        <w:t>sis subjektas, veikiantis gynybos srityje, turi teisę spręsti, kad tiekėjo siūlomos prekės, paslaugos ar darbai kelia grėsmę nacionaliniam saugumui, įvertinusi kompetentingų institucijų pateiktą informaciją. Perkantysis subjektas, veikiantis srityse, kurio</w:t>
      </w:r>
      <w:r w:rsidRPr="00883791">
        <w:rPr>
          <w:b/>
          <w:sz w:val="24"/>
          <w:szCs w:val="24"/>
        </w:rPr>
        <w:t>s laikomos nacionaliniam saugumui užtikrinti strategiškai svarbių ūkio sektorių dalimi</w:t>
      </w:r>
      <w:r w:rsidR="00883791">
        <w:rPr>
          <w:b/>
          <w:sz w:val="24"/>
          <w:szCs w:val="24"/>
        </w:rPr>
        <w:t>,</w:t>
      </w:r>
      <w:r w:rsidRPr="00883791">
        <w:rPr>
          <w:b/>
          <w:sz w:val="24"/>
          <w:szCs w:val="24"/>
        </w:rPr>
        <w:t xml:space="preserve"> </w:t>
      </w: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>ar valdantis ypatingos svarbos informacinę infrastruktūrą</w:t>
      </w:r>
      <w:r w:rsidRPr="00883791">
        <w:rPr>
          <w:b/>
          <w:sz w:val="24"/>
          <w:szCs w:val="24"/>
        </w:rPr>
        <w:t xml:space="preserve">, turi teisę laikyti, kad tiekėjo siūlomos prekės, paslaugos ar darbai kelia grėsmę nacionaliniam saugumui, kai </w:t>
      </w:r>
      <w:r w:rsidRPr="00883791">
        <w:rPr>
          <w:b/>
          <w:sz w:val="24"/>
          <w:szCs w:val="24"/>
        </w:rPr>
        <w:t>Lietuvos Respublikos Vyriausybė yra priėmusi sprendimą, patvirtinantį, kad ketinamas sudaryti sandoris neatitinka nacionalinio saugumo interesų vadovaujantis Nacionaliniam saugumui užtikrinti svarbių objektų apsaugos įstatymu.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“</w:t>
      </w:r>
    </w:p>
    <w:p w:rsidR="004C1732" w:rsidRPr="00883791" w:rsidRDefault="004C1732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</w:p>
    <w:p w:rsidR="004C1732" w:rsidRPr="00883791" w:rsidRDefault="000B66C8">
      <w:pPr>
        <w:spacing w:after="0" w:line="240" w:lineRule="auto"/>
        <w:ind w:firstLine="720"/>
        <w:jc w:val="both"/>
        <w:rPr>
          <w:rFonts w:eastAsia="Times New Roman" w:cs="Times New Roman"/>
          <w:b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>4</w:t>
      </w: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 xml:space="preserve"> straipsnis. 95 straipsnio</w:t>
      </w: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 xml:space="preserve"> pakeitimas</w:t>
      </w:r>
    </w:p>
    <w:p w:rsidR="004C1732" w:rsidRPr="00883791" w:rsidRDefault="000B66C8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Papildyti 95 straipsnį 3 dalimi:</w:t>
      </w: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lt-LT"/>
        </w:rPr>
      </w:pP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„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3.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Perkantysis subjektas, veikiantis srityse, kurios laikomos nacionaliniam saugumui užtikrinti strategiškai svarbių ūkio sektorių dalimi</w:t>
      </w:r>
      <w:r w:rsid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,</w:t>
      </w:r>
      <w:bookmarkStart w:id="2" w:name="_GoBack"/>
      <w:bookmarkEnd w:id="2"/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>ar valdantis ypatingos svarbos informacinę infrastruktūrą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, gali nustatyt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i special</w:t>
      </w:r>
      <w:r w:rsidRPr="00883791">
        <w:rPr>
          <w:rFonts w:eastAsia="Times New Roman" w:cs="Times New Roman"/>
          <w:b/>
          <w:bCs/>
          <w:sz w:val="24"/>
          <w:szCs w:val="24"/>
          <w:lang w:eastAsia="lt-LT"/>
        </w:rPr>
        <w:t>ų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 pirkimo sutarties nutraukimo atvejį, pagal kurį sutartis būtų nutraukta, kai Lietuvos Respublikos Vyriausybė Nacionaliniam saugumui užtikrinti svarbių objektų apsaugos įstatymo nustatyta tvarka priima sprendimą, patvirtinantį, kad sutartis 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neatitinka nacionalinio saugumo interesų.</w:t>
      </w:r>
      <w:r w:rsidRPr="00883791">
        <w:rPr>
          <w:rFonts w:eastAsia="Times New Roman" w:cs="Times New Roman"/>
          <w:bCs/>
          <w:color w:val="000000"/>
          <w:sz w:val="24"/>
          <w:szCs w:val="24"/>
          <w:lang w:eastAsia="lt-LT"/>
        </w:rPr>
        <w:t>“</w:t>
      </w:r>
    </w:p>
    <w:p w:rsidR="004C1732" w:rsidRPr="00883791" w:rsidRDefault="004C1732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straipsnis. 100</w:t>
      </w: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 xml:space="preserve"> straipsnio pakeitimas</w:t>
      </w: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Pakeisti 100 straipsnio 10 dalį ir ją išdėstyti taip:</w:t>
      </w:r>
    </w:p>
    <w:p w:rsidR="004C1732" w:rsidRPr="00883791" w:rsidRDefault="000B66C8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  <w:bookmarkStart w:id="3" w:name="part_a3a27e3db5434ca9b85344fa7ef8ebc4"/>
      <w:bookmarkStart w:id="4" w:name="part_f34a9553c44845a8aa1bc9d76ba49382"/>
      <w:bookmarkEnd w:id="3"/>
      <w:bookmarkEnd w:id="4"/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„10. Šio įstatymo 50 straipsnio 2 dalyje nurodytą informaciją, reikalingą įvertinti, ar perkančiojo subjekto, veikianč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io gynybos srityje, ketinama sudaryti pirkimo sutartis keltų grėsmę nacionalinio saugumo interesams</w:t>
      </w: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 xml:space="preserve">, 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pagal perkančiojo subjekto kreipimąsi teikia kompetentingos institucijos, vadovaudamosi Lietuvos Respublikos nacionaliniam saugumui užtikrinti svarbių obje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 xml:space="preserve">ktų apsaugos įstatyme nurodytais sandorių </w:t>
      </w:r>
      <w:r w:rsidRPr="00883791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patikros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nacionalinio saugumo interesams kriterijais. </w:t>
      </w:r>
      <w:r w:rsidRPr="00883791">
        <w:rPr>
          <w:rFonts w:eastAsia="Times New Roman" w:cs="Times New Roman"/>
          <w:strike/>
          <w:color w:val="000000"/>
          <w:sz w:val="24"/>
          <w:szCs w:val="24"/>
          <w:lang w:eastAsia="lt-LT"/>
        </w:rPr>
        <w:t>Šio įstatymo 50 straipsnio 2 dalyje nurodytos informacijos vertinimas, ar perkančiojo subjekto, valdančio ypatingos svarbos informacinę infrastruktūrą ar veikia</w:t>
      </w:r>
      <w:r w:rsidRPr="00883791">
        <w:rPr>
          <w:rFonts w:eastAsia="Times New Roman" w:cs="Times New Roman"/>
          <w:strike/>
          <w:color w:val="000000"/>
          <w:sz w:val="24"/>
          <w:szCs w:val="24"/>
          <w:lang w:eastAsia="lt-LT"/>
        </w:rPr>
        <w:t>nčio srityse, kurios laikomos nacionaliniam saugumui užtikrinti strategiškai svarbių ūkio sektorių dalimi, ketinama sudaryti pirkimo sutartis keltų grėsmę nacionalinio saugumo interesams, atliekamas Lietuvos Respublikos nacionaliniam saugumui užtikrinti sv</w:t>
      </w:r>
      <w:r w:rsidRPr="00883791">
        <w:rPr>
          <w:rFonts w:eastAsia="Times New Roman" w:cs="Times New Roman"/>
          <w:strike/>
          <w:color w:val="000000"/>
          <w:sz w:val="24"/>
          <w:szCs w:val="24"/>
          <w:lang w:eastAsia="lt-LT"/>
        </w:rPr>
        <w:t>arbių objektų apsaugos įstatymo nustatyta tvarka</w:t>
      </w: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>.“</w:t>
      </w:r>
    </w:p>
    <w:p w:rsidR="004C1732" w:rsidRPr="00883791" w:rsidRDefault="004C1732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</w:p>
    <w:p w:rsidR="004C1732" w:rsidRPr="00883791" w:rsidRDefault="000B66C8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>6</w:t>
      </w:r>
      <w:r w:rsidRPr="00883791">
        <w:rPr>
          <w:rFonts w:eastAsia="Times New Roman" w:cs="Times New Roman"/>
          <w:b/>
          <w:color w:val="000000"/>
          <w:sz w:val="24"/>
          <w:szCs w:val="24"/>
          <w:lang w:eastAsia="lt-LT"/>
        </w:rPr>
        <w:t xml:space="preserve"> straipsnis. </w:t>
      </w:r>
      <w:r w:rsidRPr="00883791">
        <w:rPr>
          <w:rFonts w:cs="Times New Roman"/>
          <w:b/>
          <w:sz w:val="24"/>
          <w:szCs w:val="24"/>
        </w:rPr>
        <w:t>Įstatymo įsigaliojimas</w:t>
      </w:r>
    </w:p>
    <w:p w:rsidR="004C1732" w:rsidRPr="00883791" w:rsidRDefault="000B66C8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83791">
        <w:rPr>
          <w:rFonts w:cs="Times New Roman"/>
          <w:sz w:val="24"/>
          <w:szCs w:val="24"/>
        </w:rPr>
        <w:t>Šis įstatymas įsigalioja 2020 m. gegužės 1 d.</w:t>
      </w:r>
    </w:p>
    <w:p w:rsidR="004C1732" w:rsidRPr="00883791" w:rsidRDefault="004C1732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</w:p>
    <w:p w:rsidR="004C1732" w:rsidRPr="00883791" w:rsidRDefault="004C1732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lt-LT"/>
        </w:rPr>
      </w:pPr>
    </w:p>
    <w:p w:rsidR="004C1732" w:rsidRPr="00883791" w:rsidRDefault="004C1732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lt-LT"/>
        </w:rPr>
      </w:pPr>
    </w:p>
    <w:p w:rsidR="004C1732" w:rsidRPr="00883791" w:rsidRDefault="000B66C8">
      <w:pPr>
        <w:spacing w:after="0" w:line="240" w:lineRule="auto"/>
        <w:ind w:firstLine="709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i/>
          <w:iCs/>
          <w:color w:val="000000"/>
          <w:sz w:val="24"/>
          <w:szCs w:val="24"/>
          <w:lang w:eastAsia="lt-LT"/>
        </w:rPr>
        <w:t>Skelbiu šį Lietuvos Respublikos Seimo priimtą įstatymą.</w:t>
      </w:r>
    </w:p>
    <w:p w:rsidR="004C1732" w:rsidRPr="00883791" w:rsidRDefault="004C1732">
      <w:pPr>
        <w:spacing w:after="0" w:line="240" w:lineRule="auto"/>
        <w:ind w:firstLine="312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</w:p>
    <w:p w:rsidR="004C1732" w:rsidRPr="00883791" w:rsidRDefault="004C1732">
      <w:pPr>
        <w:spacing w:after="0" w:line="240" w:lineRule="auto"/>
        <w:ind w:firstLine="312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</w:p>
    <w:p w:rsidR="004C1732" w:rsidRPr="00883791" w:rsidRDefault="000B66C8">
      <w:pPr>
        <w:tabs>
          <w:tab w:val="left" w:pos="851"/>
        </w:tabs>
        <w:spacing w:after="0" w:line="240" w:lineRule="auto"/>
        <w:jc w:val="both"/>
        <w:textAlignment w:val="center"/>
        <w:rPr>
          <w:rFonts w:eastAsia="Times New Roman" w:cs="Times New Roman"/>
          <w:color w:val="000000"/>
          <w:sz w:val="24"/>
          <w:szCs w:val="24"/>
          <w:lang w:eastAsia="lt-LT"/>
        </w:rPr>
      </w:pPr>
      <w:r w:rsidRPr="00883791">
        <w:rPr>
          <w:rFonts w:eastAsia="Times New Roman" w:cs="Times New Roman"/>
          <w:color w:val="000000"/>
          <w:sz w:val="24"/>
          <w:szCs w:val="24"/>
          <w:lang w:eastAsia="lt-LT"/>
        </w:rPr>
        <w:t xml:space="preserve">Respublikos Prezidentas                                                                                    </w:t>
      </w:r>
    </w:p>
    <w:p w:rsidR="004C1732" w:rsidRPr="00883791" w:rsidRDefault="004C1732">
      <w:pPr>
        <w:spacing w:line="240" w:lineRule="auto"/>
        <w:rPr>
          <w:sz w:val="24"/>
          <w:szCs w:val="24"/>
        </w:rPr>
      </w:pPr>
    </w:p>
    <w:p w:rsidR="004C1732" w:rsidRPr="00883791" w:rsidRDefault="004C1732">
      <w:pPr>
        <w:spacing w:line="240" w:lineRule="auto"/>
        <w:rPr>
          <w:sz w:val="24"/>
          <w:szCs w:val="24"/>
        </w:rPr>
      </w:pPr>
    </w:p>
    <w:p w:rsidR="004C1732" w:rsidRPr="00883791" w:rsidRDefault="004C1732">
      <w:pPr>
        <w:spacing w:line="240" w:lineRule="auto"/>
        <w:rPr>
          <w:sz w:val="24"/>
          <w:szCs w:val="24"/>
        </w:rPr>
      </w:pPr>
    </w:p>
    <w:sectPr w:rsidR="004C1732" w:rsidRPr="00883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C8" w:rsidRDefault="000B66C8">
      <w:pPr>
        <w:spacing w:after="0" w:line="240" w:lineRule="auto"/>
      </w:pPr>
      <w:r>
        <w:separator/>
      </w:r>
    </w:p>
  </w:endnote>
  <w:endnote w:type="continuationSeparator" w:id="0">
    <w:p w:rsidR="000B66C8" w:rsidRDefault="000B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732" w:rsidRDefault="004C1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732" w:rsidRDefault="004C17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732" w:rsidRDefault="004C1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C8" w:rsidRDefault="000B66C8">
      <w:pPr>
        <w:spacing w:after="0" w:line="240" w:lineRule="auto"/>
      </w:pPr>
      <w:r>
        <w:separator/>
      </w:r>
    </w:p>
  </w:footnote>
  <w:footnote w:type="continuationSeparator" w:id="0">
    <w:p w:rsidR="000B66C8" w:rsidRDefault="000B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732" w:rsidRDefault="004C1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385281"/>
    </w:sdtPr>
    <w:sdtEndPr/>
    <w:sdtContent>
      <w:p w:rsidR="004C1732" w:rsidRDefault="000B66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791">
          <w:rPr>
            <w:noProof/>
          </w:rPr>
          <w:t>2</w:t>
        </w:r>
        <w:r>
          <w:fldChar w:fldCharType="end"/>
        </w:r>
      </w:p>
    </w:sdtContent>
  </w:sdt>
  <w:p w:rsidR="004C1732" w:rsidRDefault="004C1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732" w:rsidRDefault="004C17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17"/>
    <w:rsid w:val="00014E19"/>
    <w:rsid w:val="00015DEF"/>
    <w:rsid w:val="000164A5"/>
    <w:rsid w:val="00020F3E"/>
    <w:rsid w:val="000315E6"/>
    <w:rsid w:val="00036A39"/>
    <w:rsid w:val="00050D9C"/>
    <w:rsid w:val="000512C3"/>
    <w:rsid w:val="00063918"/>
    <w:rsid w:val="000828EA"/>
    <w:rsid w:val="00095F4E"/>
    <w:rsid w:val="000B66C8"/>
    <w:rsid w:val="000E05C8"/>
    <w:rsid w:val="000E14F4"/>
    <w:rsid w:val="000F221E"/>
    <w:rsid w:val="000F437B"/>
    <w:rsid w:val="00114968"/>
    <w:rsid w:val="00152B85"/>
    <w:rsid w:val="00156561"/>
    <w:rsid w:val="00180F4D"/>
    <w:rsid w:val="00186723"/>
    <w:rsid w:val="00196447"/>
    <w:rsid w:val="001B5EAE"/>
    <w:rsid w:val="001B6095"/>
    <w:rsid w:val="001D0825"/>
    <w:rsid w:val="001D1A1E"/>
    <w:rsid w:val="001E5556"/>
    <w:rsid w:val="00203776"/>
    <w:rsid w:val="0023274F"/>
    <w:rsid w:val="0026201C"/>
    <w:rsid w:val="002653F9"/>
    <w:rsid w:val="002737C0"/>
    <w:rsid w:val="002779C7"/>
    <w:rsid w:val="00285CF7"/>
    <w:rsid w:val="002A0433"/>
    <w:rsid w:val="002B24DF"/>
    <w:rsid w:val="002F4A12"/>
    <w:rsid w:val="002F5BD9"/>
    <w:rsid w:val="00303A8F"/>
    <w:rsid w:val="00327856"/>
    <w:rsid w:val="00355A28"/>
    <w:rsid w:val="00360617"/>
    <w:rsid w:val="0037471C"/>
    <w:rsid w:val="00381603"/>
    <w:rsid w:val="003C15BA"/>
    <w:rsid w:val="0042302D"/>
    <w:rsid w:val="004260A0"/>
    <w:rsid w:val="00446D3C"/>
    <w:rsid w:val="004530F3"/>
    <w:rsid w:val="00453D9F"/>
    <w:rsid w:val="00474821"/>
    <w:rsid w:val="004949AE"/>
    <w:rsid w:val="004B3B9A"/>
    <w:rsid w:val="004C1732"/>
    <w:rsid w:val="0050185F"/>
    <w:rsid w:val="00580AAE"/>
    <w:rsid w:val="005D36B2"/>
    <w:rsid w:val="005E1962"/>
    <w:rsid w:val="005E6784"/>
    <w:rsid w:val="005F1388"/>
    <w:rsid w:val="0060616E"/>
    <w:rsid w:val="00620A97"/>
    <w:rsid w:val="00626410"/>
    <w:rsid w:val="00630F9C"/>
    <w:rsid w:val="00650491"/>
    <w:rsid w:val="00654634"/>
    <w:rsid w:val="0066131E"/>
    <w:rsid w:val="0069665D"/>
    <w:rsid w:val="006B0FEA"/>
    <w:rsid w:val="006B1375"/>
    <w:rsid w:val="006C0FD1"/>
    <w:rsid w:val="006E5684"/>
    <w:rsid w:val="006E5CCC"/>
    <w:rsid w:val="0070518A"/>
    <w:rsid w:val="007063F4"/>
    <w:rsid w:val="00712B87"/>
    <w:rsid w:val="0072516C"/>
    <w:rsid w:val="007310AE"/>
    <w:rsid w:val="00740AD0"/>
    <w:rsid w:val="00775697"/>
    <w:rsid w:val="007855A1"/>
    <w:rsid w:val="007A7FE0"/>
    <w:rsid w:val="007B744A"/>
    <w:rsid w:val="007C4177"/>
    <w:rsid w:val="007C63D5"/>
    <w:rsid w:val="007E603E"/>
    <w:rsid w:val="00821C61"/>
    <w:rsid w:val="00842D80"/>
    <w:rsid w:val="00883791"/>
    <w:rsid w:val="00896678"/>
    <w:rsid w:val="008A1708"/>
    <w:rsid w:val="008C3EE7"/>
    <w:rsid w:val="00901FE7"/>
    <w:rsid w:val="009229FA"/>
    <w:rsid w:val="00926FE7"/>
    <w:rsid w:val="0093508D"/>
    <w:rsid w:val="009510BC"/>
    <w:rsid w:val="00963DFF"/>
    <w:rsid w:val="00974C63"/>
    <w:rsid w:val="00997A6D"/>
    <w:rsid w:val="009B5549"/>
    <w:rsid w:val="009B7DA3"/>
    <w:rsid w:val="009D2492"/>
    <w:rsid w:val="009D6406"/>
    <w:rsid w:val="009E23CE"/>
    <w:rsid w:val="00A20642"/>
    <w:rsid w:val="00A274F8"/>
    <w:rsid w:val="00A72281"/>
    <w:rsid w:val="00AA3614"/>
    <w:rsid w:val="00AB626E"/>
    <w:rsid w:val="00AD6FEA"/>
    <w:rsid w:val="00AF39EE"/>
    <w:rsid w:val="00B025B9"/>
    <w:rsid w:val="00B049FF"/>
    <w:rsid w:val="00B6091F"/>
    <w:rsid w:val="00B77D77"/>
    <w:rsid w:val="00C240BC"/>
    <w:rsid w:val="00C631FA"/>
    <w:rsid w:val="00C72C78"/>
    <w:rsid w:val="00C733FF"/>
    <w:rsid w:val="00C76F4C"/>
    <w:rsid w:val="00C85F2D"/>
    <w:rsid w:val="00C87CE7"/>
    <w:rsid w:val="00CA7D9C"/>
    <w:rsid w:val="00D02101"/>
    <w:rsid w:val="00D2328C"/>
    <w:rsid w:val="00D63D39"/>
    <w:rsid w:val="00D82A7B"/>
    <w:rsid w:val="00DA77AF"/>
    <w:rsid w:val="00DB48C5"/>
    <w:rsid w:val="00DC65A8"/>
    <w:rsid w:val="00DD7A93"/>
    <w:rsid w:val="00E03A38"/>
    <w:rsid w:val="00E13BF0"/>
    <w:rsid w:val="00E2577F"/>
    <w:rsid w:val="00E354FC"/>
    <w:rsid w:val="00E3633B"/>
    <w:rsid w:val="00E615DD"/>
    <w:rsid w:val="00E61940"/>
    <w:rsid w:val="00E61B59"/>
    <w:rsid w:val="00E7764E"/>
    <w:rsid w:val="00E86FD7"/>
    <w:rsid w:val="00EB36ED"/>
    <w:rsid w:val="00EC046B"/>
    <w:rsid w:val="00EC53D8"/>
    <w:rsid w:val="00ED18CA"/>
    <w:rsid w:val="00EE2B3B"/>
    <w:rsid w:val="00F0367E"/>
    <w:rsid w:val="00F129B4"/>
    <w:rsid w:val="00F461FF"/>
    <w:rsid w:val="00F466E7"/>
    <w:rsid w:val="00F758A8"/>
    <w:rsid w:val="00F8699B"/>
    <w:rsid w:val="00FA7783"/>
    <w:rsid w:val="00FB2A46"/>
    <w:rsid w:val="00FB554E"/>
    <w:rsid w:val="00FF518E"/>
    <w:rsid w:val="00FF5B59"/>
    <w:rsid w:val="00FF7455"/>
    <w:rsid w:val="08AC5F13"/>
    <w:rsid w:val="0B960B36"/>
    <w:rsid w:val="54885BD9"/>
    <w:rsid w:val="6DF55CFA"/>
    <w:rsid w:val="799974F3"/>
    <w:rsid w:val="7F2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C550"/>
  <w15:docId w15:val="{D810FF6C-D91F-499F-B1F5-9751A3E2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3291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2020-05-25T08:43:00Z</dcterms:created>
  <dc:creator>DANĖ Raimonda</dc:creator>
  <cp:lastModifiedBy>Henrikas Valentukevicius</cp:lastModifiedBy>
  <cp:lastPrinted>2020-05-21T09:33:00Z</cp:lastPrinted>
  <dcterms:modified xsi:type="dcterms:W3CDTF">2020-05-25T08:43:00Z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