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AD5D9" w14:textId="77777777" w:rsidR="00056478" w:rsidRPr="007E1072" w:rsidRDefault="00056478" w:rsidP="00056478"/>
    <w:tbl>
      <w:tblPr>
        <w:tblW w:w="13860" w:type="dxa"/>
        <w:tblInd w:w="180" w:type="dxa"/>
        <w:tblCellMar>
          <w:left w:w="0" w:type="dxa"/>
          <w:right w:w="0" w:type="dxa"/>
        </w:tblCellMar>
        <w:tblLook w:val="04A0" w:firstRow="1" w:lastRow="0" w:firstColumn="1" w:lastColumn="0" w:noHBand="0" w:noVBand="1"/>
      </w:tblPr>
      <w:tblGrid>
        <w:gridCol w:w="13860"/>
      </w:tblGrid>
      <w:tr w:rsidR="00056478" w:rsidRPr="007E1072" w14:paraId="0E721992" w14:textId="77777777" w:rsidTr="00FB2C97">
        <w:trPr>
          <w:trHeight w:val="851"/>
        </w:trPr>
        <w:tc>
          <w:tcPr>
            <w:tcW w:w="13860" w:type="dxa"/>
            <w:shd w:val="clear" w:color="auto" w:fill="auto"/>
          </w:tcPr>
          <w:p w14:paraId="53EAA525" w14:textId="77777777" w:rsidR="00056478" w:rsidRPr="007E1072" w:rsidRDefault="00056478" w:rsidP="00FB2C97">
            <w:pPr>
              <w:jc w:val="center"/>
            </w:pPr>
            <w:r w:rsidRPr="007E1072">
              <w:rPr>
                <w:b/>
                <w:bCs/>
              </w:rPr>
              <w:t>DERINIMO PAŽYMA</w:t>
            </w:r>
          </w:p>
          <w:p w14:paraId="6BCE68EF" w14:textId="77777777" w:rsidR="00A01B79" w:rsidRPr="007E1072" w:rsidRDefault="00056478" w:rsidP="00A01B79">
            <w:pPr>
              <w:spacing w:line="276" w:lineRule="auto"/>
              <w:jc w:val="center"/>
              <w:rPr>
                <w:b/>
                <w:bCs/>
                <w:caps/>
              </w:rPr>
            </w:pPr>
            <w:r w:rsidRPr="007E1072">
              <w:rPr>
                <w:b/>
                <w:bCs/>
                <w:caps/>
              </w:rPr>
              <w:t xml:space="preserve">Dėl </w:t>
            </w:r>
            <w:r w:rsidR="00A01B79" w:rsidRPr="007E1072">
              <w:rPr>
                <w:b/>
                <w:bCs/>
                <w:caps/>
              </w:rPr>
              <w:t>LIETUVOS RESPUBLIKOS GINKLŲ FONDO PRIE LIETUVOS RESPUBLIKOS VIDAUS REIKALŲ MINISTERIJOS ĮSTATYMO NR. I-1485 PRIPAŽINIMO NETEKUSIU GALIOS ĮSTATYMO, LIETUVOS RESPUBLIKOS</w:t>
            </w:r>
          </w:p>
          <w:p w14:paraId="689C99A0" w14:textId="77777777" w:rsidR="00A01B79" w:rsidRPr="007E1072" w:rsidRDefault="00A01B79" w:rsidP="00A01B79">
            <w:pPr>
              <w:spacing w:line="276" w:lineRule="auto"/>
              <w:jc w:val="center"/>
              <w:rPr>
                <w:b/>
                <w:bCs/>
                <w:caps/>
              </w:rPr>
            </w:pPr>
            <w:r w:rsidRPr="007E1072">
              <w:rPr>
                <w:b/>
                <w:bCs/>
                <w:caps/>
              </w:rPr>
              <w:t xml:space="preserve">GINKLŲ IR ŠAUDMENŲ KONTROLĖS ĮSTATYMO NR. IX-705 </w:t>
            </w:r>
            <w:bookmarkStart w:id="0" w:name="__DdeLink__29016_911412652"/>
            <w:r w:rsidRPr="007E1072">
              <w:rPr>
                <w:b/>
                <w:bCs/>
                <w:caps/>
              </w:rPr>
              <w:t xml:space="preserve">2, 8, 23, 24, 25, 41, 42 ir 43 STRAIPSNIŲ </w:t>
            </w:r>
            <w:bookmarkEnd w:id="0"/>
            <w:r w:rsidRPr="007E1072">
              <w:rPr>
                <w:b/>
                <w:bCs/>
                <w:caps/>
              </w:rPr>
              <w:t>PAKEITIMO ĮSTATYMO PAPILDYMO 45</w:t>
            </w:r>
            <w:r w:rsidRPr="007E1072">
              <w:rPr>
                <w:b/>
                <w:bCs/>
                <w:caps/>
                <w:vertAlign w:val="superscript"/>
              </w:rPr>
              <w:t>1</w:t>
            </w:r>
            <w:r w:rsidRPr="007E1072">
              <w:rPr>
                <w:b/>
                <w:bCs/>
                <w:caps/>
              </w:rPr>
              <w:t xml:space="preserve"> STRAIPSNIU ĮSTATYMO, LIETUVOS RESPUBLIKOS SPROGMENŲ APYVARTOS KONTROLĖS ĮSTATYMO NR. IX-1315 1 STRAIPSNIO PAKEITIMO ĮSTATYMO, LIETUVOS RESPUBLIKOS NEPAPRASTOSIOS PADĖTIES ĮSTATYMO NR. IX-938 28 STRAIPSNIO PAKEITIMO ĮSTATYMO, LIETUVOS RESPUBLIKOS VIEŠŲJŲ PIRKIMŲ, ATLIEKAMŲ GYNYBOS IR SAUGUMO SRITYJE ĮSTATYMO NR. XI-1491 17 STRAIPSNIO PAKEITIMO ĮSTATYMO, LIETUVOS RESPUBLIKOS VALSTYBĖS IR TARNYBOS PASLAPČIŲ ĮSTATYMO NR. VIII-1443 7 STRAIPSNIO PAKEITIMO ĮSTATYMO, LIETUVOS RESPUBLIKOS strateginių prekių kontrolės įstatymo NR. I-1022 </w:t>
            </w:r>
          </w:p>
          <w:p w14:paraId="5ABE7241" w14:textId="77777777" w:rsidR="00A01B79" w:rsidRPr="007E1072" w:rsidRDefault="00A01B79" w:rsidP="00A01B79">
            <w:pPr>
              <w:spacing w:line="276" w:lineRule="auto"/>
              <w:jc w:val="center"/>
              <w:rPr>
                <w:b/>
                <w:bCs/>
                <w:caps/>
              </w:rPr>
            </w:pPr>
            <w:r w:rsidRPr="007E1072">
              <w:rPr>
                <w:b/>
                <w:bCs/>
                <w:caps/>
              </w:rPr>
              <w:t>6 IR 7 STRAIPSNIŲ PAKEITIMO ĮSTATYMO IR LIETUVOS RESPUBLIKOS ADMINISTRACINIŲ NUSIŽENGIMŲ KODEKSO 589 STRAIPSNIO PAKEITIMO ĮSTATYMO PROJEKTŲ</w:t>
            </w:r>
          </w:p>
          <w:p w14:paraId="36379C40" w14:textId="77777777" w:rsidR="00056478" w:rsidRPr="007E1072" w:rsidRDefault="00056478" w:rsidP="00FB2C97">
            <w:pPr>
              <w:jc w:val="center"/>
            </w:pPr>
          </w:p>
        </w:tc>
      </w:tr>
    </w:tbl>
    <w:p w14:paraId="4A4BB31B" w14:textId="77777777" w:rsidR="00056478" w:rsidRPr="007E1072" w:rsidRDefault="00056478" w:rsidP="00056478">
      <w:pPr>
        <w:jc w:val="both"/>
      </w:pPr>
      <w:r w:rsidRPr="007E1072">
        <w:rPr>
          <w:sz w:val="16"/>
          <w:szCs w:val="16"/>
        </w:rPr>
        <w:t xml:space="preserve"> </w:t>
      </w:r>
    </w:p>
    <w:tbl>
      <w:tblPr>
        <w:tblW w:w="13870" w:type="dxa"/>
        <w:tblInd w:w="203"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8"/>
        <w:gridCol w:w="1485"/>
        <w:gridCol w:w="6237"/>
        <w:gridCol w:w="6058"/>
        <w:gridCol w:w="82"/>
      </w:tblGrid>
      <w:tr w:rsidR="00056478" w:rsidRPr="007E1072" w14:paraId="5C397EB2" w14:textId="77777777" w:rsidTr="00DF12CA">
        <w:trPr>
          <w:trHeight w:val="432"/>
        </w:trPr>
        <w:tc>
          <w:tcPr>
            <w:tcW w:w="1493" w:type="dxa"/>
            <w:gridSpan w:val="2"/>
            <w:tcBorders>
              <w:top w:val="single" w:sz="4" w:space="0" w:color="000001"/>
              <w:left w:val="single" w:sz="4" w:space="0" w:color="000001"/>
              <w:bottom w:val="single" w:sz="4" w:space="0" w:color="000001"/>
            </w:tcBorders>
            <w:shd w:val="clear" w:color="auto" w:fill="auto"/>
            <w:tcMar>
              <w:left w:w="23" w:type="dxa"/>
            </w:tcMar>
          </w:tcPr>
          <w:p w14:paraId="5522EE12" w14:textId="77777777" w:rsidR="00056478" w:rsidRPr="007E1072" w:rsidRDefault="00056478" w:rsidP="00FB2C97">
            <w:pPr>
              <w:jc w:val="center"/>
              <w:rPr>
                <w:b/>
                <w:sz w:val="20"/>
                <w:szCs w:val="20"/>
              </w:rPr>
            </w:pPr>
            <w:r w:rsidRPr="007E1072">
              <w:rPr>
                <w:b/>
              </w:rPr>
              <w:t>Institucija</w:t>
            </w:r>
          </w:p>
        </w:tc>
        <w:tc>
          <w:tcPr>
            <w:tcW w:w="6237" w:type="dxa"/>
            <w:tcBorders>
              <w:top w:val="single" w:sz="4" w:space="0" w:color="000001"/>
              <w:left w:val="single" w:sz="4" w:space="0" w:color="000001"/>
              <w:bottom w:val="single" w:sz="4" w:space="0" w:color="000001"/>
            </w:tcBorders>
            <w:shd w:val="clear" w:color="auto" w:fill="auto"/>
            <w:tcMar>
              <w:left w:w="23" w:type="dxa"/>
            </w:tcMar>
          </w:tcPr>
          <w:p w14:paraId="38140B85" w14:textId="77777777" w:rsidR="00056478" w:rsidRPr="007E1072" w:rsidRDefault="00056478" w:rsidP="00FB2C97">
            <w:pPr>
              <w:jc w:val="center"/>
              <w:rPr>
                <w:b/>
                <w:sz w:val="20"/>
                <w:szCs w:val="20"/>
              </w:rPr>
            </w:pPr>
            <w:r w:rsidRPr="007E1072">
              <w:rPr>
                <w:b/>
              </w:rPr>
              <w:t>Pastabos ir pasiūlymai</w:t>
            </w:r>
          </w:p>
        </w:tc>
        <w:tc>
          <w:tcPr>
            <w:tcW w:w="6140" w:type="dxa"/>
            <w:gridSpan w:val="2"/>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40AC521" w14:textId="77777777" w:rsidR="00056478" w:rsidRPr="007E1072" w:rsidRDefault="00056478" w:rsidP="00FB2C97">
            <w:pPr>
              <w:jc w:val="center"/>
              <w:rPr>
                <w:sz w:val="20"/>
                <w:szCs w:val="20"/>
              </w:rPr>
            </w:pPr>
            <w:r w:rsidRPr="007E1072">
              <w:rPr>
                <w:b/>
              </w:rPr>
              <w:t>Pastabų ir pasiūlymų įvertinimas</w:t>
            </w:r>
            <w:r w:rsidRPr="007E1072">
              <w:t xml:space="preserve"> </w:t>
            </w:r>
          </w:p>
        </w:tc>
      </w:tr>
      <w:tr w:rsidR="004C558D" w:rsidRPr="007E1072" w14:paraId="474074BD" w14:textId="77777777" w:rsidTr="004C558D">
        <w:tblPrEx>
          <w:tblBorders>
            <w:top w:val="single" w:sz="4" w:space="0" w:color="auto"/>
            <w:left w:val="none" w:sz="0" w:space="0" w:color="auto"/>
            <w:bottom w:val="none" w:sz="0" w:space="0" w:color="auto"/>
            <w:insideH w:val="none" w:sz="0" w:space="0" w:color="auto"/>
          </w:tblBorders>
          <w:tblCellMar>
            <w:left w:w="108" w:type="dxa"/>
          </w:tblCellMar>
          <w:tblLook w:val="0000" w:firstRow="0" w:lastRow="0" w:firstColumn="0" w:lastColumn="0" w:noHBand="0" w:noVBand="0"/>
        </w:tblPrEx>
        <w:trPr>
          <w:gridBefore w:val="1"/>
          <w:gridAfter w:val="1"/>
          <w:wBefore w:w="8" w:type="dxa"/>
          <w:wAfter w:w="82" w:type="dxa"/>
          <w:trHeight w:val="100"/>
        </w:trPr>
        <w:tc>
          <w:tcPr>
            <w:tcW w:w="13780" w:type="dxa"/>
            <w:gridSpan w:val="3"/>
          </w:tcPr>
          <w:p w14:paraId="4596DA45" w14:textId="77777777" w:rsidR="004C558D" w:rsidRPr="007E1072" w:rsidRDefault="004C558D" w:rsidP="00A01B79">
            <w:pPr>
              <w:jc w:val="both"/>
            </w:pPr>
          </w:p>
        </w:tc>
      </w:tr>
      <w:tr w:rsidR="00056478" w:rsidRPr="007E1072" w14:paraId="69D59488" w14:textId="77777777" w:rsidTr="00DF12CA">
        <w:trPr>
          <w:trHeight w:val="1550"/>
        </w:trPr>
        <w:tc>
          <w:tcPr>
            <w:tcW w:w="1493" w:type="dxa"/>
            <w:gridSpan w:val="2"/>
            <w:tcBorders>
              <w:top w:val="single" w:sz="4" w:space="0" w:color="000001"/>
              <w:left w:val="single" w:sz="4" w:space="0" w:color="000001"/>
              <w:bottom w:val="single" w:sz="4" w:space="0" w:color="000001"/>
            </w:tcBorders>
            <w:shd w:val="clear" w:color="auto" w:fill="auto"/>
            <w:tcMar>
              <w:left w:w="23" w:type="dxa"/>
            </w:tcMar>
          </w:tcPr>
          <w:p w14:paraId="24BE484F" w14:textId="77777777" w:rsidR="00056478" w:rsidRPr="007E1072" w:rsidRDefault="00056478" w:rsidP="00A01B79">
            <w:pPr>
              <w:jc w:val="both"/>
            </w:pPr>
            <w:r w:rsidRPr="007E1072">
              <w:t>Teisingumo ministerijos 2018-0</w:t>
            </w:r>
            <w:r w:rsidR="00A01B79" w:rsidRPr="007E1072">
              <w:t>4</w:t>
            </w:r>
            <w:r w:rsidRPr="007E1072">
              <w:t>-</w:t>
            </w:r>
            <w:r w:rsidR="00A01B79" w:rsidRPr="007E1072">
              <w:t>24</w:t>
            </w:r>
            <w:r w:rsidRPr="007E1072">
              <w:t xml:space="preserve"> raštas Nr.</w:t>
            </w:r>
            <w:r w:rsidR="004B5E75" w:rsidRPr="007E1072">
              <w:t xml:space="preserve"> 2T</w:t>
            </w:r>
            <w:r w:rsidR="00DD06B0" w:rsidRPr="007E1072">
              <w:t>-</w:t>
            </w:r>
            <w:r w:rsidR="004B5E75" w:rsidRPr="007E1072">
              <w:t>264</w:t>
            </w:r>
            <w:r w:rsidRPr="007E1072">
              <w:t xml:space="preserve">  </w:t>
            </w:r>
          </w:p>
        </w:tc>
        <w:tc>
          <w:tcPr>
            <w:tcW w:w="6237" w:type="dxa"/>
            <w:tcBorders>
              <w:top w:val="single" w:sz="4" w:space="0" w:color="000001"/>
              <w:left w:val="single" w:sz="4" w:space="0" w:color="000001"/>
            </w:tcBorders>
            <w:shd w:val="clear" w:color="auto" w:fill="auto"/>
            <w:tcMar>
              <w:left w:w="23" w:type="dxa"/>
            </w:tcMar>
          </w:tcPr>
          <w:p w14:paraId="32E8C9C7" w14:textId="77777777" w:rsidR="00A01B79" w:rsidRPr="007E1072" w:rsidRDefault="00A01B79" w:rsidP="00A01B79">
            <w:pPr>
              <w:jc w:val="both"/>
            </w:pPr>
            <w:r w:rsidRPr="007E1072">
              <w:t xml:space="preserve">2.1. GŠKĮ projekto 4 straipsnyje dėstant Ginklų ir šaudmenų kontrolės įstatymo 24 straipsnio 1 dalies pakeitimą siūlytina patikslinti nuostatą, minint visų kategorijų ginklus. Taip pat svarstytina, ar visų kategorijų ginklai neturėtų būti minimi ir GŠKĮ projekto 5 straipsnyje dėstomoje Ginklų ir šaudmenų kontrolės įstatymo 25 straipsnio 1 dalyje. </w:t>
            </w:r>
          </w:p>
          <w:p w14:paraId="2791B149" w14:textId="77777777" w:rsidR="00056478" w:rsidRPr="007E1072" w:rsidRDefault="00056478" w:rsidP="00A01B79"/>
          <w:p w14:paraId="1B4AF6C4" w14:textId="77777777" w:rsidR="00B02685" w:rsidRPr="007E1072" w:rsidRDefault="00B02685" w:rsidP="00A01B79"/>
          <w:p w14:paraId="25E98E5A" w14:textId="77777777" w:rsidR="00B02685" w:rsidRPr="007E1072" w:rsidRDefault="00B02685" w:rsidP="00A01B79"/>
          <w:p w14:paraId="0C06E1AC" w14:textId="77777777" w:rsidR="00B02685" w:rsidRPr="007E1072" w:rsidRDefault="00B02685" w:rsidP="00A01B79"/>
          <w:p w14:paraId="6D3F0233" w14:textId="77777777" w:rsidR="00DF12CA" w:rsidRPr="007E1072" w:rsidRDefault="00DF12CA" w:rsidP="00A01B79"/>
          <w:p w14:paraId="7F0C4831" w14:textId="77777777" w:rsidR="00B02685" w:rsidRPr="007E1072" w:rsidRDefault="00B02685" w:rsidP="00A01B79"/>
          <w:p w14:paraId="7DCC74DF" w14:textId="77777777" w:rsidR="00B02685" w:rsidRPr="007E1072" w:rsidRDefault="00B02685" w:rsidP="00A01B79"/>
          <w:p w14:paraId="0D032AE0" w14:textId="7E00FABD" w:rsidR="009D6261" w:rsidRPr="007E1072" w:rsidRDefault="00B02685" w:rsidP="00B02685">
            <w:pPr>
              <w:jc w:val="both"/>
            </w:pPr>
            <w:r w:rsidRPr="007E1072">
              <w:t xml:space="preserve">2.2. Pagal galiojantį Ginklų fondo įstatymo 6 straipsnio 2 dalies 2 punktą Ginklų fondui suteikta išimtinė teisė Lietuvos </w:t>
            </w:r>
            <w:r w:rsidRPr="007E1072">
              <w:lastRenderedPageBreak/>
              <w:t>Respublikos teritorijoje prekiauti B, C kategorijų trumpaisiais šaunamaisiais ginklais, šaudmenimis, skirtais tik trumpiesiems šaunamiesiems ginklams, jų dalimis. Svarstytina, ar GŠKĮ projekto 4 straipsnyje (kuriuo keičiama 24 straipsnio 1 dalis) nurodoma licencija (kuri jau turima subjektų projekto įsigaliojimo dieną) prekiauti civilinėje apyvartoje ginklais, šaudmenimis, jų dalimis ir ginklų priedėliais apimtų ir funkciją, kurią šiuo metu išimtinai vykdo Ginklų fondas.</w:t>
            </w:r>
          </w:p>
          <w:p w14:paraId="22C3A98F" w14:textId="77777777" w:rsidR="00BC1F9F" w:rsidRPr="007E1072" w:rsidRDefault="00BC1F9F" w:rsidP="009D6261">
            <w:pPr>
              <w:jc w:val="both"/>
            </w:pPr>
          </w:p>
          <w:p w14:paraId="4AEABC01" w14:textId="77777777" w:rsidR="00DF12CA" w:rsidRPr="007E1072" w:rsidRDefault="00DF12CA" w:rsidP="009D6261">
            <w:pPr>
              <w:jc w:val="both"/>
            </w:pPr>
          </w:p>
          <w:p w14:paraId="4043346D" w14:textId="77777777" w:rsidR="00DF12CA" w:rsidRPr="007E1072" w:rsidRDefault="00DF12CA" w:rsidP="009D6261">
            <w:pPr>
              <w:jc w:val="both"/>
            </w:pPr>
          </w:p>
          <w:p w14:paraId="326DE6FD" w14:textId="1D4C6B9A" w:rsidR="009D6261" w:rsidRPr="007E1072" w:rsidRDefault="003D3D46" w:rsidP="004C558D">
            <w:pPr>
              <w:jc w:val="both"/>
            </w:pPr>
            <w:r w:rsidRPr="007E1072">
              <w:t>3.2. VTPĮ projekte keičiant 7 straipsnio 2 dalies 15 punktą institucijų išvardijimas derintinas su GŠKĮ projekto 9 straipsnyje dėstoma 45</w:t>
            </w:r>
            <w:r w:rsidRPr="007E1072">
              <w:rPr>
                <w:vertAlign w:val="superscript"/>
              </w:rPr>
              <w:t>1</w:t>
            </w:r>
            <w:r w:rsidRPr="007E1072">
              <w:t xml:space="preserve"> straipsnio 1 dalimi. </w:t>
            </w:r>
          </w:p>
        </w:tc>
        <w:tc>
          <w:tcPr>
            <w:tcW w:w="6140" w:type="dxa"/>
            <w:gridSpan w:val="2"/>
            <w:tcBorders>
              <w:top w:val="single" w:sz="4" w:space="0" w:color="000001"/>
              <w:left w:val="single" w:sz="4" w:space="0" w:color="000001"/>
              <w:right w:val="single" w:sz="4" w:space="0" w:color="000001"/>
            </w:tcBorders>
            <w:shd w:val="clear" w:color="auto" w:fill="auto"/>
            <w:tcMar>
              <w:left w:w="23" w:type="dxa"/>
            </w:tcMar>
          </w:tcPr>
          <w:p w14:paraId="56799467" w14:textId="2B7E285A" w:rsidR="00056478" w:rsidRPr="007E1072" w:rsidRDefault="00056478" w:rsidP="00BB210F">
            <w:pPr>
              <w:jc w:val="both"/>
              <w:rPr>
                <w:bCs/>
              </w:rPr>
            </w:pPr>
            <w:r w:rsidRPr="007E1072">
              <w:rPr>
                <w:b/>
              </w:rPr>
              <w:lastRenderedPageBreak/>
              <w:t>Neatsižvelgta</w:t>
            </w:r>
            <w:r w:rsidRPr="007E1072">
              <w:t>.</w:t>
            </w:r>
            <w:r w:rsidR="001A39B6" w:rsidRPr="007E1072">
              <w:t xml:space="preserve"> </w:t>
            </w:r>
            <w:r w:rsidR="00B5265C" w:rsidRPr="007E1072">
              <w:t xml:space="preserve">Siūlomu teisiniu reguliavimu siekiama nustatyti, kad Lietuvos Respublikoje </w:t>
            </w:r>
            <w:r w:rsidR="00BB210F" w:rsidRPr="007E1072">
              <w:t xml:space="preserve">tik </w:t>
            </w:r>
            <w:r w:rsidR="00B5265C" w:rsidRPr="007E1072">
              <w:t xml:space="preserve">B, C, D kategorijų ginklais, jų šaudmenimis, jų dalimis, </w:t>
            </w:r>
            <w:r w:rsidR="00B5265C" w:rsidRPr="007E1072">
              <w:rPr>
                <w:bCs/>
              </w:rPr>
              <w:t>ginklų priedėliais</w:t>
            </w:r>
            <w:r w:rsidR="00B5265C" w:rsidRPr="007E1072">
              <w:t xml:space="preserve"> turi teisę prekiauti Europos fiziniai asmenys ir Europos juridiniai asmenys, turintys licenciją prekiauti civilinėje apyvartoje ginklais, šaudmenimis, jų dalimis </w:t>
            </w:r>
            <w:r w:rsidR="00B5265C" w:rsidRPr="007E1072">
              <w:rPr>
                <w:bCs/>
              </w:rPr>
              <w:t xml:space="preserve">ir ginklų priedėliais. Ginklų, šaudmenų, jų dalių, ginklų priedėlių gamintojai, importuotojai, eksportuotojai, prekiautojai ar pirkėjai turi teisę sudaryti sutartis </w:t>
            </w:r>
            <w:r w:rsidR="00BB210F" w:rsidRPr="007E1072">
              <w:rPr>
                <w:bCs/>
              </w:rPr>
              <w:t xml:space="preserve">tik </w:t>
            </w:r>
            <w:r w:rsidR="00B5265C" w:rsidRPr="007E1072">
              <w:rPr>
                <w:bCs/>
              </w:rPr>
              <w:t>dėl B, C, D kategorijų ginklų, šaudmenų, jų dalių, ginklų priedėlių</w:t>
            </w:r>
            <w:r w:rsidR="00B5265C" w:rsidRPr="007E1072">
              <w:rPr>
                <w:lang w:eastAsia="en-US"/>
              </w:rPr>
              <w:t xml:space="preserve"> </w:t>
            </w:r>
            <w:r w:rsidR="00B5265C" w:rsidRPr="007E1072">
              <w:rPr>
                <w:bCs/>
              </w:rPr>
              <w:t>įsigijimo, importo, eksporto per tarpininkus. Lietuvos Respublikoje A kategorijos ginklai civilinėje apyvartoje draudžiami</w:t>
            </w:r>
            <w:r w:rsidR="00BB210F" w:rsidRPr="007E1072">
              <w:rPr>
                <w:bCs/>
              </w:rPr>
              <w:t xml:space="preserve"> ir jų prekyba nevykdoma</w:t>
            </w:r>
            <w:r w:rsidR="00B5265C" w:rsidRPr="007E1072">
              <w:rPr>
                <w:bCs/>
              </w:rPr>
              <w:t>.</w:t>
            </w:r>
            <w:bookmarkStart w:id="1" w:name="part_fef29c0974be40709a093870213a14d2"/>
            <w:bookmarkEnd w:id="1"/>
          </w:p>
          <w:p w14:paraId="26E4DD0C" w14:textId="77777777" w:rsidR="00BB210F" w:rsidRPr="007E1072" w:rsidRDefault="00BB210F" w:rsidP="00BB210F">
            <w:pPr>
              <w:jc w:val="both"/>
            </w:pPr>
          </w:p>
          <w:p w14:paraId="113F0731" w14:textId="4990BBD0" w:rsidR="00B02685" w:rsidRPr="007E1072" w:rsidRDefault="00B02685" w:rsidP="009C1F2B">
            <w:pPr>
              <w:jc w:val="both"/>
              <w:rPr>
                <w:bCs/>
              </w:rPr>
            </w:pPr>
            <w:r w:rsidRPr="007E1072">
              <w:rPr>
                <w:b/>
              </w:rPr>
              <w:t xml:space="preserve">Atsižvelgta iš dalies. </w:t>
            </w:r>
            <w:r w:rsidR="00EE6D88" w:rsidRPr="007E1072">
              <w:t>Iki keičiamų įstatymų įsigaliojimo</w:t>
            </w:r>
            <w:r w:rsidR="00EE6D88" w:rsidRPr="007E1072">
              <w:rPr>
                <w:b/>
              </w:rPr>
              <w:t xml:space="preserve"> </w:t>
            </w:r>
            <w:r w:rsidRPr="007E1072">
              <w:t xml:space="preserve">bus keičiamas </w:t>
            </w:r>
            <w:r w:rsidRPr="007E1072">
              <w:rPr>
                <w:bCs/>
              </w:rPr>
              <w:t xml:space="preserve">Lietuvos Respublikos Vyriausybės 2011 m. rugsėjo </w:t>
            </w:r>
            <w:r w:rsidRPr="007E1072">
              <w:rPr>
                <w:bCs/>
              </w:rPr>
              <w:lastRenderedPageBreak/>
              <w:t>21 d. nutarim</w:t>
            </w:r>
            <w:r w:rsidR="00EE6D88" w:rsidRPr="007E1072">
              <w:rPr>
                <w:bCs/>
              </w:rPr>
              <w:t>as</w:t>
            </w:r>
            <w:r w:rsidRPr="007E1072">
              <w:rPr>
                <w:bCs/>
              </w:rPr>
              <w:t xml:space="preserve"> Nr. 1111 „Dėl Ūkinės komercinės veiklos, susijusios su ginklais ir šaudmenimis, licencijavimo taisyklių patvirtinimo“, kuriame ir bus atitinkamai patikslintas licencijos prekiauti civilinėje apyvartoje ginklais, šaudmenimis, jų dalimis ir ginklų priedėliais</w:t>
            </w:r>
            <w:r w:rsidR="00BB210F" w:rsidRPr="007E1072">
              <w:rPr>
                <w:bCs/>
              </w:rPr>
              <w:t xml:space="preserve"> turinys,</w:t>
            </w:r>
            <w:r w:rsidR="009C1F2B" w:rsidRPr="007E1072">
              <w:t xml:space="preserve"> </w:t>
            </w:r>
            <w:r w:rsidR="00BB210F" w:rsidRPr="007E1072">
              <w:rPr>
                <w:bCs/>
              </w:rPr>
              <w:t>nustatant</w:t>
            </w:r>
            <w:r w:rsidR="009C1F2B" w:rsidRPr="007E1072">
              <w:rPr>
                <w:bCs/>
              </w:rPr>
              <w:t>, kad juridiniai asmenys, turintys iki šio nutarimo įsigaliojimo išduotas licencijas verstis prekyba civilinėje apyvartoje ginklais, ginklų priedėliais, šaudmenimis, jų dalimis</w:t>
            </w:r>
            <w:r w:rsidR="007E1072">
              <w:rPr>
                <w:bCs/>
              </w:rPr>
              <w:t>.</w:t>
            </w:r>
            <w:r w:rsidR="009C1F2B" w:rsidRPr="007E1072">
              <w:rPr>
                <w:bCs/>
              </w:rPr>
              <w:t xml:space="preserve"> turi teisę nurodytų taisyklių nustatyta tvarka </w:t>
            </w:r>
            <w:r w:rsidR="009C1F2B" w:rsidRPr="007E1072">
              <w:rPr>
                <w:bCs/>
                <w:u w:val="single"/>
              </w:rPr>
              <w:t>prekiauti B ir C kategorijų trumpaisiais šaunamaisiais ginklais</w:t>
            </w:r>
            <w:r w:rsidR="00AF5869" w:rsidRPr="007E1072">
              <w:rPr>
                <w:bCs/>
                <w:u w:val="single"/>
              </w:rPr>
              <w:t>.</w:t>
            </w:r>
          </w:p>
          <w:p w14:paraId="61A8B70D" w14:textId="77777777" w:rsidR="003D3D46" w:rsidRPr="007E1072" w:rsidRDefault="003D3D46" w:rsidP="009D6261">
            <w:pPr>
              <w:jc w:val="both"/>
            </w:pPr>
          </w:p>
          <w:p w14:paraId="09267D95" w14:textId="25C616DE" w:rsidR="004C558D" w:rsidRPr="007E1072" w:rsidRDefault="003D3D46">
            <w:pPr>
              <w:jc w:val="both"/>
            </w:pPr>
            <w:r w:rsidRPr="007E1072">
              <w:rPr>
                <w:b/>
              </w:rPr>
              <w:t xml:space="preserve">Neatsižvelgta. </w:t>
            </w:r>
            <w:r w:rsidRPr="007E1072">
              <w:t xml:space="preserve">VTPĮ </w:t>
            </w:r>
            <w:r w:rsidR="007F1B3C" w:rsidRPr="007E1072">
              <w:t xml:space="preserve">projekte keičiamo </w:t>
            </w:r>
            <w:r w:rsidRPr="007E1072">
              <w:t>7 straipsnio 2 dalies 15 punkte</w:t>
            </w:r>
            <w:r w:rsidR="007F1B3C" w:rsidRPr="007E1072">
              <w:t xml:space="preserve"> yra nustatomi</w:t>
            </w:r>
            <w:r w:rsidRPr="007E1072">
              <w:t xml:space="preserve"> </w:t>
            </w:r>
            <w:r w:rsidR="007F1B3C" w:rsidRPr="007E1072">
              <w:t>duomenys apie institucijas, kurie sudaro tarnybos paslaptį, o GŠKĮ projekto 9 straipsnyje dėstomoje 45</w:t>
            </w:r>
            <w:r w:rsidR="007F1B3C" w:rsidRPr="007E1072">
              <w:rPr>
                <w:vertAlign w:val="superscript"/>
              </w:rPr>
              <w:t>1</w:t>
            </w:r>
            <w:r w:rsidR="007F1B3C" w:rsidRPr="007E1072">
              <w:t xml:space="preserve"> straipsnio 1 dalyje išvardinti </w:t>
            </w:r>
            <w:r w:rsidR="00673C78" w:rsidRPr="007E1072">
              <w:t xml:space="preserve">nekonkretizuoti </w:t>
            </w:r>
            <w:r w:rsidR="007F1B3C" w:rsidRPr="007E1072">
              <w:t>subjektai</w:t>
            </w:r>
            <w:r w:rsidR="00673C78" w:rsidRPr="007E1072">
              <w:t xml:space="preserve"> (</w:t>
            </w:r>
            <w:r w:rsidR="00673C78" w:rsidRPr="007E1072">
              <w:rPr>
                <w:bCs/>
              </w:rPr>
              <w:t>valstybės institucijos ir įstaigos</w:t>
            </w:r>
            <w:r w:rsidR="00673C78" w:rsidRPr="007E1072">
              <w:rPr>
                <w:b/>
                <w:bCs/>
              </w:rPr>
              <w:t>)</w:t>
            </w:r>
            <w:r w:rsidR="007F1B3C" w:rsidRPr="007E1072">
              <w:t xml:space="preserve">, kuriuos turės teisę aprūpinti ginklais ir šaudmenimis Vyriausybės įgaliota institucija. </w:t>
            </w:r>
            <w:r w:rsidR="00623B9C" w:rsidRPr="007E1072">
              <w:t xml:space="preserve">VTP įstatyme išvardijamos tik tam tikros institucijos, kurių aprūpinimas ginklais ir šaudmenimis yra įslaptintas, nors GF ginklais aprūpina </w:t>
            </w:r>
            <w:r w:rsidR="007E1072">
              <w:t>gerokai daugiau i</w:t>
            </w:r>
            <w:r w:rsidR="00623B9C" w:rsidRPr="007E1072">
              <w:t>nstitucijų. Todėl m</w:t>
            </w:r>
            <w:r w:rsidR="007F1B3C" w:rsidRPr="007E1072">
              <w:t>inimuose projektuose išvardintos institucijos nebūtinai turi sutapti</w:t>
            </w:r>
            <w:r w:rsidR="00623B9C" w:rsidRPr="007E1072">
              <w:t xml:space="preserve">. </w:t>
            </w:r>
          </w:p>
        </w:tc>
      </w:tr>
      <w:tr w:rsidR="00056478" w:rsidRPr="007E1072" w14:paraId="20E5505E" w14:textId="77777777" w:rsidTr="00DF12CA">
        <w:trPr>
          <w:trHeight w:val="432"/>
        </w:trPr>
        <w:tc>
          <w:tcPr>
            <w:tcW w:w="1493" w:type="dxa"/>
            <w:gridSpan w:val="2"/>
            <w:tcBorders>
              <w:top w:val="single" w:sz="4" w:space="0" w:color="000001"/>
              <w:left w:val="single" w:sz="4" w:space="0" w:color="000001"/>
              <w:bottom w:val="single" w:sz="4" w:space="0" w:color="000001"/>
            </w:tcBorders>
            <w:shd w:val="clear" w:color="auto" w:fill="auto"/>
            <w:tcMar>
              <w:left w:w="23" w:type="dxa"/>
            </w:tcMar>
          </w:tcPr>
          <w:p w14:paraId="41B00CE2" w14:textId="77777777" w:rsidR="00056478" w:rsidRPr="007E1072" w:rsidRDefault="00B77DEB" w:rsidP="002917C6">
            <w:pPr>
              <w:jc w:val="both"/>
              <w:rPr>
                <w:sz w:val="20"/>
                <w:szCs w:val="20"/>
              </w:rPr>
            </w:pPr>
            <w:r w:rsidRPr="007E1072">
              <w:lastRenderedPageBreak/>
              <w:t>Valstybės saugumo departamento 2018-0</w:t>
            </w:r>
            <w:r w:rsidR="002917C6" w:rsidRPr="007E1072">
              <w:t>4</w:t>
            </w:r>
            <w:r w:rsidRPr="007E1072">
              <w:t>-</w:t>
            </w:r>
            <w:r w:rsidR="002917C6" w:rsidRPr="007E1072">
              <w:t>11</w:t>
            </w:r>
            <w:r w:rsidR="00056478" w:rsidRPr="007E1072">
              <w:t xml:space="preserve"> raštas Nr. </w:t>
            </w:r>
            <w:r w:rsidR="002917C6" w:rsidRPr="007E1072">
              <w:t>18-2649</w:t>
            </w:r>
          </w:p>
        </w:tc>
        <w:tc>
          <w:tcPr>
            <w:tcW w:w="6237" w:type="dxa"/>
            <w:tcBorders>
              <w:top w:val="single" w:sz="4" w:space="0" w:color="000001"/>
              <w:left w:val="single" w:sz="4" w:space="0" w:color="000001"/>
              <w:bottom w:val="single" w:sz="4" w:space="0" w:color="000001"/>
            </w:tcBorders>
            <w:shd w:val="clear" w:color="auto" w:fill="auto"/>
            <w:tcMar>
              <w:left w:w="23" w:type="dxa"/>
            </w:tcMar>
          </w:tcPr>
          <w:p w14:paraId="19EB0E06" w14:textId="436538D6" w:rsidR="002917C6" w:rsidRPr="007E1072" w:rsidRDefault="002917C6" w:rsidP="002917C6">
            <w:pPr>
              <w:jc w:val="both"/>
            </w:pPr>
            <w:r w:rsidRPr="007E1072">
              <w:t>1. Teikiamu Įstatymo projektu siekiama reorganizuoti Lietuvos Respublikos ginklų fondą prie Lietuvos Respublikos vidaus reikalų ministerijos (toliau – Ginklų fondas), atsisakant Ginklų fondo vykdomos išimtinės ūkinės komercinės veiklos ir ją perduodant privatiems asmenims, o kitas įstaigos vykdomas funkcijas perleidžiant kitoms valstybės institucijoms. Atkreiptinas dėmesys, kad iš pateikiamo Įstatymo projekto turinio sunku suprasti siūlomo reglamentavimo tikslą, t.</w:t>
            </w:r>
            <w:r w:rsidR="007E1072">
              <w:t> </w:t>
            </w:r>
            <w:r w:rsidRPr="007E1072">
              <w:t xml:space="preserve">y. Ginklų fondą norima likviduoti ar reorganizuoti. Pažymėtina, kad sistemiškai vertinant tik Įstatymo projekto nuostatas, kuriomis Ginklų fondo įstatymą siūloma pripažinti netekusiu galios gali susidaryti įspūdis, kad Ginklų fondas bus likviduojamas. Tačiau Įstatymo projekto aiškinamajame rašte </w:t>
            </w:r>
            <w:r w:rsidRPr="007E1072">
              <w:lastRenderedPageBreak/>
              <w:t xml:space="preserve">projekto rengėjai teigia, kad priėmus Įstatymo projektą ir jį lydinčių įstatymų projektų paketą, Ginklų fondo funkcijos bus perduotos Policijos departamentui prie VRM ir kitoms VRM pavaldžioms įstaigoms, taigi yra siūloma juridinį asmenį reorganizuoti skaidymo būdu išdalinant reorganizuojamo juridinio asmens teises ir pareigas kitiems veikiantiems juridiniams asmenims, kaip tai reglamentuoja Lietuvos Respublikos civilinio kodekso 2.97 straipsnio 6 dalis. </w:t>
            </w:r>
          </w:p>
          <w:p w14:paraId="6985C070" w14:textId="77777777" w:rsidR="002917C6" w:rsidRPr="007E1072" w:rsidRDefault="002917C6" w:rsidP="002917C6">
            <w:pPr>
              <w:jc w:val="both"/>
            </w:pPr>
            <w:r w:rsidRPr="007E1072">
              <w:t>Atsižvelgdami į tai bei siekdami teisinio aiškumo, siūlome Įstatymo projekte aptarti visus reorganizavimo procedūrose dalyvaujančius (dalyvausiančius) juridinius asmenis, aiškiai įvardinti reorganizavimo būdą, reglamentuoti veiklą baigiančio juridinio asmens statusą ir kitą būtiną informaciją. Manytume, kad įstatymų leidėjas, kaip Ginklų fondo steigėjas, turėtų dalyvauti ir priimti sprendimus dėl šios įstaigos funkcijų tolesnio išdalijimo ar panaikinimo, o ne tik apsiriboti Ginklų fondo įstatymo pripažinimu netekusiu galios.</w:t>
            </w:r>
          </w:p>
          <w:p w14:paraId="4B3474BC" w14:textId="77777777" w:rsidR="00F92E6A" w:rsidRPr="007E1072" w:rsidRDefault="00F92E6A" w:rsidP="002917C6">
            <w:pPr>
              <w:jc w:val="both"/>
            </w:pPr>
          </w:p>
          <w:p w14:paraId="65E1C182" w14:textId="19737E3B" w:rsidR="00056478" w:rsidRPr="007E1072" w:rsidRDefault="00F92E6A" w:rsidP="004C558D">
            <w:pPr>
              <w:jc w:val="both"/>
            </w:pPr>
            <w:r w:rsidRPr="007E1072">
              <w:t>2. Siūlome tikslinti Lietuvos Respublikos ginklų ir šaudmenų kontrolės įstatymo Nr. IX-705 2, 8, 23, 24, 25, 41, 42, 43, straipsnių pakeitimo ir įstatymo papildymo 45</w:t>
            </w:r>
            <w:r w:rsidRPr="007E1072">
              <w:rPr>
                <w:vertAlign w:val="superscript"/>
              </w:rPr>
              <w:t>1</w:t>
            </w:r>
            <w:r w:rsidRPr="007E1072">
              <w:t xml:space="preserve"> straipsniu įstatymo projekto (toliau – Ginklų kontrolės įstatymo projektas) 24 straipsnio 1 dalies nuostatas. Kyla abejonės, ar Lietuvos Respublikoje uždraudus prekyba A kategorijos ginklais, ginklų priedėliais, šaudmenimis ir jų dalimis, Ginklų kontrolės įstatymo projekto 45</w:t>
            </w:r>
            <w:r w:rsidRPr="007E1072">
              <w:rPr>
                <w:vertAlign w:val="superscript"/>
              </w:rPr>
              <w:t>1</w:t>
            </w:r>
            <w:r w:rsidRPr="007E1072">
              <w:t xml:space="preserve"> straipsnio 1 dalyje Vyriausybės įgaliota institucija bus pajėgi aprūpinti A kategorijos ginklais ir šaudmenimis valstybės įstaigas ir institucijas. Būtina įvertinti, kad panaikinus Ginklų fondo išimtinę teisę aprūpinti A kategorijos ginklais valstybės institucijas, išskyrus Krašto apsaugos ministeriją ir Lietuvos kariuomenę, gali susidaryti teisės spraga, kadangi fiziniai ir juridiniai asmenys, turintys licenciją prekiauti civilinėje apyvartoje ginklais, negalės Vyriausybės įgaliotai institucijai pasiūlyti įsigyti A kategorijos </w:t>
            </w:r>
            <w:r w:rsidRPr="007E1072">
              <w:lastRenderedPageBreak/>
              <w:t xml:space="preserve">ginklų, nes tai draus 24 straipsnio 1 dalis, o Vyriausybės įgaliota institucija, nesant aiškaus įstatyminio reglamentavimo, negalės esant poreikiui aprūpinti A kategorijos ginklais ir šaudmenimis valstybės institucijų ir įstaigų, kurios savo funkcijoms vykdyti naudoja A kategorijos ginklus ir šaudmenis. Atsižvelgiant į tai, siūlome Ginklų kontrolės įstatymo projekte aiškiai pasisakyti dėl Vyriausybės įgaliotos institucijos galimybių A kategorijos ginklais ir šaudmenimis aprūpinti kitas valstybės institucijas ir įstaigas. </w:t>
            </w:r>
          </w:p>
        </w:tc>
        <w:tc>
          <w:tcPr>
            <w:tcW w:w="6140" w:type="dxa"/>
            <w:gridSpan w:val="2"/>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0C97E95" w14:textId="77777777" w:rsidR="00C874ED" w:rsidRPr="007E1072" w:rsidRDefault="00C874ED" w:rsidP="00C874ED">
            <w:pPr>
              <w:jc w:val="both"/>
              <w:rPr>
                <w:b/>
              </w:rPr>
            </w:pPr>
            <w:r w:rsidRPr="007E1072">
              <w:rPr>
                <w:b/>
              </w:rPr>
              <w:lastRenderedPageBreak/>
              <w:t>Neatsižvelgta.</w:t>
            </w:r>
          </w:p>
          <w:p w14:paraId="6D09D23F" w14:textId="3B67FCB8" w:rsidR="00056478" w:rsidRPr="007E1072" w:rsidRDefault="00C874ED" w:rsidP="00C874ED">
            <w:pPr>
              <w:jc w:val="both"/>
            </w:pPr>
            <w:r w:rsidRPr="007E1072">
              <w:t>Įstatymų projekt</w:t>
            </w:r>
            <w:r w:rsidR="003B14A0" w:rsidRPr="007E1072">
              <w:t xml:space="preserve">ų aiškinamajame rašte nurodyta, </w:t>
            </w:r>
            <w:r w:rsidR="00160769" w:rsidRPr="007E1072">
              <w:t>kad įstatymų projektais</w:t>
            </w:r>
            <w:r w:rsidRPr="007E1072">
              <w:t xml:space="preserve"> siekiama reorganizuoti Lietuvos Respublikos ginklų fondą prie Lietuvos Respublikos vidaus reikalų minist</w:t>
            </w:r>
            <w:r w:rsidR="00DF12CA" w:rsidRPr="007E1072">
              <w:t>erijos (toliau – Ginklų fondas) ir</w:t>
            </w:r>
            <w:r w:rsidRPr="007E1072">
              <w:t xml:space="preserve"> atsisakyti Ginklų fondo vykdomos ūkinės komercinės veiklos ir ją perduoti privatiems asmenims, kitas šios įstaigos funkcijas perduodant kitoms valstybės institucijoms, ir pasiekti, kad Ginklų fondo funkcijos būtų vykdomos efektyviau, tam skiriant mažesnius žmogiškuosius ir finansinius išteklius </w:t>
            </w:r>
            <w:r w:rsidR="00160769" w:rsidRPr="007E1072">
              <w:t>(</w:t>
            </w:r>
            <w:r w:rsidRPr="007E1072">
              <w:t xml:space="preserve"> </w:t>
            </w:r>
            <w:r w:rsidR="00160769" w:rsidRPr="007E1072">
              <w:t>a</w:t>
            </w:r>
            <w:r w:rsidRPr="007E1072">
              <w:t>iškinamojo rašto 1 punkt</w:t>
            </w:r>
            <w:r w:rsidR="00160769" w:rsidRPr="007E1072">
              <w:t>as)</w:t>
            </w:r>
            <w:r w:rsidRPr="007E1072">
              <w:t>.</w:t>
            </w:r>
          </w:p>
          <w:p w14:paraId="2CD3BCF7" w14:textId="1F56EFEB" w:rsidR="00C874ED" w:rsidRPr="007E1072" w:rsidRDefault="00C874ED" w:rsidP="00C874ED">
            <w:pPr>
              <w:jc w:val="both"/>
              <w:rPr>
                <w:bCs/>
              </w:rPr>
            </w:pPr>
            <w:r w:rsidRPr="007E1072">
              <w:t>Aiškinamojo rašto 11 punkte pažymėta, kad</w:t>
            </w:r>
            <w:r w:rsidR="007E1072">
              <w:t>,</w:t>
            </w:r>
            <w:r w:rsidRPr="007E1072">
              <w:t xml:space="preserve"> Seimui pritarus įstatymų projektams, i</w:t>
            </w:r>
            <w:r w:rsidRPr="007E1072">
              <w:rPr>
                <w:bCs/>
              </w:rPr>
              <w:t xml:space="preserve">ki įstatymų įsigaliojimo Vyriausybė turės pakeisti išvardintus galiojančius teisės aktus ir priimti </w:t>
            </w:r>
            <w:r w:rsidRPr="007E1072">
              <w:rPr>
                <w:bCs/>
              </w:rPr>
              <w:lastRenderedPageBreak/>
              <w:t>nutarimą dėl sutikimo reorganizuoti Ginklų fondą (įgyvendinant Biudžetinių įstaigų įstatymo 14 straipsnio 4 dalį) ir nutarimą dėl Projektuose nustatytų įgaliojimų suteikimo Vyriausybės įgaliotai institucijai. Šiuose teisės aktuose ir bus išspęsti su Ginklų fondo reorganizavimu keliami klausimai</w:t>
            </w:r>
            <w:r w:rsidR="00340B95" w:rsidRPr="007E1072">
              <w:rPr>
                <w:bCs/>
              </w:rPr>
              <w:t xml:space="preserve"> (reorganizavimo būdas, reorganizavime dalyvaujančios institucijos ir </w:t>
            </w:r>
            <w:r w:rsidR="00DF12CA" w:rsidRPr="007E1072">
              <w:rPr>
                <w:bCs/>
              </w:rPr>
              <w:t>kt.</w:t>
            </w:r>
            <w:r w:rsidR="00340B95" w:rsidRPr="007E1072">
              <w:rPr>
                <w:bCs/>
              </w:rPr>
              <w:t>)</w:t>
            </w:r>
            <w:r w:rsidRPr="007E1072">
              <w:rPr>
                <w:bCs/>
              </w:rPr>
              <w:t>.</w:t>
            </w:r>
          </w:p>
          <w:p w14:paraId="52050FCB" w14:textId="77777777" w:rsidR="00F92E6A" w:rsidRPr="007E1072" w:rsidRDefault="00F92E6A" w:rsidP="00C874ED">
            <w:pPr>
              <w:jc w:val="both"/>
              <w:rPr>
                <w:bCs/>
              </w:rPr>
            </w:pPr>
          </w:p>
          <w:p w14:paraId="273BC433" w14:textId="77777777" w:rsidR="00F92E6A" w:rsidRPr="007E1072" w:rsidRDefault="00F92E6A" w:rsidP="00C874ED">
            <w:pPr>
              <w:jc w:val="both"/>
              <w:rPr>
                <w:bCs/>
              </w:rPr>
            </w:pPr>
          </w:p>
          <w:p w14:paraId="3AE2B01F" w14:textId="77777777" w:rsidR="00F92E6A" w:rsidRPr="007E1072" w:rsidRDefault="00F92E6A" w:rsidP="00C874ED">
            <w:pPr>
              <w:jc w:val="both"/>
              <w:rPr>
                <w:bCs/>
              </w:rPr>
            </w:pPr>
          </w:p>
          <w:p w14:paraId="258B55B4" w14:textId="77777777" w:rsidR="00F92E6A" w:rsidRPr="007E1072" w:rsidRDefault="00F92E6A" w:rsidP="00C874ED">
            <w:pPr>
              <w:jc w:val="both"/>
              <w:rPr>
                <w:bCs/>
              </w:rPr>
            </w:pPr>
          </w:p>
          <w:p w14:paraId="2DA9E697" w14:textId="77777777" w:rsidR="00BB210F" w:rsidRPr="007E1072" w:rsidRDefault="00BB210F" w:rsidP="00C874ED">
            <w:pPr>
              <w:jc w:val="both"/>
              <w:rPr>
                <w:bCs/>
              </w:rPr>
            </w:pPr>
          </w:p>
          <w:p w14:paraId="6A0001A6" w14:textId="77777777" w:rsidR="00BB210F" w:rsidRPr="007E1072" w:rsidRDefault="00BB210F" w:rsidP="00C874ED">
            <w:pPr>
              <w:jc w:val="both"/>
              <w:rPr>
                <w:bCs/>
              </w:rPr>
            </w:pPr>
          </w:p>
          <w:p w14:paraId="1D4C327F" w14:textId="77777777" w:rsidR="00BB210F" w:rsidRPr="007E1072" w:rsidRDefault="00BB210F" w:rsidP="00C874ED">
            <w:pPr>
              <w:jc w:val="both"/>
              <w:rPr>
                <w:bCs/>
              </w:rPr>
            </w:pPr>
          </w:p>
          <w:p w14:paraId="0F39E8EA" w14:textId="77777777" w:rsidR="00BB210F" w:rsidRPr="007E1072" w:rsidRDefault="00BB210F" w:rsidP="00C874ED">
            <w:pPr>
              <w:jc w:val="both"/>
              <w:rPr>
                <w:bCs/>
              </w:rPr>
            </w:pPr>
          </w:p>
          <w:p w14:paraId="7E77C5FE" w14:textId="77777777" w:rsidR="00EF570E" w:rsidRPr="007E1072" w:rsidRDefault="00EF570E" w:rsidP="00C874ED">
            <w:pPr>
              <w:jc w:val="both"/>
              <w:rPr>
                <w:bCs/>
              </w:rPr>
            </w:pPr>
          </w:p>
          <w:p w14:paraId="6323BE44" w14:textId="77777777" w:rsidR="00DF12CA" w:rsidRPr="007E1072" w:rsidRDefault="00DF12CA" w:rsidP="00C874ED">
            <w:pPr>
              <w:jc w:val="both"/>
              <w:rPr>
                <w:bCs/>
              </w:rPr>
            </w:pPr>
          </w:p>
          <w:p w14:paraId="6D471735" w14:textId="77777777" w:rsidR="00DF12CA" w:rsidRPr="007E1072" w:rsidRDefault="00DF12CA" w:rsidP="00C874ED">
            <w:pPr>
              <w:jc w:val="both"/>
              <w:rPr>
                <w:bCs/>
              </w:rPr>
            </w:pPr>
          </w:p>
          <w:p w14:paraId="392AD66C" w14:textId="1851DC7E" w:rsidR="008F07E6" w:rsidRPr="007E1072" w:rsidRDefault="00F92E6A" w:rsidP="008F07E6">
            <w:pPr>
              <w:jc w:val="both"/>
              <w:rPr>
                <w:bCs/>
              </w:rPr>
            </w:pPr>
            <w:r w:rsidRPr="007E1072">
              <w:rPr>
                <w:b/>
                <w:bCs/>
              </w:rPr>
              <w:t>Neatsižvelgta.</w:t>
            </w:r>
            <w:bookmarkStart w:id="2" w:name="part_afdf7244cbe247a68d07025e563e9fa3"/>
            <w:bookmarkEnd w:id="2"/>
          </w:p>
          <w:p w14:paraId="3B70BE75" w14:textId="36199C12" w:rsidR="00F92E6A" w:rsidRPr="007E1072" w:rsidRDefault="008F07E6" w:rsidP="001416CD">
            <w:pPr>
              <w:jc w:val="both"/>
              <w:rPr>
                <w:bCs/>
              </w:rPr>
            </w:pPr>
            <w:r w:rsidRPr="007E1072">
              <w:rPr>
                <w:bCs/>
              </w:rPr>
              <w:t>Kaip pažymėta Aiškinam</w:t>
            </w:r>
            <w:r w:rsidR="00DD3C04" w:rsidRPr="007E1072">
              <w:rPr>
                <w:bCs/>
              </w:rPr>
              <w:t>a</w:t>
            </w:r>
            <w:r w:rsidRPr="007E1072">
              <w:rPr>
                <w:bCs/>
              </w:rPr>
              <w:t>jame rašte</w:t>
            </w:r>
            <w:r w:rsidR="007E1072">
              <w:rPr>
                <w:bCs/>
              </w:rPr>
              <w:t>,</w:t>
            </w:r>
            <w:r w:rsidRPr="007E1072">
              <w:rPr>
                <w:bCs/>
              </w:rPr>
              <w:t xml:space="preserve"> įstatymų projektais siekiama šiuo metu Ginklų fondo vykdomą valstybės institucijų ir įstaigų, išskyrus Lietuvos Respublikos krašto apsaugos ministeriją ir Lietuvos kariuomenę, aprūpinimo A kategorijos ginklais, šaudmenimis, jų dalimis, B, C kategorijų trumpaisiais šaunamaisiais ginklais, šaudmenimis, skirtais tik trumpiesiems šaunamiesiems ginklams, jų dalimis funkciją perduoti vykdyti Vyriausybės įgaliotai institucijai. </w:t>
            </w:r>
            <w:r w:rsidR="00160769" w:rsidRPr="007E1072">
              <w:rPr>
                <w:bCs/>
              </w:rPr>
              <w:t>Nematome jokių priežasčių</w:t>
            </w:r>
            <w:r w:rsidRPr="007E1072">
              <w:rPr>
                <w:bCs/>
              </w:rPr>
              <w:t xml:space="preserve">, kad siūlomas teisinis reguliavimas sudarys kliūčių Vyriausybės įgaliotai institucijai vykdyti </w:t>
            </w:r>
            <w:r w:rsidR="00DF12CA" w:rsidRPr="007E1072">
              <w:rPr>
                <w:bCs/>
              </w:rPr>
              <w:t xml:space="preserve">jai </w:t>
            </w:r>
            <w:r w:rsidRPr="007E1072">
              <w:rPr>
                <w:bCs/>
              </w:rPr>
              <w:t>perduotas Ginklų fondo šiuo metu vykdomas funkcijas</w:t>
            </w:r>
            <w:r w:rsidR="008B5E22" w:rsidRPr="007E1072">
              <w:rPr>
                <w:bCs/>
              </w:rPr>
              <w:t>, nes</w:t>
            </w:r>
            <w:r w:rsidR="00EF570E" w:rsidRPr="007E1072">
              <w:rPr>
                <w:bCs/>
              </w:rPr>
              <w:t xml:space="preserve"> pagal</w:t>
            </w:r>
            <w:r w:rsidR="00EF570E" w:rsidRPr="007E1072">
              <w:t xml:space="preserve"> </w:t>
            </w:r>
            <w:r w:rsidR="00EF570E" w:rsidRPr="007E1072">
              <w:rPr>
                <w:bCs/>
              </w:rPr>
              <w:t>Ginklų kontrolės įstatymo projektu papildomo 45</w:t>
            </w:r>
            <w:r w:rsidR="00EF570E" w:rsidRPr="007E1072">
              <w:rPr>
                <w:bCs/>
                <w:vertAlign w:val="superscript"/>
              </w:rPr>
              <w:t>1</w:t>
            </w:r>
            <w:r w:rsidR="00EF570E" w:rsidRPr="007E1072">
              <w:rPr>
                <w:bCs/>
              </w:rPr>
              <w:t xml:space="preserve"> straipsnio 1 dalį LRV įgaliotai institucija lieka išimtinė teisė aprūpinti institucijas ginklais; antra, ir šiuo metu asmenys, turintys licencijas, neturi teisės prekiauti A kategorijos ginklais (tokią </w:t>
            </w:r>
            <w:r w:rsidR="00EF570E" w:rsidRPr="007E1072">
              <w:rPr>
                <w:bCs/>
              </w:rPr>
              <w:lastRenderedPageBreak/>
              <w:t>išimtinę teisę turi tik GF); trečia</w:t>
            </w:r>
            <w:r w:rsidR="007E1072">
              <w:rPr>
                <w:bCs/>
              </w:rPr>
              <w:t>,</w:t>
            </w:r>
            <w:r w:rsidR="00EF570E" w:rsidRPr="007E1072">
              <w:rPr>
                <w:bCs/>
              </w:rPr>
              <w:t xml:space="preserve"> </w:t>
            </w:r>
            <w:r w:rsidR="00DF12CA" w:rsidRPr="007E1072">
              <w:rPr>
                <w:bCs/>
              </w:rPr>
              <w:t xml:space="preserve">projekto </w:t>
            </w:r>
            <w:r w:rsidR="00EF570E" w:rsidRPr="007E1072">
              <w:rPr>
                <w:bCs/>
              </w:rPr>
              <w:t>23 straipsnio 1 dalyje LRV įgaliotai institucijai paliekama visų kategorijų ginklų (taip pat ir A kategorijos ginklų) importo (įvežimo) teisė.</w:t>
            </w:r>
          </w:p>
          <w:p w14:paraId="6F476472" w14:textId="77777777" w:rsidR="00F51007" w:rsidRPr="007E1072" w:rsidRDefault="00F51007" w:rsidP="001416CD">
            <w:pPr>
              <w:jc w:val="both"/>
            </w:pPr>
          </w:p>
        </w:tc>
      </w:tr>
      <w:tr w:rsidR="00F51007" w:rsidRPr="007E1072" w14:paraId="199C4A70" w14:textId="77777777" w:rsidTr="00DF12CA">
        <w:trPr>
          <w:trHeight w:val="432"/>
        </w:trPr>
        <w:tc>
          <w:tcPr>
            <w:tcW w:w="1493" w:type="dxa"/>
            <w:gridSpan w:val="2"/>
            <w:tcBorders>
              <w:top w:val="single" w:sz="4" w:space="0" w:color="000001"/>
              <w:left w:val="single" w:sz="4" w:space="0" w:color="000001"/>
              <w:bottom w:val="single" w:sz="4" w:space="0" w:color="000001"/>
            </w:tcBorders>
            <w:shd w:val="clear" w:color="auto" w:fill="auto"/>
            <w:tcMar>
              <w:left w:w="23" w:type="dxa"/>
            </w:tcMar>
          </w:tcPr>
          <w:p w14:paraId="5D7CFF47" w14:textId="2D099504" w:rsidR="00F51007" w:rsidRDefault="00F51007" w:rsidP="00671D2D">
            <w:pPr>
              <w:jc w:val="both"/>
            </w:pPr>
            <w:r w:rsidRPr="007E1072">
              <w:lastRenderedPageBreak/>
              <w:t xml:space="preserve">Krašto apsaugos ministerijos </w:t>
            </w:r>
            <w:r w:rsidRPr="00671D2D">
              <w:t>2018-</w:t>
            </w:r>
            <w:r w:rsidR="00671D2D">
              <w:t>05-02</w:t>
            </w:r>
          </w:p>
          <w:p w14:paraId="1848EFCE" w14:textId="73B31698" w:rsidR="00671D2D" w:rsidRPr="007E1072" w:rsidRDefault="00671D2D" w:rsidP="00671D2D">
            <w:pPr>
              <w:jc w:val="both"/>
            </w:pPr>
            <w:r>
              <w:t xml:space="preserve">Raštas Nr. </w:t>
            </w:r>
            <w:r w:rsidRPr="00671D2D">
              <w:t>12-01-633</w:t>
            </w:r>
          </w:p>
        </w:tc>
        <w:tc>
          <w:tcPr>
            <w:tcW w:w="6237" w:type="dxa"/>
            <w:tcBorders>
              <w:top w:val="single" w:sz="4" w:space="0" w:color="000001"/>
              <w:left w:val="single" w:sz="4" w:space="0" w:color="000001"/>
              <w:bottom w:val="single" w:sz="4" w:space="0" w:color="000001"/>
            </w:tcBorders>
            <w:shd w:val="clear" w:color="auto" w:fill="auto"/>
            <w:tcMar>
              <w:left w:w="23" w:type="dxa"/>
            </w:tcMar>
          </w:tcPr>
          <w:p w14:paraId="2F7CFB23" w14:textId="408DF2D2" w:rsidR="00F51007" w:rsidRPr="007E1072" w:rsidRDefault="00F51007" w:rsidP="00BB210F">
            <w:pPr>
              <w:jc w:val="both"/>
            </w:pPr>
            <w:r w:rsidRPr="007E1072">
              <w:t xml:space="preserve">1. Atkreipiame dėmesį, kad šiuo metu Lietuvos Respublikos Vyriausybėje yra svarstomas </w:t>
            </w:r>
            <w:r w:rsidRPr="007E1072">
              <w:rPr>
                <w:bCs/>
              </w:rPr>
              <w:t>Lietuvos Respublikos g</w:t>
            </w:r>
            <w:r w:rsidRPr="007E1072">
              <w:t>inklų ir šaudmenų kontrolės įstatymo Nr. IX-705 pakeitimo įstatymo projektas (įstatymas dėstomas nauja redakcija), šio įstatymo projekto įsigaliojimo data numatoma 2018 m. rugsėjo 14 d. Teikiamame vertinti Lietuvos Respublikos ginklų ir šaudmenų kontrolės įstatymo Nr. IX-705 2, 8, 23, 24, 25, 41, 42, 43 straipsnių pakeitimo ir įstatymo papildymo 45</w:t>
            </w:r>
            <w:r w:rsidRPr="007E1072">
              <w:rPr>
                <w:vertAlign w:val="superscript"/>
              </w:rPr>
              <w:t>1</w:t>
            </w:r>
            <w:r w:rsidRPr="007E1072">
              <w:t xml:space="preserve"> straipsniu įstatymo projekto (toliau – GIŠKĮ projektas) įsigaliojimo data yra numatyta 2019 m. sausio 1 d., todėl GIŠKĮ projekte siūlomi pakeitimai neatitiktų 2018 m. rugsėjo 14 d. įsigaliosiančios naujos </w:t>
            </w:r>
            <w:r w:rsidRPr="007E1072">
              <w:rPr>
                <w:bCs/>
              </w:rPr>
              <w:t>Lietuvos Respublikos g</w:t>
            </w:r>
            <w:r w:rsidRPr="007E1072">
              <w:t>inklų ir šaudmenų kontrolės įstatymo redakcijos. Siūlome suderinti įstatymų projektus.</w:t>
            </w:r>
          </w:p>
        </w:tc>
        <w:tc>
          <w:tcPr>
            <w:tcW w:w="6140" w:type="dxa"/>
            <w:gridSpan w:val="2"/>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1565F8B" w14:textId="1EB61EF7" w:rsidR="00F51007" w:rsidRPr="007E1072" w:rsidRDefault="00E61B27">
            <w:pPr>
              <w:jc w:val="both"/>
            </w:pPr>
            <w:r w:rsidRPr="007E1072">
              <w:rPr>
                <w:b/>
              </w:rPr>
              <w:t xml:space="preserve">Neatsižvelgta. </w:t>
            </w:r>
            <w:r w:rsidRPr="007E1072">
              <w:t xml:space="preserve">Rašte įvardintų įstatymų projektų tikslai ir įsigaliojimo datos yra skirtingos, todėl jie negali būti sujungti dėl </w:t>
            </w:r>
            <w:r w:rsidR="00F91B09" w:rsidRPr="007E1072">
              <w:t xml:space="preserve">skirtingų </w:t>
            </w:r>
            <w:r w:rsidRPr="007E1072">
              <w:t xml:space="preserve">juose daromų pakeitimų </w:t>
            </w:r>
            <w:r w:rsidR="00F91B09" w:rsidRPr="007E1072">
              <w:t xml:space="preserve">tikslų ir </w:t>
            </w:r>
            <w:r w:rsidRPr="007E1072">
              <w:t xml:space="preserve">apimties. </w:t>
            </w:r>
            <w:r w:rsidR="00F91B09" w:rsidRPr="007E1072">
              <w:t xml:space="preserve">Pažymėtina, kad įstatymų projektų nuostatas derinti su kitu projektu netikslinga, nes </w:t>
            </w:r>
            <w:r w:rsidR="00F91B09" w:rsidRPr="007E1072">
              <w:rPr>
                <w:bCs/>
              </w:rPr>
              <w:t>Lietuvos Respublikos g</w:t>
            </w:r>
            <w:r w:rsidR="00F91B09" w:rsidRPr="007E1072">
              <w:t>inklų ir šaudmenų kontrolės įstatymo Nr. IX-705 pakeitimo įstatymo projekto nuostatos iki jų priėmimo Seime gali pasikeisti. Todėl, t</w:t>
            </w:r>
            <w:r w:rsidRPr="007E1072">
              <w:t>ik Seimui pritarus</w:t>
            </w:r>
            <w:r w:rsidRPr="007E1072">
              <w:rPr>
                <w:bCs/>
              </w:rPr>
              <w:t xml:space="preserve"> Lietuvos Respublikos g</w:t>
            </w:r>
            <w:r w:rsidRPr="007E1072">
              <w:t>inklų ir šaudmenų kontrolės įstatymo Nr. IX-705 pakeitimo įstatymo projektui (įstatymas dėstomas nauja redakcija), atsirastų galimybė ir poreikis atitinkamai koreguoti (derinti) GIŠKĮ projekto nuostatas.</w:t>
            </w:r>
            <w:r w:rsidRPr="007E1072">
              <w:rPr>
                <w:b/>
              </w:rPr>
              <w:t xml:space="preserve"> </w:t>
            </w:r>
            <w:r w:rsidR="00DF12CA" w:rsidRPr="007E1072">
              <w:rPr>
                <w:bCs/>
              </w:rPr>
              <w:t>Lietuvos Respublikos g</w:t>
            </w:r>
            <w:r w:rsidR="00DF12CA" w:rsidRPr="007E1072">
              <w:t>inklų ir šaudmenų kontrolės įstatymo Nr. IX-705 pakeitimo įstatymo projektą Vyriausybė 2018 m. balandžio 21 d. nutarimu Nr. 361 pateikė Seimui.</w:t>
            </w:r>
            <w:r w:rsidR="00F91B09" w:rsidRPr="007E1072">
              <w:t xml:space="preserve"> </w:t>
            </w:r>
          </w:p>
        </w:tc>
      </w:tr>
    </w:tbl>
    <w:p w14:paraId="1BE076BE" w14:textId="77777777" w:rsidR="00E1481E" w:rsidRPr="007E1072" w:rsidRDefault="00E1481E">
      <w:bookmarkStart w:id="3" w:name="_GoBack"/>
      <w:bookmarkEnd w:id="3"/>
    </w:p>
    <w:sectPr w:rsidR="00E1481E" w:rsidRPr="007E1072" w:rsidSect="006903F4">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1C944" w14:textId="77777777" w:rsidR="008E573F" w:rsidRDefault="008E573F" w:rsidP="006903F4">
      <w:r>
        <w:separator/>
      </w:r>
    </w:p>
  </w:endnote>
  <w:endnote w:type="continuationSeparator" w:id="0">
    <w:p w14:paraId="671D504D" w14:textId="77777777" w:rsidR="008E573F" w:rsidRDefault="008E573F" w:rsidP="006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B107" w14:textId="77777777" w:rsidR="008E573F" w:rsidRDefault="008E573F" w:rsidP="006903F4">
      <w:r>
        <w:separator/>
      </w:r>
    </w:p>
  </w:footnote>
  <w:footnote w:type="continuationSeparator" w:id="0">
    <w:p w14:paraId="69D00A57" w14:textId="77777777" w:rsidR="008E573F" w:rsidRDefault="008E573F" w:rsidP="00690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841102"/>
      <w:docPartObj>
        <w:docPartGallery w:val="Page Numbers (Top of Page)"/>
        <w:docPartUnique/>
      </w:docPartObj>
    </w:sdtPr>
    <w:sdtEndPr/>
    <w:sdtContent>
      <w:p w14:paraId="54DE9957" w14:textId="77777777" w:rsidR="006903F4" w:rsidRDefault="006903F4">
        <w:pPr>
          <w:pStyle w:val="Antrats"/>
          <w:jc w:val="center"/>
        </w:pPr>
        <w:r>
          <w:fldChar w:fldCharType="begin"/>
        </w:r>
        <w:r>
          <w:instrText>PAGE   \* MERGEFORMAT</w:instrText>
        </w:r>
        <w:r>
          <w:fldChar w:fldCharType="separate"/>
        </w:r>
        <w:r w:rsidR="00671D2D">
          <w:rPr>
            <w:noProof/>
          </w:rPr>
          <w:t>4</w:t>
        </w:r>
        <w:r>
          <w:fldChar w:fldCharType="end"/>
        </w:r>
      </w:p>
    </w:sdtContent>
  </w:sdt>
  <w:p w14:paraId="7AAD8481" w14:textId="77777777" w:rsidR="006903F4" w:rsidRDefault="006903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A3E41"/>
    <w:multiLevelType w:val="multilevel"/>
    <w:tmpl w:val="FC6C4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3110FB"/>
    <w:multiLevelType w:val="hybridMultilevel"/>
    <w:tmpl w:val="1B0E5E28"/>
    <w:lvl w:ilvl="0" w:tplc="E1EE1B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B3176E4"/>
    <w:multiLevelType w:val="multilevel"/>
    <w:tmpl w:val="D3FE6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78"/>
    <w:rsid w:val="00056478"/>
    <w:rsid w:val="000E58EB"/>
    <w:rsid w:val="001259B0"/>
    <w:rsid w:val="001416CD"/>
    <w:rsid w:val="00160769"/>
    <w:rsid w:val="00165602"/>
    <w:rsid w:val="00180DB5"/>
    <w:rsid w:val="00182E60"/>
    <w:rsid w:val="001A39B6"/>
    <w:rsid w:val="002719AA"/>
    <w:rsid w:val="00285E1B"/>
    <w:rsid w:val="0029052D"/>
    <w:rsid w:val="002917C6"/>
    <w:rsid w:val="002C6EE3"/>
    <w:rsid w:val="002D7A12"/>
    <w:rsid w:val="00325A99"/>
    <w:rsid w:val="00340B95"/>
    <w:rsid w:val="00344B35"/>
    <w:rsid w:val="0038720E"/>
    <w:rsid w:val="003B14A0"/>
    <w:rsid w:val="003D3D46"/>
    <w:rsid w:val="003D5AC9"/>
    <w:rsid w:val="004B5E75"/>
    <w:rsid w:val="004C558D"/>
    <w:rsid w:val="005565EA"/>
    <w:rsid w:val="00623B9C"/>
    <w:rsid w:val="00647917"/>
    <w:rsid w:val="006639ED"/>
    <w:rsid w:val="00671D2D"/>
    <w:rsid w:val="00671EAC"/>
    <w:rsid w:val="00673C78"/>
    <w:rsid w:val="006903F4"/>
    <w:rsid w:val="006965BE"/>
    <w:rsid w:val="007E1072"/>
    <w:rsid w:val="007F1B3C"/>
    <w:rsid w:val="008006BB"/>
    <w:rsid w:val="00897B61"/>
    <w:rsid w:val="008B5E22"/>
    <w:rsid w:val="008E573F"/>
    <w:rsid w:val="008F07E6"/>
    <w:rsid w:val="009B5A13"/>
    <w:rsid w:val="009C1F2B"/>
    <w:rsid w:val="009D6261"/>
    <w:rsid w:val="009E4C92"/>
    <w:rsid w:val="00A01B79"/>
    <w:rsid w:val="00AA5FD9"/>
    <w:rsid w:val="00AE0A7C"/>
    <w:rsid w:val="00AF235B"/>
    <w:rsid w:val="00AF5869"/>
    <w:rsid w:val="00B02685"/>
    <w:rsid w:val="00B24EEF"/>
    <w:rsid w:val="00B5265C"/>
    <w:rsid w:val="00B67A8D"/>
    <w:rsid w:val="00B77DEB"/>
    <w:rsid w:val="00B800B6"/>
    <w:rsid w:val="00B961F5"/>
    <w:rsid w:val="00BB210F"/>
    <w:rsid w:val="00BB5BF2"/>
    <w:rsid w:val="00BC1F9F"/>
    <w:rsid w:val="00C27210"/>
    <w:rsid w:val="00C874ED"/>
    <w:rsid w:val="00D253DC"/>
    <w:rsid w:val="00D763B1"/>
    <w:rsid w:val="00D9275C"/>
    <w:rsid w:val="00DD06B0"/>
    <w:rsid w:val="00DD3C04"/>
    <w:rsid w:val="00DF12CA"/>
    <w:rsid w:val="00E1481E"/>
    <w:rsid w:val="00E61B27"/>
    <w:rsid w:val="00ED7B36"/>
    <w:rsid w:val="00EE6D88"/>
    <w:rsid w:val="00EF570E"/>
    <w:rsid w:val="00F51007"/>
    <w:rsid w:val="00F90761"/>
    <w:rsid w:val="00F91B09"/>
    <w:rsid w:val="00F92E6A"/>
    <w:rsid w:val="00FE67AC"/>
    <w:rsid w:val="00FF0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3DF1"/>
  <w15:chartTrackingRefBased/>
  <w15:docId w15:val="{DAE170DF-33C3-4C5F-BDA8-776DB73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478"/>
    <w:pPr>
      <w:spacing w:after="0" w:line="240" w:lineRule="auto"/>
    </w:pPr>
    <w:rPr>
      <w:rFonts w:ascii="Times New Roman" w:eastAsia="Times New Roman" w:hAnsi="Times New Roman" w:cs="Times New Roman"/>
      <w:color w:val="00000A"/>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056478"/>
    <w:pPr>
      <w:widowControl w:val="0"/>
      <w:spacing w:after="0" w:line="240" w:lineRule="auto"/>
    </w:pPr>
    <w:rPr>
      <w:rFonts w:ascii="Times New Roman" w:eastAsia="SimSun" w:hAnsi="Times New Roman" w:cs="Arial"/>
      <w:color w:val="000000"/>
      <w:sz w:val="24"/>
      <w:szCs w:val="24"/>
      <w:lang w:eastAsia="zh-CN" w:bidi="hi-IN"/>
    </w:rPr>
  </w:style>
  <w:style w:type="paragraph" w:styleId="Sraopastraipa">
    <w:name w:val="List Paragraph"/>
    <w:basedOn w:val="prastasis"/>
    <w:uiPriority w:val="34"/>
    <w:qFormat/>
    <w:rsid w:val="00056478"/>
    <w:pPr>
      <w:ind w:left="720"/>
      <w:contextualSpacing/>
    </w:pPr>
  </w:style>
  <w:style w:type="paragraph" w:styleId="Antrats">
    <w:name w:val="header"/>
    <w:basedOn w:val="prastasis"/>
    <w:link w:val="AntratsDiagrama"/>
    <w:uiPriority w:val="99"/>
    <w:unhideWhenUsed/>
    <w:rsid w:val="006903F4"/>
    <w:pPr>
      <w:tabs>
        <w:tab w:val="center" w:pos="4819"/>
        <w:tab w:val="right" w:pos="9638"/>
      </w:tabs>
    </w:pPr>
  </w:style>
  <w:style w:type="character" w:customStyle="1" w:styleId="AntratsDiagrama">
    <w:name w:val="Antraštės Diagrama"/>
    <w:basedOn w:val="Numatytasispastraiposriftas"/>
    <w:link w:val="Antrats"/>
    <w:uiPriority w:val="99"/>
    <w:rsid w:val="006903F4"/>
    <w:rPr>
      <w:rFonts w:ascii="Times New Roman" w:eastAsia="Times New Roman" w:hAnsi="Times New Roman" w:cs="Times New Roman"/>
      <w:color w:val="00000A"/>
      <w:sz w:val="24"/>
      <w:szCs w:val="24"/>
      <w:lang w:eastAsia="zh-CN"/>
    </w:rPr>
  </w:style>
  <w:style w:type="paragraph" w:styleId="Porat">
    <w:name w:val="footer"/>
    <w:basedOn w:val="prastasis"/>
    <w:link w:val="PoratDiagrama"/>
    <w:uiPriority w:val="99"/>
    <w:unhideWhenUsed/>
    <w:rsid w:val="006903F4"/>
    <w:pPr>
      <w:tabs>
        <w:tab w:val="center" w:pos="4819"/>
        <w:tab w:val="right" w:pos="9638"/>
      </w:tabs>
    </w:pPr>
  </w:style>
  <w:style w:type="character" w:customStyle="1" w:styleId="PoratDiagrama">
    <w:name w:val="Poraštė Diagrama"/>
    <w:basedOn w:val="Numatytasispastraiposriftas"/>
    <w:link w:val="Porat"/>
    <w:uiPriority w:val="99"/>
    <w:rsid w:val="006903F4"/>
    <w:rPr>
      <w:rFonts w:ascii="Times New Roman" w:eastAsia="Times New Roman" w:hAnsi="Times New Roman" w:cs="Times New Roman"/>
      <w:color w:val="00000A"/>
      <w:sz w:val="24"/>
      <w:szCs w:val="24"/>
      <w:lang w:eastAsia="zh-CN"/>
    </w:rPr>
  </w:style>
  <w:style w:type="character" w:styleId="Komentaronuoroda">
    <w:name w:val="annotation reference"/>
    <w:basedOn w:val="Numatytasispastraiposriftas"/>
    <w:uiPriority w:val="99"/>
    <w:semiHidden/>
    <w:unhideWhenUsed/>
    <w:rsid w:val="00671EAC"/>
    <w:rPr>
      <w:sz w:val="16"/>
      <w:szCs w:val="16"/>
    </w:rPr>
  </w:style>
  <w:style w:type="paragraph" w:styleId="Komentarotekstas">
    <w:name w:val="annotation text"/>
    <w:basedOn w:val="prastasis"/>
    <w:link w:val="KomentarotekstasDiagrama"/>
    <w:uiPriority w:val="99"/>
    <w:semiHidden/>
    <w:unhideWhenUsed/>
    <w:rsid w:val="00671EAC"/>
    <w:rPr>
      <w:sz w:val="20"/>
      <w:szCs w:val="20"/>
    </w:rPr>
  </w:style>
  <w:style w:type="character" w:customStyle="1" w:styleId="KomentarotekstasDiagrama">
    <w:name w:val="Komentaro tekstas Diagrama"/>
    <w:basedOn w:val="Numatytasispastraiposriftas"/>
    <w:link w:val="Komentarotekstas"/>
    <w:uiPriority w:val="99"/>
    <w:semiHidden/>
    <w:rsid w:val="00671EAC"/>
    <w:rPr>
      <w:rFonts w:ascii="Times New Roman" w:eastAsia="Times New Roman" w:hAnsi="Times New Roman" w:cs="Times New Roman"/>
      <w:color w:val="00000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1EAC"/>
    <w:rPr>
      <w:b/>
      <w:bCs/>
    </w:rPr>
  </w:style>
  <w:style w:type="character" w:customStyle="1" w:styleId="KomentarotemaDiagrama">
    <w:name w:val="Komentaro tema Diagrama"/>
    <w:basedOn w:val="KomentarotekstasDiagrama"/>
    <w:link w:val="Komentarotema"/>
    <w:uiPriority w:val="99"/>
    <w:semiHidden/>
    <w:rsid w:val="00671EAC"/>
    <w:rPr>
      <w:rFonts w:ascii="Times New Roman" w:eastAsia="Times New Roman" w:hAnsi="Times New Roman" w:cs="Times New Roman"/>
      <w:b/>
      <w:bCs/>
      <w:color w:val="00000A"/>
      <w:sz w:val="20"/>
      <w:szCs w:val="20"/>
      <w:lang w:eastAsia="zh-CN"/>
    </w:rPr>
  </w:style>
  <w:style w:type="paragraph" w:styleId="Debesliotekstas">
    <w:name w:val="Balloon Text"/>
    <w:basedOn w:val="prastasis"/>
    <w:link w:val="DebesliotekstasDiagrama"/>
    <w:uiPriority w:val="99"/>
    <w:semiHidden/>
    <w:unhideWhenUsed/>
    <w:rsid w:val="00671E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EAC"/>
    <w:rPr>
      <w:rFonts w:ascii="Segoe UI" w:eastAsia="Times New Roman" w:hAnsi="Segoe UI" w:cs="Segoe UI"/>
      <w:color w:val="00000A"/>
      <w:sz w:val="18"/>
      <w:szCs w:val="18"/>
      <w:lang w:eastAsia="zh-CN"/>
    </w:rPr>
  </w:style>
  <w:style w:type="character" w:styleId="Hipersaitas">
    <w:name w:val="Hyperlink"/>
    <w:basedOn w:val="Numatytasispastraiposriftas"/>
    <w:uiPriority w:val="99"/>
    <w:unhideWhenUsed/>
    <w:rsid w:val="00180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9800">
      <w:bodyDiv w:val="1"/>
      <w:marLeft w:val="0"/>
      <w:marRight w:val="0"/>
      <w:marTop w:val="0"/>
      <w:marBottom w:val="0"/>
      <w:divBdr>
        <w:top w:val="none" w:sz="0" w:space="0" w:color="auto"/>
        <w:left w:val="none" w:sz="0" w:space="0" w:color="auto"/>
        <w:bottom w:val="none" w:sz="0" w:space="0" w:color="auto"/>
        <w:right w:val="none" w:sz="0" w:space="0" w:color="auto"/>
      </w:divBdr>
      <w:divsChild>
        <w:div w:id="713433340">
          <w:marLeft w:val="0"/>
          <w:marRight w:val="0"/>
          <w:marTop w:val="0"/>
          <w:marBottom w:val="0"/>
          <w:divBdr>
            <w:top w:val="none" w:sz="0" w:space="0" w:color="auto"/>
            <w:left w:val="none" w:sz="0" w:space="0" w:color="auto"/>
            <w:bottom w:val="none" w:sz="0" w:space="0" w:color="auto"/>
            <w:right w:val="none" w:sz="0" w:space="0" w:color="auto"/>
          </w:divBdr>
          <w:divsChild>
            <w:div w:id="1450127968">
              <w:marLeft w:val="2"/>
              <w:marRight w:val="2"/>
              <w:marTop w:val="450"/>
              <w:marBottom w:val="375"/>
              <w:divBdr>
                <w:top w:val="none" w:sz="0" w:space="0" w:color="auto"/>
                <w:left w:val="none" w:sz="0" w:space="0" w:color="auto"/>
                <w:bottom w:val="none" w:sz="0" w:space="0" w:color="auto"/>
                <w:right w:val="none" w:sz="0" w:space="0" w:color="auto"/>
              </w:divBdr>
              <w:divsChild>
                <w:div w:id="1882159485">
                  <w:marLeft w:val="0"/>
                  <w:marRight w:val="0"/>
                  <w:marTop w:val="0"/>
                  <w:marBottom w:val="0"/>
                  <w:divBdr>
                    <w:top w:val="none" w:sz="0" w:space="0" w:color="auto"/>
                    <w:left w:val="none" w:sz="0" w:space="0" w:color="auto"/>
                    <w:bottom w:val="none" w:sz="0" w:space="0" w:color="auto"/>
                    <w:right w:val="none" w:sz="0" w:space="0" w:color="auto"/>
                  </w:divBdr>
                  <w:divsChild>
                    <w:div w:id="553195955">
                      <w:marLeft w:val="0"/>
                      <w:marRight w:val="0"/>
                      <w:marTop w:val="0"/>
                      <w:marBottom w:val="0"/>
                      <w:divBdr>
                        <w:top w:val="none" w:sz="0" w:space="0" w:color="auto"/>
                        <w:left w:val="none" w:sz="0" w:space="0" w:color="auto"/>
                        <w:bottom w:val="none" w:sz="0" w:space="0" w:color="auto"/>
                        <w:right w:val="none" w:sz="0" w:space="0" w:color="auto"/>
                      </w:divBdr>
                      <w:divsChild>
                        <w:div w:id="304705578">
                          <w:marLeft w:val="0"/>
                          <w:marRight w:val="0"/>
                          <w:marTop w:val="0"/>
                          <w:marBottom w:val="0"/>
                          <w:divBdr>
                            <w:top w:val="none" w:sz="0" w:space="0" w:color="auto"/>
                            <w:left w:val="none" w:sz="0" w:space="0" w:color="auto"/>
                            <w:bottom w:val="none" w:sz="0" w:space="0" w:color="auto"/>
                            <w:right w:val="none" w:sz="0" w:space="0" w:color="auto"/>
                          </w:divBdr>
                          <w:divsChild>
                            <w:div w:id="2037075463">
                              <w:marLeft w:val="0"/>
                              <w:marRight w:val="0"/>
                              <w:marTop w:val="0"/>
                              <w:marBottom w:val="0"/>
                              <w:divBdr>
                                <w:top w:val="none" w:sz="0" w:space="0" w:color="auto"/>
                                <w:left w:val="none" w:sz="0" w:space="0" w:color="auto"/>
                                <w:bottom w:val="none" w:sz="0" w:space="0" w:color="auto"/>
                                <w:right w:val="none" w:sz="0" w:space="0" w:color="auto"/>
                              </w:divBdr>
                              <w:divsChild>
                                <w:div w:id="1166868987">
                                  <w:marLeft w:val="0"/>
                                  <w:marRight w:val="0"/>
                                  <w:marTop w:val="0"/>
                                  <w:marBottom w:val="0"/>
                                  <w:divBdr>
                                    <w:top w:val="none" w:sz="0" w:space="0" w:color="auto"/>
                                    <w:left w:val="none" w:sz="0" w:space="0" w:color="auto"/>
                                    <w:bottom w:val="none" w:sz="0" w:space="0" w:color="auto"/>
                                    <w:right w:val="none" w:sz="0" w:space="0" w:color="auto"/>
                                  </w:divBdr>
                                  <w:divsChild>
                                    <w:div w:id="1369721356">
                                      <w:marLeft w:val="0"/>
                                      <w:marRight w:val="0"/>
                                      <w:marTop w:val="0"/>
                                      <w:marBottom w:val="0"/>
                                      <w:divBdr>
                                        <w:top w:val="none" w:sz="0" w:space="0" w:color="auto"/>
                                        <w:left w:val="none" w:sz="0" w:space="0" w:color="auto"/>
                                        <w:bottom w:val="none" w:sz="0" w:space="0" w:color="auto"/>
                                        <w:right w:val="none" w:sz="0" w:space="0" w:color="auto"/>
                                      </w:divBdr>
                                      <w:divsChild>
                                        <w:div w:id="702677825">
                                          <w:marLeft w:val="0"/>
                                          <w:marRight w:val="0"/>
                                          <w:marTop w:val="0"/>
                                          <w:marBottom w:val="0"/>
                                          <w:divBdr>
                                            <w:top w:val="none" w:sz="0" w:space="0" w:color="auto"/>
                                            <w:left w:val="none" w:sz="0" w:space="0" w:color="auto"/>
                                            <w:bottom w:val="none" w:sz="0" w:space="0" w:color="auto"/>
                                            <w:right w:val="none" w:sz="0" w:space="0" w:color="auto"/>
                                          </w:divBdr>
                                          <w:divsChild>
                                            <w:div w:id="1791050704">
                                              <w:marLeft w:val="0"/>
                                              <w:marRight w:val="0"/>
                                              <w:marTop w:val="0"/>
                                              <w:marBottom w:val="0"/>
                                              <w:divBdr>
                                                <w:top w:val="none" w:sz="0" w:space="0" w:color="auto"/>
                                                <w:left w:val="none" w:sz="0" w:space="0" w:color="auto"/>
                                                <w:bottom w:val="none" w:sz="0" w:space="0" w:color="auto"/>
                                                <w:right w:val="none" w:sz="0" w:space="0" w:color="auto"/>
                                              </w:divBdr>
                                              <w:divsChild>
                                                <w:div w:id="1087074535">
                                                  <w:marLeft w:val="0"/>
                                                  <w:marRight w:val="0"/>
                                                  <w:marTop w:val="0"/>
                                                  <w:marBottom w:val="0"/>
                                                  <w:divBdr>
                                                    <w:top w:val="none" w:sz="0" w:space="0" w:color="auto"/>
                                                    <w:left w:val="none" w:sz="0" w:space="0" w:color="auto"/>
                                                    <w:bottom w:val="none" w:sz="0" w:space="0" w:color="auto"/>
                                                    <w:right w:val="none" w:sz="0" w:space="0" w:color="auto"/>
                                                  </w:divBdr>
                                                  <w:divsChild>
                                                    <w:div w:id="707728477">
                                                      <w:marLeft w:val="0"/>
                                                      <w:marRight w:val="0"/>
                                                      <w:marTop w:val="0"/>
                                                      <w:marBottom w:val="0"/>
                                                      <w:divBdr>
                                                        <w:top w:val="none" w:sz="0" w:space="0" w:color="auto"/>
                                                        <w:left w:val="none" w:sz="0" w:space="0" w:color="auto"/>
                                                        <w:bottom w:val="none" w:sz="0" w:space="0" w:color="auto"/>
                                                        <w:right w:val="none" w:sz="0" w:space="0" w:color="auto"/>
                                                      </w:divBdr>
                                                      <w:divsChild>
                                                        <w:div w:id="1387681762">
                                                          <w:marLeft w:val="0"/>
                                                          <w:marRight w:val="0"/>
                                                          <w:marTop w:val="0"/>
                                                          <w:marBottom w:val="0"/>
                                                          <w:divBdr>
                                                            <w:top w:val="none" w:sz="0" w:space="0" w:color="auto"/>
                                                            <w:left w:val="none" w:sz="0" w:space="0" w:color="auto"/>
                                                            <w:bottom w:val="none" w:sz="0" w:space="0" w:color="auto"/>
                                                            <w:right w:val="none" w:sz="0" w:space="0" w:color="auto"/>
                                                          </w:divBdr>
                                                          <w:divsChild>
                                                            <w:div w:id="1969122007">
                                                              <w:marLeft w:val="0"/>
                                                              <w:marRight w:val="0"/>
                                                              <w:marTop w:val="0"/>
                                                              <w:marBottom w:val="0"/>
                                                              <w:divBdr>
                                                                <w:top w:val="none" w:sz="0" w:space="0" w:color="auto"/>
                                                                <w:left w:val="none" w:sz="0" w:space="0" w:color="auto"/>
                                                                <w:bottom w:val="none" w:sz="0" w:space="0" w:color="auto"/>
                                                                <w:right w:val="none" w:sz="0" w:space="0" w:color="auto"/>
                                                              </w:divBdr>
                                                              <w:divsChild>
                                                                <w:div w:id="1142769925">
                                                                  <w:marLeft w:val="0"/>
                                                                  <w:marRight w:val="0"/>
                                                                  <w:marTop w:val="0"/>
                                                                  <w:marBottom w:val="465"/>
                                                                  <w:divBdr>
                                                                    <w:top w:val="none" w:sz="0" w:space="0" w:color="auto"/>
                                                                    <w:left w:val="none" w:sz="0" w:space="0" w:color="auto"/>
                                                                    <w:bottom w:val="none" w:sz="0" w:space="0" w:color="auto"/>
                                                                    <w:right w:val="none" w:sz="0" w:space="0" w:color="auto"/>
                                                                  </w:divBdr>
                                                                  <w:divsChild>
                                                                    <w:div w:id="1572932177">
                                                                      <w:marLeft w:val="0"/>
                                                                      <w:marRight w:val="0"/>
                                                                      <w:marTop w:val="0"/>
                                                                      <w:marBottom w:val="0"/>
                                                                      <w:divBdr>
                                                                        <w:top w:val="none" w:sz="0" w:space="0" w:color="auto"/>
                                                                        <w:left w:val="none" w:sz="0" w:space="0" w:color="auto"/>
                                                                        <w:bottom w:val="none" w:sz="0" w:space="0" w:color="auto"/>
                                                                        <w:right w:val="none" w:sz="0" w:space="0" w:color="auto"/>
                                                                      </w:divBdr>
                                                                      <w:divsChild>
                                                                        <w:div w:id="71507979">
                                                                          <w:marLeft w:val="0"/>
                                                                          <w:marRight w:val="0"/>
                                                                          <w:marTop w:val="0"/>
                                                                          <w:marBottom w:val="0"/>
                                                                          <w:divBdr>
                                                                            <w:top w:val="none" w:sz="0" w:space="0" w:color="auto"/>
                                                                            <w:left w:val="none" w:sz="0" w:space="0" w:color="auto"/>
                                                                            <w:bottom w:val="none" w:sz="0" w:space="0" w:color="auto"/>
                                                                            <w:right w:val="none" w:sz="0" w:space="0" w:color="auto"/>
                                                                          </w:divBdr>
                                                                          <w:divsChild>
                                                                            <w:div w:id="16956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97660">
      <w:bodyDiv w:val="1"/>
      <w:marLeft w:val="0"/>
      <w:marRight w:val="0"/>
      <w:marTop w:val="0"/>
      <w:marBottom w:val="0"/>
      <w:divBdr>
        <w:top w:val="none" w:sz="0" w:space="0" w:color="auto"/>
        <w:left w:val="none" w:sz="0" w:space="0" w:color="auto"/>
        <w:bottom w:val="none" w:sz="0" w:space="0" w:color="auto"/>
        <w:right w:val="none" w:sz="0" w:space="0" w:color="auto"/>
      </w:divBdr>
      <w:divsChild>
        <w:div w:id="1046875068">
          <w:marLeft w:val="0"/>
          <w:marRight w:val="0"/>
          <w:marTop w:val="0"/>
          <w:marBottom w:val="0"/>
          <w:divBdr>
            <w:top w:val="none" w:sz="0" w:space="0" w:color="auto"/>
            <w:left w:val="none" w:sz="0" w:space="0" w:color="auto"/>
            <w:bottom w:val="none" w:sz="0" w:space="0" w:color="auto"/>
            <w:right w:val="none" w:sz="0" w:space="0" w:color="auto"/>
          </w:divBdr>
          <w:divsChild>
            <w:div w:id="1297101409">
              <w:marLeft w:val="0"/>
              <w:marRight w:val="0"/>
              <w:marTop w:val="0"/>
              <w:marBottom w:val="0"/>
              <w:divBdr>
                <w:top w:val="none" w:sz="0" w:space="0" w:color="auto"/>
                <w:left w:val="none" w:sz="0" w:space="0" w:color="auto"/>
                <w:bottom w:val="none" w:sz="0" w:space="0" w:color="auto"/>
                <w:right w:val="none" w:sz="0" w:space="0" w:color="auto"/>
              </w:divBdr>
              <w:divsChild>
                <w:div w:id="543296578">
                  <w:marLeft w:val="0"/>
                  <w:marRight w:val="0"/>
                  <w:marTop w:val="0"/>
                  <w:marBottom w:val="0"/>
                  <w:divBdr>
                    <w:top w:val="none" w:sz="0" w:space="0" w:color="auto"/>
                    <w:left w:val="none" w:sz="0" w:space="0" w:color="auto"/>
                    <w:bottom w:val="none" w:sz="0" w:space="0" w:color="auto"/>
                    <w:right w:val="none" w:sz="0" w:space="0" w:color="auto"/>
                  </w:divBdr>
                  <w:divsChild>
                    <w:div w:id="516311686">
                      <w:marLeft w:val="0"/>
                      <w:marRight w:val="0"/>
                      <w:marTop w:val="0"/>
                      <w:marBottom w:val="0"/>
                      <w:divBdr>
                        <w:top w:val="none" w:sz="0" w:space="0" w:color="auto"/>
                        <w:left w:val="none" w:sz="0" w:space="0" w:color="auto"/>
                        <w:bottom w:val="none" w:sz="0" w:space="0" w:color="auto"/>
                        <w:right w:val="none" w:sz="0" w:space="0" w:color="auto"/>
                      </w:divBdr>
                      <w:divsChild>
                        <w:div w:id="2005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1300">
      <w:bodyDiv w:val="1"/>
      <w:marLeft w:val="0"/>
      <w:marRight w:val="0"/>
      <w:marTop w:val="0"/>
      <w:marBottom w:val="0"/>
      <w:divBdr>
        <w:top w:val="none" w:sz="0" w:space="0" w:color="auto"/>
        <w:left w:val="none" w:sz="0" w:space="0" w:color="auto"/>
        <w:bottom w:val="none" w:sz="0" w:space="0" w:color="auto"/>
        <w:right w:val="none" w:sz="0" w:space="0" w:color="auto"/>
      </w:divBdr>
      <w:divsChild>
        <w:div w:id="1847206446">
          <w:marLeft w:val="0"/>
          <w:marRight w:val="0"/>
          <w:marTop w:val="0"/>
          <w:marBottom w:val="0"/>
          <w:divBdr>
            <w:top w:val="none" w:sz="0" w:space="0" w:color="auto"/>
            <w:left w:val="none" w:sz="0" w:space="0" w:color="auto"/>
            <w:bottom w:val="none" w:sz="0" w:space="0" w:color="auto"/>
            <w:right w:val="none" w:sz="0" w:space="0" w:color="auto"/>
          </w:divBdr>
          <w:divsChild>
            <w:div w:id="1297881389">
              <w:marLeft w:val="0"/>
              <w:marRight w:val="0"/>
              <w:marTop w:val="0"/>
              <w:marBottom w:val="0"/>
              <w:divBdr>
                <w:top w:val="none" w:sz="0" w:space="0" w:color="auto"/>
                <w:left w:val="none" w:sz="0" w:space="0" w:color="auto"/>
                <w:bottom w:val="none" w:sz="0" w:space="0" w:color="auto"/>
                <w:right w:val="none" w:sz="0" w:space="0" w:color="auto"/>
              </w:divBdr>
              <w:divsChild>
                <w:div w:id="1375347423">
                  <w:marLeft w:val="0"/>
                  <w:marRight w:val="0"/>
                  <w:marTop w:val="0"/>
                  <w:marBottom w:val="0"/>
                  <w:divBdr>
                    <w:top w:val="none" w:sz="0" w:space="0" w:color="auto"/>
                    <w:left w:val="none" w:sz="0" w:space="0" w:color="auto"/>
                    <w:bottom w:val="none" w:sz="0" w:space="0" w:color="auto"/>
                    <w:right w:val="none" w:sz="0" w:space="0" w:color="auto"/>
                  </w:divBdr>
                  <w:divsChild>
                    <w:div w:id="199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037D-CB26-455D-B884-51E842A5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7326</Words>
  <Characters>4176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Tumasonis</dc:creator>
  <cp:keywords/>
  <dc:description/>
  <cp:lastModifiedBy>Darius Vasaris</cp:lastModifiedBy>
  <cp:revision>2</cp:revision>
  <dcterms:created xsi:type="dcterms:W3CDTF">2018-05-24T10:26:00Z</dcterms:created>
  <dcterms:modified xsi:type="dcterms:W3CDTF">2018-05-24T10:26:00Z</dcterms:modified>
</cp:coreProperties>
</file>