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87B79" w14:textId="77777777" w:rsidR="0091290E" w:rsidRPr="00637B48" w:rsidRDefault="0091290E" w:rsidP="00637B48">
      <w:pPr>
        <w:spacing w:after="0" w:line="240" w:lineRule="auto"/>
        <w:ind w:left="10773"/>
        <w:jc w:val="both"/>
        <w:rPr>
          <w:rFonts w:ascii="Times New Roman" w:hAnsi="Times New Roman" w:cs="Times New Roman"/>
          <w:bCs/>
          <w:noProof/>
          <w:sz w:val="24"/>
          <w:szCs w:val="24"/>
        </w:rPr>
      </w:pPr>
      <w:r w:rsidRPr="00637B48">
        <w:rPr>
          <w:rFonts w:ascii="Times New Roman" w:hAnsi="Times New Roman" w:cs="Times New Roman"/>
          <w:bCs/>
          <w:noProof/>
          <w:sz w:val="24"/>
          <w:szCs w:val="24"/>
        </w:rPr>
        <w:t>Valstybės kontrolės</w:t>
      </w:r>
    </w:p>
    <w:p w14:paraId="56464E60" w14:textId="4DB5683B" w:rsidR="0091290E" w:rsidRPr="00637B48" w:rsidRDefault="004409DE" w:rsidP="00637B48">
      <w:pPr>
        <w:spacing w:after="0" w:line="240" w:lineRule="auto"/>
        <w:ind w:left="10773"/>
        <w:jc w:val="both"/>
        <w:rPr>
          <w:rFonts w:ascii="Times New Roman" w:hAnsi="Times New Roman" w:cs="Times New Roman"/>
          <w:bCs/>
          <w:noProof/>
          <w:sz w:val="24"/>
          <w:szCs w:val="24"/>
        </w:rPr>
      </w:pPr>
      <w:r w:rsidRPr="00637B48">
        <w:rPr>
          <w:rFonts w:ascii="Times New Roman" w:hAnsi="Times New Roman" w:cs="Times New Roman"/>
          <w:bCs/>
          <w:noProof/>
          <w:sz w:val="24"/>
          <w:szCs w:val="24"/>
        </w:rPr>
        <w:t xml:space="preserve">2019-06- rašto Nr. </w:t>
      </w:r>
      <w:r w:rsidR="00F86B34">
        <w:rPr>
          <w:rFonts w:ascii="Times New Roman" w:hAnsi="Times New Roman" w:cs="Times New Roman"/>
          <w:bCs/>
          <w:noProof/>
          <w:sz w:val="24"/>
          <w:szCs w:val="24"/>
        </w:rPr>
        <w:t>S-(</w:t>
      </w:r>
      <w:bookmarkStart w:id="0" w:name="_GoBack"/>
      <w:bookmarkEnd w:id="0"/>
      <w:r w:rsidRPr="00637B48">
        <w:rPr>
          <w:rFonts w:ascii="Times New Roman" w:hAnsi="Times New Roman" w:cs="Times New Roman"/>
          <w:bCs/>
          <w:noProof/>
          <w:sz w:val="24"/>
          <w:szCs w:val="24"/>
        </w:rPr>
        <w:t xml:space="preserve"> </w:t>
      </w:r>
    </w:p>
    <w:p w14:paraId="6A481ED8" w14:textId="071F7103" w:rsidR="00D34891" w:rsidRPr="00637B48" w:rsidRDefault="0091290E" w:rsidP="00637B48">
      <w:pPr>
        <w:spacing w:after="0" w:line="240" w:lineRule="auto"/>
        <w:ind w:left="10773"/>
        <w:jc w:val="both"/>
        <w:rPr>
          <w:rFonts w:ascii="Times New Roman" w:hAnsi="Times New Roman" w:cs="Times New Roman"/>
          <w:bCs/>
          <w:noProof/>
          <w:sz w:val="24"/>
          <w:szCs w:val="24"/>
        </w:rPr>
      </w:pPr>
      <w:r w:rsidRPr="00637B48">
        <w:rPr>
          <w:rFonts w:ascii="Times New Roman" w:hAnsi="Times New Roman" w:cs="Times New Roman"/>
          <w:bCs/>
          <w:noProof/>
          <w:sz w:val="24"/>
          <w:szCs w:val="24"/>
        </w:rPr>
        <w:t xml:space="preserve">1 </w:t>
      </w:r>
      <w:r w:rsidR="004409DE" w:rsidRPr="00637B48">
        <w:rPr>
          <w:rFonts w:ascii="Times New Roman" w:hAnsi="Times New Roman" w:cs="Times New Roman"/>
          <w:bCs/>
          <w:noProof/>
          <w:sz w:val="24"/>
          <w:szCs w:val="24"/>
        </w:rPr>
        <w:t>priedas</w:t>
      </w:r>
    </w:p>
    <w:p w14:paraId="66ADF551" w14:textId="0C11805D" w:rsidR="004409DE" w:rsidRPr="00637B48" w:rsidRDefault="0047751B" w:rsidP="004C1187">
      <w:pPr>
        <w:pStyle w:val="Puslapioinaostekstas"/>
        <w:spacing w:before="120" w:after="0" w:line="360" w:lineRule="auto"/>
        <w:ind w:firstLine="709"/>
        <w:jc w:val="center"/>
        <w:rPr>
          <w:rFonts w:ascii="Times New Roman" w:eastAsiaTheme="minorEastAsia" w:hAnsi="Times New Roman"/>
          <w:b/>
          <w:bCs/>
          <w:noProof/>
          <w:color w:val="000000"/>
        </w:rPr>
      </w:pPr>
      <w:r w:rsidRPr="00637B48">
        <w:rPr>
          <w:rFonts w:ascii="Times New Roman" w:eastAsiaTheme="minorEastAsia" w:hAnsi="Times New Roman"/>
          <w:b/>
          <w:bCs/>
          <w:noProof/>
          <w:color w:val="000000"/>
        </w:rPr>
        <w:t>VĖLUOJA</w:t>
      </w:r>
      <w:r w:rsidR="007F79B8" w:rsidRPr="00637B48">
        <w:rPr>
          <w:rFonts w:ascii="Times New Roman" w:eastAsiaTheme="minorEastAsia" w:hAnsi="Times New Roman"/>
          <w:b/>
          <w:bCs/>
          <w:noProof/>
          <w:color w:val="000000"/>
        </w:rPr>
        <w:t>M</w:t>
      </w:r>
      <w:r w:rsidRPr="00637B48">
        <w:rPr>
          <w:rFonts w:ascii="Times New Roman" w:eastAsiaTheme="minorEastAsia" w:hAnsi="Times New Roman"/>
          <w:b/>
          <w:bCs/>
          <w:noProof/>
          <w:color w:val="000000"/>
        </w:rPr>
        <w:t>OS ĮGYVENDINTI REKOMENDACIJOS</w:t>
      </w:r>
    </w:p>
    <w:tbl>
      <w:tblPr>
        <w:tblStyle w:val="Lentelstinklelis"/>
        <w:tblW w:w="14034" w:type="dxa"/>
        <w:jc w:val="center"/>
        <w:tblLook w:val="04A0" w:firstRow="1" w:lastRow="0" w:firstColumn="1" w:lastColumn="0" w:noHBand="0" w:noVBand="1"/>
      </w:tblPr>
      <w:tblGrid>
        <w:gridCol w:w="495"/>
        <w:gridCol w:w="8418"/>
        <w:gridCol w:w="1572"/>
        <w:gridCol w:w="3549"/>
      </w:tblGrid>
      <w:tr w:rsidR="004409DE" w:rsidRPr="00637B48" w14:paraId="788B6B77" w14:textId="77777777" w:rsidTr="00637B48">
        <w:trPr>
          <w:jc w:val="center"/>
        </w:trPr>
        <w:tc>
          <w:tcPr>
            <w:tcW w:w="495" w:type="dxa"/>
            <w:vAlign w:val="center"/>
          </w:tcPr>
          <w:p w14:paraId="3AA91E7C" w14:textId="77777777" w:rsidR="004409DE" w:rsidRPr="00637B48" w:rsidRDefault="004409DE" w:rsidP="00FE14A0">
            <w:pPr>
              <w:jc w:val="both"/>
              <w:rPr>
                <w:rFonts w:eastAsiaTheme="minorEastAsia"/>
                <w:b/>
                <w:noProof/>
                <w:color w:val="000000"/>
                <w:spacing w:val="-4"/>
              </w:rPr>
            </w:pPr>
            <w:r w:rsidRPr="00637B48">
              <w:rPr>
                <w:rFonts w:eastAsiaTheme="minorEastAsia"/>
                <w:b/>
                <w:noProof/>
                <w:color w:val="000000"/>
                <w:spacing w:val="-4"/>
              </w:rPr>
              <w:t>Eil. Nr.</w:t>
            </w:r>
          </w:p>
        </w:tc>
        <w:tc>
          <w:tcPr>
            <w:tcW w:w="8418" w:type="dxa"/>
            <w:vAlign w:val="center"/>
          </w:tcPr>
          <w:p w14:paraId="050350C5" w14:textId="77777777" w:rsidR="004409DE" w:rsidRPr="00637B48" w:rsidRDefault="004409DE" w:rsidP="00FE14A0">
            <w:pPr>
              <w:jc w:val="center"/>
              <w:rPr>
                <w:rFonts w:eastAsiaTheme="minorEastAsia"/>
                <w:b/>
                <w:noProof/>
                <w:color w:val="000000"/>
                <w:spacing w:val="-4"/>
              </w:rPr>
            </w:pPr>
            <w:r w:rsidRPr="00637B48">
              <w:rPr>
                <w:rFonts w:eastAsiaTheme="minorEastAsia"/>
                <w:b/>
                <w:noProof/>
                <w:color w:val="000000"/>
                <w:spacing w:val="-4"/>
              </w:rPr>
              <w:t>Rekomendacija</w:t>
            </w:r>
          </w:p>
          <w:p w14:paraId="6B3E413F" w14:textId="77777777" w:rsidR="004409DE" w:rsidRPr="00637B48" w:rsidRDefault="004409DE" w:rsidP="00FE14A0">
            <w:pPr>
              <w:jc w:val="center"/>
              <w:rPr>
                <w:rFonts w:eastAsiaTheme="minorEastAsia"/>
                <w:b/>
                <w:noProof/>
                <w:color w:val="000000"/>
                <w:spacing w:val="-4"/>
              </w:rPr>
            </w:pPr>
            <w:r w:rsidRPr="00637B48">
              <w:rPr>
                <w:rFonts w:eastAsiaTheme="minorEastAsia"/>
                <w:b/>
                <w:noProof/>
                <w:color w:val="000000"/>
                <w:spacing w:val="-4"/>
              </w:rPr>
              <w:t>(rekomendacijos priemonė)</w:t>
            </w:r>
          </w:p>
        </w:tc>
        <w:tc>
          <w:tcPr>
            <w:tcW w:w="1572" w:type="dxa"/>
            <w:vAlign w:val="center"/>
          </w:tcPr>
          <w:p w14:paraId="4E5A0A1E" w14:textId="77777777" w:rsidR="004409DE" w:rsidRPr="00637B48" w:rsidRDefault="004409DE" w:rsidP="00FE14A0">
            <w:pPr>
              <w:jc w:val="center"/>
              <w:rPr>
                <w:rFonts w:eastAsiaTheme="minorEastAsia"/>
                <w:b/>
                <w:noProof/>
                <w:color w:val="000000"/>
                <w:spacing w:val="-4"/>
              </w:rPr>
            </w:pPr>
            <w:r w:rsidRPr="00637B48">
              <w:rPr>
                <w:rFonts w:eastAsiaTheme="minorEastAsia"/>
                <w:b/>
                <w:noProof/>
                <w:color w:val="000000"/>
                <w:spacing w:val="-4"/>
              </w:rPr>
              <w:t>Rekomendacijos įgyvendinimo terminas</w:t>
            </w:r>
          </w:p>
        </w:tc>
        <w:tc>
          <w:tcPr>
            <w:tcW w:w="3549" w:type="dxa"/>
            <w:vAlign w:val="center"/>
          </w:tcPr>
          <w:p w14:paraId="6F430107" w14:textId="310CE2DC" w:rsidR="0047751B" w:rsidRPr="00637B48" w:rsidRDefault="004409DE" w:rsidP="00637B48">
            <w:pPr>
              <w:jc w:val="center"/>
              <w:rPr>
                <w:rFonts w:eastAsiaTheme="minorEastAsia"/>
                <w:b/>
                <w:noProof/>
                <w:color w:val="000000"/>
                <w:spacing w:val="-4"/>
              </w:rPr>
            </w:pPr>
            <w:r w:rsidRPr="00637B48">
              <w:rPr>
                <w:rFonts w:eastAsiaTheme="minorEastAsia"/>
                <w:b/>
                <w:noProof/>
                <w:color w:val="000000"/>
                <w:spacing w:val="-4"/>
              </w:rPr>
              <w:t xml:space="preserve">Veiksmai, kurių bus imtasi </w:t>
            </w:r>
            <w:r w:rsidR="00637B48" w:rsidRPr="00637B48">
              <w:rPr>
                <w:rFonts w:eastAsiaTheme="minorEastAsia"/>
                <w:b/>
                <w:noProof/>
                <w:color w:val="000000"/>
                <w:spacing w:val="-4"/>
              </w:rPr>
              <w:t xml:space="preserve">įgyvendinti </w:t>
            </w:r>
            <w:r w:rsidRPr="00637B48">
              <w:rPr>
                <w:rFonts w:eastAsiaTheme="minorEastAsia"/>
                <w:b/>
                <w:noProof/>
                <w:color w:val="000000"/>
                <w:spacing w:val="-4"/>
              </w:rPr>
              <w:t>vėluojam</w:t>
            </w:r>
            <w:r w:rsidR="00637B48" w:rsidRPr="00637B48">
              <w:rPr>
                <w:rFonts w:eastAsiaTheme="minorEastAsia"/>
                <w:b/>
                <w:noProof/>
                <w:color w:val="000000"/>
                <w:spacing w:val="-4"/>
              </w:rPr>
              <w:t>a</w:t>
            </w:r>
            <w:r w:rsidRPr="00637B48">
              <w:rPr>
                <w:rFonts w:eastAsiaTheme="minorEastAsia"/>
                <w:b/>
                <w:noProof/>
                <w:color w:val="000000"/>
                <w:spacing w:val="-4"/>
              </w:rPr>
              <w:t>s rekomendacij</w:t>
            </w:r>
            <w:r w:rsidR="00637B48" w:rsidRPr="00637B48">
              <w:rPr>
                <w:rFonts w:eastAsiaTheme="minorEastAsia"/>
                <w:b/>
                <w:noProof/>
                <w:color w:val="000000"/>
                <w:spacing w:val="-4"/>
              </w:rPr>
              <w:t>a</w:t>
            </w:r>
            <w:r w:rsidRPr="00637B48">
              <w:rPr>
                <w:rFonts w:eastAsiaTheme="minorEastAsia"/>
                <w:b/>
                <w:noProof/>
                <w:color w:val="000000"/>
                <w:spacing w:val="-4"/>
              </w:rPr>
              <w:t>s</w:t>
            </w:r>
          </w:p>
        </w:tc>
      </w:tr>
      <w:tr w:rsidR="00B2692F" w:rsidRPr="00637B48" w14:paraId="5374F988" w14:textId="77777777" w:rsidTr="00637B48">
        <w:trPr>
          <w:trHeight w:val="343"/>
          <w:jc w:val="center"/>
        </w:trPr>
        <w:tc>
          <w:tcPr>
            <w:tcW w:w="14034" w:type="dxa"/>
            <w:gridSpan w:val="4"/>
          </w:tcPr>
          <w:p w14:paraId="793A7A5B" w14:textId="4D8B17C2" w:rsidR="00B2692F" w:rsidRPr="00637B48" w:rsidRDefault="008E13B8" w:rsidP="00260112">
            <w:pPr>
              <w:jc w:val="both"/>
              <w:rPr>
                <w:rFonts w:eastAsiaTheme="minorEastAsia"/>
                <w:bCs/>
                <w:noProof/>
                <w:spacing w:val="-4"/>
              </w:rPr>
            </w:pPr>
            <w:r w:rsidRPr="00637B48">
              <w:rPr>
                <w:rFonts w:eastAsiaTheme="minorEastAsia"/>
                <w:bCs/>
                <w:noProof/>
                <w:spacing w:val="-4"/>
              </w:rPr>
              <w:t>Valstybinio audito ataskaita „</w:t>
            </w:r>
            <w:r w:rsidR="00B2692F" w:rsidRPr="00637B48">
              <w:rPr>
                <w:rFonts w:eastAsiaTheme="minorEastAsia"/>
                <w:bCs/>
                <w:noProof/>
                <w:spacing w:val="-4"/>
              </w:rPr>
              <w:t>Programinio biudžeto sistema: strateginių veiklos planų sudarymas ir įgyvendinimo stebėsena</w:t>
            </w:r>
            <w:r w:rsidRPr="00637B48">
              <w:rPr>
                <w:rFonts w:eastAsiaTheme="minorEastAsia"/>
                <w:bCs/>
                <w:noProof/>
                <w:spacing w:val="-4"/>
              </w:rPr>
              <w:t>“, 2016-10-10 Nr. VA-P-60-2-17</w:t>
            </w:r>
          </w:p>
        </w:tc>
      </w:tr>
      <w:tr w:rsidR="004409DE" w:rsidRPr="00637B48" w14:paraId="48AAE05C" w14:textId="77777777" w:rsidTr="00637B48">
        <w:trPr>
          <w:jc w:val="center"/>
        </w:trPr>
        <w:tc>
          <w:tcPr>
            <w:tcW w:w="495" w:type="dxa"/>
          </w:tcPr>
          <w:p w14:paraId="17A6B33D" w14:textId="2C715101" w:rsidR="00FE14A0" w:rsidRPr="00637B48" w:rsidRDefault="00FE14A0" w:rsidP="00FE14A0">
            <w:pPr>
              <w:jc w:val="both"/>
              <w:rPr>
                <w:rFonts w:eastAsiaTheme="minorEastAsia"/>
                <w:noProof/>
                <w:color w:val="000000"/>
                <w:spacing w:val="-4"/>
              </w:rPr>
            </w:pPr>
            <w:r w:rsidRPr="00637B48">
              <w:rPr>
                <w:rFonts w:eastAsiaTheme="minorEastAsia"/>
                <w:noProof/>
                <w:color w:val="000000"/>
                <w:spacing w:val="-4"/>
              </w:rPr>
              <w:t>1.</w:t>
            </w:r>
          </w:p>
        </w:tc>
        <w:tc>
          <w:tcPr>
            <w:tcW w:w="8418" w:type="dxa"/>
          </w:tcPr>
          <w:p w14:paraId="338BA4F7" w14:textId="2DFC027C" w:rsidR="00BA52C0" w:rsidRPr="00637B48" w:rsidRDefault="00F51ABE" w:rsidP="00BA52C0">
            <w:pPr>
              <w:jc w:val="both"/>
              <w:rPr>
                <w:rFonts w:eastAsiaTheme="minorEastAsia"/>
                <w:noProof/>
                <w:color w:val="000000"/>
                <w:spacing w:val="-4"/>
              </w:rPr>
            </w:pPr>
            <w:r w:rsidRPr="00637B48">
              <w:rPr>
                <w:rFonts w:eastAsiaTheme="minorEastAsia"/>
                <w:noProof/>
                <w:color w:val="000000"/>
                <w:spacing w:val="-4"/>
              </w:rPr>
              <w:t xml:space="preserve">1 rekomendacija. </w:t>
            </w:r>
            <w:r w:rsidR="00260112" w:rsidRPr="00637B48">
              <w:rPr>
                <w:rFonts w:eastAsiaTheme="minorEastAsia"/>
                <w:noProof/>
                <w:color w:val="000000"/>
                <w:spacing w:val="-4"/>
              </w:rPr>
              <w:t>Siekiant užtikrinti, kad strateginiuose veiklos planuose atsispindėtų kituose planavimo dokumentuose numatyti esminiai siekiai, nustatyti, kurie planavimo dokumentų elementai privalo būti perkelti į strateginius veiklos planus, o kurie turi būti tik susiję</w:t>
            </w:r>
            <w:r w:rsidR="008B0B33" w:rsidRPr="00637B48">
              <w:rPr>
                <w:rFonts w:eastAsiaTheme="minorEastAsia"/>
                <w:noProof/>
                <w:color w:val="000000"/>
                <w:spacing w:val="-4"/>
              </w:rPr>
              <w:t>.</w:t>
            </w:r>
          </w:p>
          <w:p w14:paraId="1BE7EAEE" w14:textId="77777777" w:rsidR="008B0B33" w:rsidRPr="00637B48" w:rsidRDefault="008B0B33" w:rsidP="00BA52C0">
            <w:pPr>
              <w:jc w:val="both"/>
              <w:rPr>
                <w:rFonts w:eastAsiaTheme="minorEastAsia"/>
                <w:noProof/>
                <w:spacing w:val="-4"/>
              </w:rPr>
            </w:pPr>
            <w:r w:rsidRPr="00637B48">
              <w:rPr>
                <w:rFonts w:eastAsiaTheme="minorEastAsia"/>
                <w:noProof/>
                <w:spacing w:val="-4"/>
              </w:rPr>
              <w:t>Priemonės:</w:t>
            </w:r>
          </w:p>
          <w:p w14:paraId="703A83DB" w14:textId="7391B330" w:rsidR="00BA52C0" w:rsidRPr="00637B48" w:rsidRDefault="008B0B33" w:rsidP="00BA52C0">
            <w:pPr>
              <w:jc w:val="both"/>
              <w:rPr>
                <w:rFonts w:eastAsiaTheme="minorEastAsia"/>
                <w:noProof/>
                <w:spacing w:val="-4"/>
              </w:rPr>
            </w:pPr>
            <w:r w:rsidRPr="00637B48">
              <w:rPr>
                <w:rFonts w:eastAsiaTheme="minorEastAsia"/>
                <w:noProof/>
                <w:spacing w:val="-4"/>
              </w:rPr>
              <w:t xml:space="preserve">1. </w:t>
            </w:r>
            <w:r w:rsidR="00260112" w:rsidRPr="00637B48">
              <w:rPr>
                <w:rFonts w:eastAsiaTheme="minorEastAsia"/>
                <w:noProof/>
                <w:spacing w:val="-4"/>
              </w:rPr>
              <w:t>Parengti rekomendacijas ministerijoms dėl strateginio planavimo dokumentų tarpusavio sąsajų nustatymo.</w:t>
            </w:r>
          </w:p>
          <w:p w14:paraId="7136DA23" w14:textId="5667D98D" w:rsidR="00117BCF" w:rsidRPr="00637B48" w:rsidRDefault="008B0B33">
            <w:pPr>
              <w:jc w:val="both"/>
              <w:rPr>
                <w:rFonts w:eastAsiaTheme="minorEastAsia"/>
                <w:noProof/>
                <w:spacing w:val="-4"/>
              </w:rPr>
            </w:pPr>
            <w:r w:rsidRPr="00637B48">
              <w:rPr>
                <w:rFonts w:eastAsiaTheme="minorEastAsia"/>
                <w:noProof/>
                <w:spacing w:val="-4"/>
              </w:rPr>
              <w:t xml:space="preserve">2. </w:t>
            </w:r>
            <w:r w:rsidR="00260112" w:rsidRPr="00637B48">
              <w:rPr>
                <w:rFonts w:eastAsiaTheme="minorEastAsia"/>
                <w:noProof/>
                <w:spacing w:val="-4"/>
              </w:rPr>
              <w:t>Patikslinti Strateginio planavimo metodiką ir nustatyti, kurie strateginio planavimo dokumentų elementai turi būti perkelti į strateginius veiklos planus, o kurie turi būti tik susiejami loginiais-priežastiniais ryšiais.</w:t>
            </w:r>
          </w:p>
        </w:tc>
        <w:tc>
          <w:tcPr>
            <w:tcW w:w="1572" w:type="dxa"/>
          </w:tcPr>
          <w:p w14:paraId="4B8D25EA" w14:textId="57EF1824" w:rsidR="008B0B33" w:rsidRPr="00637B48" w:rsidRDefault="00760EE4" w:rsidP="00F51ABE">
            <w:pPr>
              <w:jc w:val="center"/>
              <w:rPr>
                <w:rFonts w:eastAsiaTheme="minorEastAsia"/>
                <w:noProof/>
                <w:color w:val="000000"/>
                <w:spacing w:val="-4"/>
              </w:rPr>
            </w:pPr>
            <w:r w:rsidRPr="00637B48">
              <w:rPr>
                <w:rFonts w:eastAsiaTheme="minorEastAsia"/>
                <w:noProof/>
                <w:color w:val="000000"/>
                <w:spacing w:val="-4"/>
              </w:rPr>
              <w:t>2017-09-01</w:t>
            </w:r>
          </w:p>
          <w:p w14:paraId="3A857938" w14:textId="77777777" w:rsidR="008B0B33" w:rsidRPr="00637B48" w:rsidRDefault="008B0B33" w:rsidP="00F51ABE">
            <w:pPr>
              <w:jc w:val="center"/>
              <w:rPr>
                <w:rFonts w:eastAsiaTheme="minorEastAsia"/>
                <w:noProof/>
                <w:color w:val="000000"/>
                <w:spacing w:val="-4"/>
              </w:rPr>
            </w:pPr>
          </w:p>
          <w:p w14:paraId="5BE15D90" w14:textId="77777777" w:rsidR="008B0B33" w:rsidRPr="00637B48" w:rsidRDefault="008B0B33" w:rsidP="00F51ABE">
            <w:pPr>
              <w:jc w:val="center"/>
              <w:rPr>
                <w:rFonts w:eastAsiaTheme="minorEastAsia"/>
                <w:noProof/>
                <w:color w:val="000000"/>
                <w:spacing w:val="-4"/>
              </w:rPr>
            </w:pPr>
          </w:p>
          <w:p w14:paraId="7F8E7647" w14:textId="77777777" w:rsidR="008B0B33" w:rsidRPr="00637B48" w:rsidRDefault="008B0B33" w:rsidP="00F51ABE">
            <w:pPr>
              <w:jc w:val="center"/>
              <w:rPr>
                <w:rFonts w:eastAsiaTheme="minorEastAsia"/>
                <w:noProof/>
                <w:color w:val="000000"/>
                <w:spacing w:val="-4"/>
              </w:rPr>
            </w:pPr>
          </w:p>
          <w:p w14:paraId="34E1C8BA" w14:textId="77777777" w:rsidR="008B0B33" w:rsidRPr="00637B48" w:rsidRDefault="008B0B33" w:rsidP="00F51ABE">
            <w:pPr>
              <w:jc w:val="center"/>
              <w:rPr>
                <w:rFonts w:eastAsiaTheme="minorEastAsia"/>
                <w:noProof/>
                <w:color w:val="000000"/>
                <w:spacing w:val="-4"/>
              </w:rPr>
            </w:pPr>
          </w:p>
          <w:p w14:paraId="605B6CA5" w14:textId="0A7DF413" w:rsidR="008B0B33" w:rsidRPr="00637B48" w:rsidRDefault="008B0B33" w:rsidP="008B0B33">
            <w:pPr>
              <w:jc w:val="center"/>
              <w:rPr>
                <w:rFonts w:eastAsiaTheme="minorEastAsia"/>
                <w:noProof/>
                <w:color w:val="000000"/>
                <w:spacing w:val="-4"/>
              </w:rPr>
            </w:pPr>
          </w:p>
        </w:tc>
        <w:tc>
          <w:tcPr>
            <w:tcW w:w="3549" w:type="dxa"/>
          </w:tcPr>
          <w:p w14:paraId="2E63E091" w14:textId="729907B3" w:rsidR="004409DE" w:rsidRPr="00637B48" w:rsidRDefault="004409DE" w:rsidP="00260112">
            <w:pPr>
              <w:jc w:val="both"/>
              <w:rPr>
                <w:rFonts w:eastAsiaTheme="minorEastAsia"/>
                <w:noProof/>
                <w:spacing w:val="-4"/>
              </w:rPr>
            </w:pPr>
          </w:p>
        </w:tc>
      </w:tr>
      <w:tr w:rsidR="004409DE" w:rsidRPr="00637B48" w14:paraId="5174F560" w14:textId="77777777" w:rsidTr="00637B48">
        <w:trPr>
          <w:jc w:val="center"/>
        </w:trPr>
        <w:tc>
          <w:tcPr>
            <w:tcW w:w="495" w:type="dxa"/>
          </w:tcPr>
          <w:p w14:paraId="5E6E0069" w14:textId="123D5155" w:rsidR="004409DE" w:rsidRPr="00637B48" w:rsidRDefault="00FE14A0" w:rsidP="00FE14A0">
            <w:pPr>
              <w:jc w:val="both"/>
              <w:rPr>
                <w:rFonts w:eastAsiaTheme="minorEastAsia"/>
                <w:noProof/>
                <w:color w:val="000000"/>
                <w:spacing w:val="-4"/>
              </w:rPr>
            </w:pPr>
            <w:r w:rsidRPr="00637B48">
              <w:rPr>
                <w:rFonts w:eastAsiaTheme="minorEastAsia"/>
                <w:noProof/>
                <w:color w:val="000000"/>
                <w:spacing w:val="-4"/>
              </w:rPr>
              <w:t>2.</w:t>
            </w:r>
          </w:p>
        </w:tc>
        <w:tc>
          <w:tcPr>
            <w:tcW w:w="8418" w:type="dxa"/>
          </w:tcPr>
          <w:p w14:paraId="00E9A7F6" w14:textId="36DAA71A" w:rsidR="004409DE" w:rsidRPr="00637B48" w:rsidRDefault="00F51ABE" w:rsidP="00B2692F">
            <w:pPr>
              <w:jc w:val="both"/>
              <w:rPr>
                <w:rFonts w:eastAsiaTheme="minorEastAsia"/>
                <w:noProof/>
                <w:color w:val="000000"/>
                <w:spacing w:val="-4"/>
              </w:rPr>
            </w:pPr>
            <w:r w:rsidRPr="00637B48">
              <w:rPr>
                <w:rFonts w:eastAsiaTheme="minorEastAsia"/>
                <w:noProof/>
                <w:color w:val="000000"/>
                <w:spacing w:val="-4"/>
              </w:rPr>
              <w:t xml:space="preserve">2 rekomendacija. </w:t>
            </w:r>
            <w:r w:rsidR="00260112" w:rsidRPr="00637B48">
              <w:rPr>
                <w:rFonts w:eastAsiaTheme="minorEastAsia"/>
                <w:noProof/>
                <w:color w:val="000000"/>
                <w:spacing w:val="-4"/>
              </w:rPr>
              <w:t>Optimizuoti strateginio planavimo dokumentų skaičių, siekiant planavimą, stebėseną ir vertinimą padaryti aiškesnius</w:t>
            </w:r>
            <w:r w:rsidR="008B0B33" w:rsidRPr="00637B48">
              <w:rPr>
                <w:rFonts w:eastAsiaTheme="minorEastAsia"/>
                <w:noProof/>
                <w:color w:val="000000"/>
                <w:spacing w:val="-4"/>
              </w:rPr>
              <w:t>.</w:t>
            </w:r>
          </w:p>
          <w:p w14:paraId="3045F7C2" w14:textId="77777777" w:rsidR="008B0B33" w:rsidRPr="00637B48" w:rsidRDefault="008B0B33" w:rsidP="00BA52C0">
            <w:pPr>
              <w:jc w:val="both"/>
              <w:rPr>
                <w:rFonts w:eastAsiaTheme="minorEastAsia"/>
                <w:noProof/>
                <w:color w:val="000000"/>
                <w:spacing w:val="-4"/>
              </w:rPr>
            </w:pPr>
            <w:r w:rsidRPr="00637B48">
              <w:rPr>
                <w:rFonts w:eastAsiaTheme="minorEastAsia"/>
                <w:noProof/>
                <w:color w:val="000000"/>
                <w:spacing w:val="-4"/>
              </w:rPr>
              <w:t>Priemonės:</w:t>
            </w:r>
          </w:p>
          <w:p w14:paraId="584D938E" w14:textId="4675FE65" w:rsidR="00260112" w:rsidRPr="00637B48" w:rsidRDefault="008B0B33" w:rsidP="00BA52C0">
            <w:pPr>
              <w:jc w:val="both"/>
              <w:rPr>
                <w:rFonts w:eastAsiaTheme="minorEastAsia"/>
                <w:noProof/>
                <w:color w:val="000000"/>
                <w:spacing w:val="-4"/>
              </w:rPr>
            </w:pPr>
            <w:r w:rsidRPr="00637B48">
              <w:rPr>
                <w:rFonts w:eastAsiaTheme="minorEastAsia"/>
                <w:noProof/>
                <w:color w:val="000000"/>
                <w:spacing w:val="-4"/>
              </w:rPr>
              <w:t xml:space="preserve">1. </w:t>
            </w:r>
            <w:r w:rsidR="00260112" w:rsidRPr="00637B48">
              <w:rPr>
                <w:rFonts w:eastAsiaTheme="minorEastAsia"/>
                <w:noProof/>
                <w:color w:val="000000"/>
                <w:spacing w:val="-4"/>
              </w:rPr>
              <w:t xml:space="preserve">Patvirtinti strateginio planavimo sistemos optimizavimo gaires. </w:t>
            </w:r>
          </w:p>
          <w:p w14:paraId="33229803" w14:textId="059A7306" w:rsidR="00260112" w:rsidRPr="00637B48" w:rsidRDefault="008B0B33" w:rsidP="00BA52C0">
            <w:pPr>
              <w:jc w:val="both"/>
              <w:rPr>
                <w:rFonts w:eastAsiaTheme="minorEastAsia"/>
                <w:noProof/>
                <w:color w:val="000000"/>
                <w:spacing w:val="-4"/>
              </w:rPr>
            </w:pPr>
            <w:r w:rsidRPr="00637B48">
              <w:rPr>
                <w:rFonts w:eastAsiaTheme="minorEastAsia"/>
                <w:noProof/>
                <w:color w:val="000000"/>
                <w:spacing w:val="-4"/>
              </w:rPr>
              <w:t xml:space="preserve">2. </w:t>
            </w:r>
            <w:r w:rsidR="00260112" w:rsidRPr="00637B48">
              <w:rPr>
                <w:rFonts w:eastAsiaTheme="minorEastAsia"/>
                <w:noProof/>
                <w:color w:val="000000"/>
                <w:spacing w:val="-4"/>
              </w:rPr>
              <w:t xml:space="preserve">Atnaujinti ministrams priskirtų valdymo sričių sąrašą. </w:t>
            </w:r>
          </w:p>
          <w:p w14:paraId="3D12B7ED" w14:textId="6911E8F0" w:rsidR="005C2BD3" w:rsidRPr="00637B48" w:rsidRDefault="008B0B33">
            <w:pPr>
              <w:jc w:val="both"/>
              <w:rPr>
                <w:rFonts w:eastAsiaTheme="minorEastAsia"/>
                <w:noProof/>
                <w:color w:val="000000"/>
                <w:spacing w:val="-4"/>
              </w:rPr>
            </w:pPr>
            <w:r w:rsidRPr="00637B48">
              <w:rPr>
                <w:rFonts w:eastAsiaTheme="minorEastAsia"/>
                <w:noProof/>
                <w:color w:val="000000"/>
                <w:spacing w:val="-4"/>
              </w:rPr>
              <w:t xml:space="preserve">3. </w:t>
            </w:r>
            <w:r w:rsidR="00260112" w:rsidRPr="00637B48">
              <w:rPr>
                <w:rFonts w:eastAsiaTheme="minorEastAsia"/>
                <w:noProof/>
                <w:color w:val="000000"/>
                <w:spacing w:val="-4"/>
              </w:rPr>
              <w:t>Atlikti sisteminę strateginio planavimo dokumentų peržiūrą, siekiant įvertinti kaip yra įgyvendinimas principas, kad plėtros programos yra rengiamos visai valdymo sričiai, ir kaip galiojantys strateginio planavimo dokumentai atitinka 2014–2020 metų nacionalinės pažangos programos nuostatas.</w:t>
            </w:r>
          </w:p>
        </w:tc>
        <w:tc>
          <w:tcPr>
            <w:tcW w:w="1572" w:type="dxa"/>
          </w:tcPr>
          <w:p w14:paraId="0A8B27DA" w14:textId="4B036EA4" w:rsidR="008B0B33" w:rsidRPr="00637B48" w:rsidRDefault="00760EE4" w:rsidP="00B2692F">
            <w:pPr>
              <w:jc w:val="center"/>
              <w:rPr>
                <w:rFonts w:eastAsiaTheme="minorEastAsia"/>
                <w:noProof/>
                <w:color w:val="000000"/>
                <w:spacing w:val="-4"/>
              </w:rPr>
            </w:pPr>
            <w:r w:rsidRPr="00637B48">
              <w:rPr>
                <w:rFonts w:eastAsiaTheme="minorEastAsia"/>
                <w:noProof/>
                <w:color w:val="000000"/>
                <w:spacing w:val="-4"/>
              </w:rPr>
              <w:t>2017-04-01</w:t>
            </w:r>
          </w:p>
          <w:p w14:paraId="53ECEE48" w14:textId="77777777" w:rsidR="008B0B33" w:rsidRPr="00637B48" w:rsidRDefault="008B0B33" w:rsidP="00B2692F">
            <w:pPr>
              <w:jc w:val="center"/>
              <w:rPr>
                <w:rFonts w:eastAsiaTheme="minorEastAsia"/>
                <w:noProof/>
                <w:color w:val="000000"/>
                <w:spacing w:val="-4"/>
              </w:rPr>
            </w:pPr>
          </w:p>
          <w:p w14:paraId="5B5E5347" w14:textId="77777777" w:rsidR="008B0B33" w:rsidRPr="00637B48" w:rsidRDefault="008B0B33" w:rsidP="00B2692F">
            <w:pPr>
              <w:jc w:val="center"/>
              <w:rPr>
                <w:rFonts w:eastAsiaTheme="minorEastAsia"/>
                <w:noProof/>
                <w:color w:val="000000"/>
                <w:spacing w:val="-4"/>
              </w:rPr>
            </w:pPr>
          </w:p>
          <w:p w14:paraId="798C846F" w14:textId="5DB85D46" w:rsidR="008B0B33" w:rsidRPr="00637B48" w:rsidRDefault="008B0B33" w:rsidP="00B2692F">
            <w:pPr>
              <w:jc w:val="center"/>
              <w:rPr>
                <w:rFonts w:eastAsiaTheme="minorEastAsia"/>
                <w:noProof/>
                <w:spacing w:val="-4"/>
              </w:rPr>
            </w:pPr>
          </w:p>
        </w:tc>
        <w:tc>
          <w:tcPr>
            <w:tcW w:w="3549" w:type="dxa"/>
          </w:tcPr>
          <w:p w14:paraId="77C4BC33" w14:textId="73C955FC" w:rsidR="004409DE" w:rsidRPr="00637B48" w:rsidRDefault="004409DE" w:rsidP="00FE14A0">
            <w:pPr>
              <w:jc w:val="both"/>
              <w:rPr>
                <w:rFonts w:eastAsiaTheme="minorEastAsia"/>
                <w:noProof/>
                <w:color w:val="000000"/>
                <w:spacing w:val="-4"/>
              </w:rPr>
            </w:pPr>
          </w:p>
        </w:tc>
      </w:tr>
      <w:tr w:rsidR="00117BCF" w:rsidRPr="00637B48" w14:paraId="72220778" w14:textId="77777777" w:rsidTr="00637B48">
        <w:trPr>
          <w:jc w:val="center"/>
        </w:trPr>
        <w:tc>
          <w:tcPr>
            <w:tcW w:w="495" w:type="dxa"/>
          </w:tcPr>
          <w:p w14:paraId="0162B3A8" w14:textId="049021AC" w:rsidR="00117BCF" w:rsidRPr="00637B48" w:rsidRDefault="00117BCF" w:rsidP="00117BCF">
            <w:pPr>
              <w:jc w:val="both"/>
              <w:rPr>
                <w:rFonts w:eastAsiaTheme="minorEastAsia"/>
                <w:noProof/>
                <w:color w:val="000000"/>
                <w:spacing w:val="-4"/>
              </w:rPr>
            </w:pPr>
            <w:r w:rsidRPr="00637B48">
              <w:rPr>
                <w:rFonts w:eastAsiaTheme="minorEastAsia"/>
                <w:noProof/>
                <w:color w:val="000000"/>
                <w:spacing w:val="-4"/>
              </w:rPr>
              <w:t>3.</w:t>
            </w:r>
          </w:p>
        </w:tc>
        <w:tc>
          <w:tcPr>
            <w:tcW w:w="8418" w:type="dxa"/>
          </w:tcPr>
          <w:p w14:paraId="28687889" w14:textId="77777777" w:rsidR="00117BCF" w:rsidRPr="00637B48" w:rsidRDefault="00117BCF" w:rsidP="00117BCF">
            <w:pPr>
              <w:jc w:val="both"/>
              <w:rPr>
                <w:rFonts w:eastAsiaTheme="minorEastAsia"/>
                <w:noProof/>
                <w:color w:val="000000"/>
                <w:spacing w:val="-4"/>
              </w:rPr>
            </w:pPr>
            <w:r w:rsidRPr="00637B48">
              <w:rPr>
                <w:rFonts w:eastAsiaTheme="minorEastAsia"/>
                <w:noProof/>
                <w:color w:val="000000"/>
                <w:spacing w:val="-4"/>
              </w:rPr>
              <w:t>4 rekomendacija. Atsižvelgiant į tai, kad veiklos rezultatų vertinimo kriterijų skaičius turėtų būti ne didesnis nei gerai suformuluotų pagrindinių kriterijų rinkinys ministerijai, parengti priemones, kurios užtikrintų vertinimo kriterijų skaičiaus ministerijų strateginiuose veiklos planuose optimizavimą.</w:t>
            </w:r>
          </w:p>
          <w:p w14:paraId="4AE4EA53" w14:textId="77777777" w:rsidR="00117BCF" w:rsidRPr="00637B48" w:rsidRDefault="00117BCF" w:rsidP="00117BCF">
            <w:pPr>
              <w:jc w:val="both"/>
              <w:rPr>
                <w:rFonts w:eastAsiaTheme="minorEastAsia"/>
                <w:noProof/>
                <w:color w:val="000000"/>
                <w:spacing w:val="-4"/>
              </w:rPr>
            </w:pPr>
            <w:r w:rsidRPr="00637B48">
              <w:rPr>
                <w:rFonts w:eastAsiaTheme="minorEastAsia"/>
                <w:noProof/>
                <w:color w:val="000000"/>
                <w:spacing w:val="-4"/>
              </w:rPr>
              <w:t>Priemonės:</w:t>
            </w:r>
          </w:p>
          <w:p w14:paraId="4AFE41BA" w14:textId="77777777" w:rsidR="00117BCF" w:rsidRPr="00637B48" w:rsidRDefault="00117BCF" w:rsidP="00117BCF">
            <w:pPr>
              <w:jc w:val="both"/>
              <w:rPr>
                <w:rFonts w:eastAsiaTheme="minorEastAsia"/>
                <w:noProof/>
                <w:color w:val="000000"/>
                <w:spacing w:val="-4"/>
              </w:rPr>
            </w:pPr>
            <w:r w:rsidRPr="00637B48">
              <w:rPr>
                <w:rFonts w:eastAsiaTheme="minorEastAsia"/>
                <w:noProof/>
                <w:color w:val="000000"/>
                <w:spacing w:val="-4"/>
              </w:rPr>
              <w:t>1. Suorganizuoti apskrito stalo diskusiją su ministerijų strateginio planavimo ekspertais dėl vertinimo kriterijų skaičiaus mažinimo krypčių.</w:t>
            </w:r>
          </w:p>
          <w:p w14:paraId="172C52AA" w14:textId="77777777" w:rsidR="00117BCF" w:rsidRPr="00637B48" w:rsidRDefault="00117BCF" w:rsidP="00117BCF">
            <w:pPr>
              <w:jc w:val="both"/>
              <w:rPr>
                <w:rFonts w:eastAsiaTheme="minorEastAsia"/>
                <w:noProof/>
                <w:color w:val="000000"/>
                <w:spacing w:val="-4"/>
              </w:rPr>
            </w:pPr>
            <w:r w:rsidRPr="00637B48">
              <w:rPr>
                <w:rFonts w:eastAsiaTheme="minorEastAsia"/>
                <w:noProof/>
                <w:color w:val="000000"/>
                <w:spacing w:val="-4"/>
              </w:rPr>
              <w:t>2. Inicijuoti vertinimo kriterijų sistemų peržiūras ministerijose ir suformuoti individualias užduotis ministerijoms sumažinti vertinimo kriterijų skaičių. 2016-11-10</w:t>
            </w:r>
          </w:p>
          <w:p w14:paraId="4292E556" w14:textId="6F221C8C" w:rsidR="005C2BD3" w:rsidRPr="00637B48" w:rsidRDefault="00117BCF">
            <w:pPr>
              <w:jc w:val="both"/>
              <w:rPr>
                <w:rFonts w:eastAsiaTheme="minorEastAsia"/>
                <w:noProof/>
                <w:color w:val="000000"/>
                <w:spacing w:val="-4"/>
              </w:rPr>
            </w:pPr>
            <w:r w:rsidRPr="00637B48">
              <w:rPr>
                <w:rFonts w:eastAsiaTheme="minorEastAsia"/>
                <w:noProof/>
                <w:color w:val="000000"/>
                <w:spacing w:val="-4"/>
              </w:rPr>
              <w:t>3. Inicijuoti ir atlikti reguliarią vertinimo kriterijų skaičiaus kitimo ministerijose stebėseną Vyriausybės lygiu.</w:t>
            </w:r>
            <w:r w:rsidR="005C2BD3" w:rsidRPr="00637B48">
              <w:rPr>
                <w:rFonts w:eastAsiaTheme="minorEastAsia"/>
                <w:noProof/>
                <w:color w:val="000000"/>
                <w:spacing w:val="-4"/>
              </w:rPr>
              <w:t xml:space="preserve">   </w:t>
            </w:r>
          </w:p>
        </w:tc>
        <w:tc>
          <w:tcPr>
            <w:tcW w:w="1572" w:type="dxa"/>
          </w:tcPr>
          <w:p w14:paraId="3F063BC8" w14:textId="77777777" w:rsidR="00117BCF" w:rsidRPr="00637B48" w:rsidRDefault="00117BCF" w:rsidP="00117BCF">
            <w:pPr>
              <w:jc w:val="center"/>
              <w:rPr>
                <w:rFonts w:eastAsiaTheme="minorEastAsia"/>
                <w:noProof/>
                <w:color w:val="000000"/>
                <w:spacing w:val="-4"/>
              </w:rPr>
            </w:pPr>
            <w:r w:rsidRPr="00637B48">
              <w:rPr>
                <w:rFonts w:eastAsiaTheme="minorEastAsia"/>
                <w:noProof/>
                <w:color w:val="000000"/>
                <w:spacing w:val="-4"/>
              </w:rPr>
              <w:t>2017-01-31</w:t>
            </w:r>
          </w:p>
          <w:p w14:paraId="1874DBA7" w14:textId="77777777" w:rsidR="00117BCF" w:rsidRPr="00637B48" w:rsidRDefault="00117BCF" w:rsidP="00117BCF">
            <w:pPr>
              <w:jc w:val="center"/>
              <w:rPr>
                <w:rFonts w:eastAsiaTheme="minorEastAsia"/>
                <w:noProof/>
                <w:color w:val="000000"/>
                <w:spacing w:val="-4"/>
              </w:rPr>
            </w:pPr>
          </w:p>
        </w:tc>
        <w:tc>
          <w:tcPr>
            <w:tcW w:w="3549" w:type="dxa"/>
          </w:tcPr>
          <w:p w14:paraId="561B5894" w14:textId="77777777" w:rsidR="00117BCF" w:rsidRPr="00637B48" w:rsidRDefault="00117BCF" w:rsidP="00117BCF">
            <w:pPr>
              <w:jc w:val="both"/>
              <w:rPr>
                <w:rFonts w:eastAsiaTheme="minorEastAsia"/>
                <w:noProof/>
                <w:color w:val="000000"/>
                <w:spacing w:val="-4"/>
              </w:rPr>
            </w:pPr>
          </w:p>
        </w:tc>
      </w:tr>
      <w:tr w:rsidR="005C2BD3" w:rsidRPr="00637B48" w14:paraId="1F499BA3" w14:textId="77777777" w:rsidTr="00637B48">
        <w:trPr>
          <w:jc w:val="center"/>
        </w:trPr>
        <w:tc>
          <w:tcPr>
            <w:tcW w:w="14034" w:type="dxa"/>
            <w:gridSpan w:val="4"/>
          </w:tcPr>
          <w:p w14:paraId="691D2CB9" w14:textId="6F63A868" w:rsidR="005C2BD3" w:rsidRPr="00637B48" w:rsidRDefault="005C2BD3" w:rsidP="00117BCF">
            <w:pPr>
              <w:jc w:val="both"/>
              <w:rPr>
                <w:rFonts w:eastAsiaTheme="minorEastAsia"/>
                <w:bCs/>
                <w:noProof/>
                <w:color w:val="000000"/>
                <w:spacing w:val="-4"/>
              </w:rPr>
            </w:pPr>
            <w:r w:rsidRPr="00637B48">
              <w:rPr>
                <w:rFonts w:eastAsiaTheme="minorEastAsia"/>
                <w:bCs/>
                <w:noProof/>
                <w:color w:val="000000"/>
                <w:spacing w:val="-4"/>
              </w:rPr>
              <w:t>Valstybinio audito ataskaita „Valstybės investicijų 2015 metais programos valdymas“, 2016-10-10 Nr. VA-P-60-9-16</w:t>
            </w:r>
          </w:p>
        </w:tc>
      </w:tr>
      <w:tr w:rsidR="005C2BD3" w:rsidRPr="00637B48" w14:paraId="5E790F52" w14:textId="77777777" w:rsidTr="00637B48">
        <w:trPr>
          <w:jc w:val="center"/>
        </w:trPr>
        <w:tc>
          <w:tcPr>
            <w:tcW w:w="495" w:type="dxa"/>
          </w:tcPr>
          <w:p w14:paraId="0F1AF304" w14:textId="5D40A2ED"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t>4.</w:t>
            </w:r>
          </w:p>
        </w:tc>
        <w:tc>
          <w:tcPr>
            <w:tcW w:w="8418" w:type="dxa"/>
          </w:tcPr>
          <w:p w14:paraId="29C3B2B6" w14:textId="77777777"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t>1 rekomendacija. Keisti visų valstybės investicijų (tarp jų ir investicijų, kurios numatytos Valstybės investicijų programoje) planavimo ir atsiskaitymo tvarką, integruojant strateginio ir investicijų planavimo bei atsiskaitymo procesus:</w:t>
            </w:r>
          </w:p>
          <w:p w14:paraId="53ABC3A9" w14:textId="77777777"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t>Priemonės:</w:t>
            </w:r>
          </w:p>
          <w:p w14:paraId="7F7E1889" w14:textId="77777777"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t xml:space="preserve">1. Kartu su Finansų ministerija parengti investicijų planavimo ir atsiskaitymo procesų integravimo į strateginio planavimo ir atsiskaitymo sistemą modelį. </w:t>
            </w:r>
          </w:p>
          <w:p w14:paraId="2380406C" w14:textId="77777777"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lastRenderedPageBreak/>
              <w:t>2. Kartu su Finansų ministerija parengti teisės aktų pakeitimo projektus investicijų planavimo ir atsiskaitymo procesų integravimo į strateginio planavimo ir atsiskaitymo sistemą modeliui įgyvendinti.</w:t>
            </w:r>
          </w:p>
          <w:p w14:paraId="0A34446E" w14:textId="77777777" w:rsidR="005C2BD3" w:rsidRPr="00637B48" w:rsidRDefault="005C2BD3" w:rsidP="005C2BD3">
            <w:pPr>
              <w:jc w:val="both"/>
              <w:rPr>
                <w:rFonts w:eastAsiaTheme="minorEastAsia"/>
                <w:noProof/>
                <w:color w:val="000000"/>
                <w:spacing w:val="-4"/>
              </w:rPr>
            </w:pPr>
            <w:r w:rsidRPr="00637B48">
              <w:rPr>
                <w:rFonts w:eastAsiaTheme="minorEastAsia"/>
                <w:noProof/>
                <w:color w:val="000000"/>
                <w:spacing w:val="-4"/>
              </w:rPr>
              <w:t>3. Kartu su Finansų ministerija išnagrinėti ir pateikti Vyriausybei siūlymus dėl Lietuvos Respublikos Vyriausybės nutarimo „Dėl Valstybės investicijų programoje kapitalo investicijų paskirstymo“ tęstinumo tikslingumo.</w:t>
            </w:r>
          </w:p>
          <w:p w14:paraId="17E993EE" w14:textId="0AAE0D24" w:rsidR="005C2BD3" w:rsidRPr="00637B48" w:rsidRDefault="005C2BD3">
            <w:pPr>
              <w:jc w:val="both"/>
              <w:rPr>
                <w:rFonts w:eastAsiaTheme="minorEastAsia"/>
                <w:noProof/>
                <w:color w:val="000000"/>
                <w:spacing w:val="-4"/>
              </w:rPr>
            </w:pPr>
            <w:r w:rsidRPr="00637B48">
              <w:rPr>
                <w:rFonts w:eastAsiaTheme="minorEastAsia"/>
                <w:noProof/>
                <w:color w:val="000000"/>
                <w:spacing w:val="-4"/>
              </w:rPr>
              <w:t>4. Kartu su Finansų ministerija išnagrinėti ES šalių praktiką ir parengti pasiūlymus Vyriausybei dėl informacijos apie kapitalo investicijas teikimo Valstybės biudžeto ir savivaldybių biudžetų finansinių rodiklių įstatyme.</w:t>
            </w:r>
          </w:p>
        </w:tc>
        <w:tc>
          <w:tcPr>
            <w:tcW w:w="1572" w:type="dxa"/>
          </w:tcPr>
          <w:p w14:paraId="21F44E93" w14:textId="77777777" w:rsidR="005C2BD3" w:rsidRPr="00637B48" w:rsidRDefault="005C2BD3" w:rsidP="005C2BD3">
            <w:pPr>
              <w:jc w:val="center"/>
              <w:rPr>
                <w:rFonts w:eastAsiaTheme="minorEastAsia"/>
                <w:noProof/>
                <w:color w:val="000000"/>
                <w:spacing w:val="-4"/>
              </w:rPr>
            </w:pPr>
            <w:r w:rsidRPr="00637B48">
              <w:rPr>
                <w:rFonts w:eastAsiaTheme="minorEastAsia"/>
                <w:noProof/>
                <w:color w:val="000000"/>
                <w:spacing w:val="-4"/>
              </w:rPr>
              <w:lastRenderedPageBreak/>
              <w:t>2018-03-31</w:t>
            </w:r>
          </w:p>
          <w:p w14:paraId="76DCE321" w14:textId="77777777" w:rsidR="005C2BD3" w:rsidRPr="00637B48" w:rsidRDefault="005C2BD3" w:rsidP="005C2BD3">
            <w:pPr>
              <w:jc w:val="center"/>
              <w:rPr>
                <w:rFonts w:eastAsiaTheme="minorEastAsia"/>
                <w:noProof/>
                <w:color w:val="000000"/>
                <w:spacing w:val="-4"/>
              </w:rPr>
            </w:pPr>
          </w:p>
        </w:tc>
        <w:tc>
          <w:tcPr>
            <w:tcW w:w="3549" w:type="dxa"/>
          </w:tcPr>
          <w:p w14:paraId="130268BE" w14:textId="77777777" w:rsidR="005C2BD3" w:rsidRPr="00637B48" w:rsidRDefault="005C2BD3" w:rsidP="005C2BD3">
            <w:pPr>
              <w:jc w:val="both"/>
              <w:rPr>
                <w:rFonts w:eastAsiaTheme="minorEastAsia"/>
                <w:noProof/>
                <w:color w:val="000000"/>
                <w:spacing w:val="-4"/>
              </w:rPr>
            </w:pPr>
          </w:p>
        </w:tc>
      </w:tr>
      <w:tr w:rsidR="005C2BD3" w:rsidRPr="00637B48" w14:paraId="44BA7D67" w14:textId="77777777" w:rsidTr="00637B48">
        <w:trPr>
          <w:jc w:val="center"/>
        </w:trPr>
        <w:tc>
          <w:tcPr>
            <w:tcW w:w="14034" w:type="dxa"/>
            <w:gridSpan w:val="4"/>
          </w:tcPr>
          <w:p w14:paraId="5822A901" w14:textId="347C3E71" w:rsidR="005C2BD3" w:rsidRPr="00637B48" w:rsidRDefault="005C2BD3" w:rsidP="005C2BD3">
            <w:pPr>
              <w:jc w:val="both"/>
              <w:rPr>
                <w:rFonts w:eastAsiaTheme="minorEastAsia"/>
                <w:noProof/>
                <w:color w:val="000000"/>
                <w:spacing w:val="-4"/>
              </w:rPr>
            </w:pPr>
            <w:r w:rsidRPr="00637B48">
              <w:rPr>
                <w:rFonts w:eastAsiaTheme="minorEastAsia"/>
                <w:bCs/>
                <w:noProof/>
                <w:color w:val="000000"/>
                <w:spacing w:val="-4"/>
              </w:rPr>
              <w:t>Valstybinio audito ataskaita „Valstybės biudžeto lėšų apsauga įstatymų nustatytais atvejais atlyginus kitų asmenų padarytą žalą“, 2016-09-19 Nr. VA-P-40-1-12</w:t>
            </w:r>
          </w:p>
        </w:tc>
      </w:tr>
      <w:tr w:rsidR="005C2BD3" w:rsidRPr="00637B48" w14:paraId="7BC79C9F" w14:textId="77777777" w:rsidTr="00637B48">
        <w:trPr>
          <w:jc w:val="center"/>
        </w:trPr>
        <w:tc>
          <w:tcPr>
            <w:tcW w:w="495" w:type="dxa"/>
          </w:tcPr>
          <w:p w14:paraId="369C40ED" w14:textId="5D7EB9AD" w:rsidR="005C2BD3" w:rsidRPr="00637B48" w:rsidRDefault="005C2BD3" w:rsidP="005C2BD3">
            <w:pPr>
              <w:jc w:val="both"/>
              <w:rPr>
                <w:rFonts w:eastAsiaTheme="minorEastAsia"/>
                <w:noProof/>
                <w:color w:val="000000"/>
                <w:spacing w:val="-4"/>
              </w:rPr>
            </w:pPr>
            <w:r w:rsidRPr="00637B48">
              <w:rPr>
                <w:rFonts w:eastAsiaTheme="minorEastAsia"/>
                <w:bCs/>
                <w:noProof/>
                <w:color w:val="000000"/>
                <w:spacing w:val="-4"/>
              </w:rPr>
              <w:t>5.</w:t>
            </w:r>
          </w:p>
        </w:tc>
        <w:tc>
          <w:tcPr>
            <w:tcW w:w="8418" w:type="dxa"/>
          </w:tcPr>
          <w:p w14:paraId="13AFE116"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1 rekomendacija. Tam, kad būtų tinkamai paskirstytos atstovavimo valstybei, įgyvendinant regreso teisę, funkcijos ir užtikrintas rezultatyvus skolų išieškojimas kuo mažiausiomis sąnaudomis, reikėtų priimti sprendimus:</w:t>
            </w:r>
          </w:p>
          <w:p w14:paraId="5D5AC42F"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1.1. dėl atstovavimo valstybei vykdant išieškojimus pagal vykdomuosius dokumentus funkcijų perskirstymo.</w:t>
            </w:r>
          </w:p>
          <w:p w14:paraId="2D17B994"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 xml:space="preserve">Priemonė: </w:t>
            </w:r>
          </w:p>
          <w:p w14:paraId="67EED34E" w14:textId="0F6B93F4"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Priimti sprendimus dėl Išieškojimų valstybės naudai koncepcijos nuostatų (kad išieškojimus valstybės naudai vykdytų vienas administratorius) įgyvendinimo regreso atveju.</w:t>
            </w:r>
          </w:p>
          <w:p w14:paraId="502D46C1"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 xml:space="preserve">1.2. dėl Teisingumo ministerijai Lietuvos Respublikos smurtiniais nusikaltimais padarytos žalos kompensavimo įstatymu pavestų funkcijų reglamentavimo patikslinimo ar šių funkcijų perdavimo kitoms institucijoms. </w:t>
            </w:r>
          </w:p>
          <w:p w14:paraId="740037C5"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 xml:space="preserve">Priemonė:  </w:t>
            </w:r>
          </w:p>
          <w:p w14:paraId="23739C37" w14:textId="523ACF4E" w:rsidR="00953882" w:rsidRPr="00637B48" w:rsidRDefault="005C2BD3">
            <w:pPr>
              <w:jc w:val="both"/>
              <w:rPr>
                <w:rFonts w:eastAsiaTheme="minorEastAsia"/>
                <w:noProof/>
                <w:color w:val="000000"/>
                <w:spacing w:val="-4"/>
              </w:rPr>
            </w:pPr>
            <w:r w:rsidRPr="00637B48">
              <w:rPr>
                <w:rFonts w:eastAsiaTheme="minorEastAsia"/>
                <w:bCs/>
                <w:noProof/>
                <w:color w:val="000000"/>
                <w:spacing w:val="-4"/>
              </w:rPr>
              <w:t>Teisingumo ministerija išanalizuos teisės aktus dėl smurtiniais nusikaltimais padarytos žalos kompensavimo bei kitų ministerijai priskirtų ir vykdomų funkcijų, susijusių su ministerijos formuojamos politikos įgyvendinimu ir valstybės finansų valdymu, bus surengti suinteresuotų institucijų pasitarimai ir bus sprendžiamas klausimas dėl ministerijai Smurtiniais nusikaltimais padarytos žalos kompensavimo įstatymu pavestų funkcijų reglamentavimo patikslinimo ar šių funkcijų galimo perdavimo kitoms institucijoms.</w:t>
            </w:r>
          </w:p>
        </w:tc>
        <w:tc>
          <w:tcPr>
            <w:tcW w:w="1572" w:type="dxa"/>
          </w:tcPr>
          <w:p w14:paraId="253CB4D6" w14:textId="14D9D871" w:rsidR="005C2BD3" w:rsidRPr="00637B48" w:rsidRDefault="005C2BD3" w:rsidP="005C2BD3">
            <w:pPr>
              <w:jc w:val="center"/>
              <w:rPr>
                <w:rFonts w:eastAsiaTheme="minorEastAsia"/>
                <w:noProof/>
                <w:color w:val="000000"/>
                <w:spacing w:val="-4"/>
              </w:rPr>
            </w:pPr>
            <w:r w:rsidRPr="00637B48">
              <w:rPr>
                <w:rFonts w:eastAsiaTheme="minorEastAsia"/>
                <w:bCs/>
                <w:noProof/>
                <w:color w:val="000000"/>
                <w:spacing w:val="-4"/>
              </w:rPr>
              <w:t>2017-06-30</w:t>
            </w:r>
          </w:p>
        </w:tc>
        <w:tc>
          <w:tcPr>
            <w:tcW w:w="3549" w:type="dxa"/>
          </w:tcPr>
          <w:p w14:paraId="24F23AD4" w14:textId="77777777" w:rsidR="005C2BD3" w:rsidRPr="00637B48" w:rsidRDefault="005C2BD3" w:rsidP="005C2BD3">
            <w:pPr>
              <w:jc w:val="both"/>
              <w:rPr>
                <w:rFonts w:eastAsiaTheme="minorEastAsia"/>
                <w:noProof/>
                <w:color w:val="000000"/>
                <w:spacing w:val="-4"/>
              </w:rPr>
            </w:pPr>
          </w:p>
        </w:tc>
      </w:tr>
      <w:tr w:rsidR="00953882" w:rsidRPr="00637B48" w14:paraId="57FC11A9" w14:textId="77777777" w:rsidTr="00637B48">
        <w:trPr>
          <w:jc w:val="center"/>
        </w:trPr>
        <w:tc>
          <w:tcPr>
            <w:tcW w:w="14034" w:type="dxa"/>
            <w:gridSpan w:val="4"/>
          </w:tcPr>
          <w:p w14:paraId="05E5B276" w14:textId="7DDA8EA6" w:rsidR="00953882" w:rsidRPr="00637B48" w:rsidRDefault="00953882" w:rsidP="005C2BD3">
            <w:pPr>
              <w:jc w:val="both"/>
              <w:rPr>
                <w:rFonts w:eastAsiaTheme="minorEastAsia"/>
                <w:noProof/>
                <w:color w:val="000000"/>
                <w:spacing w:val="-4"/>
              </w:rPr>
            </w:pPr>
            <w:r w:rsidRPr="00637B48">
              <w:rPr>
                <w:rFonts w:eastAsiaTheme="minorEastAsia"/>
                <w:bCs/>
                <w:noProof/>
                <w:color w:val="000000"/>
                <w:spacing w:val="-4"/>
              </w:rPr>
              <w:t>Valstybinio audito ataskaita „Teisėkūros procesas“, 2018-03-16 Nr. VA-2018-P-40-6-2</w:t>
            </w:r>
          </w:p>
        </w:tc>
      </w:tr>
      <w:tr w:rsidR="005C2BD3" w:rsidRPr="00637B48" w14:paraId="122497AF" w14:textId="77777777" w:rsidTr="00637B48">
        <w:trPr>
          <w:trHeight w:val="1619"/>
          <w:jc w:val="center"/>
        </w:trPr>
        <w:tc>
          <w:tcPr>
            <w:tcW w:w="495" w:type="dxa"/>
          </w:tcPr>
          <w:p w14:paraId="3AF0A7D6" w14:textId="553B95EA" w:rsidR="005C2BD3" w:rsidRPr="00637B48" w:rsidRDefault="00953882" w:rsidP="005C2BD3">
            <w:pPr>
              <w:jc w:val="both"/>
              <w:rPr>
                <w:rFonts w:eastAsiaTheme="minorEastAsia"/>
                <w:noProof/>
                <w:color w:val="000000"/>
                <w:spacing w:val="-4"/>
              </w:rPr>
            </w:pPr>
            <w:r w:rsidRPr="00637B48">
              <w:rPr>
                <w:rFonts w:eastAsiaTheme="minorEastAsia"/>
                <w:bCs/>
                <w:noProof/>
                <w:color w:val="000000"/>
                <w:spacing w:val="-4"/>
              </w:rPr>
              <w:t>6</w:t>
            </w:r>
            <w:r w:rsidR="005C2BD3" w:rsidRPr="00637B48">
              <w:rPr>
                <w:rFonts w:eastAsiaTheme="minorEastAsia"/>
                <w:bCs/>
                <w:noProof/>
                <w:color w:val="000000"/>
                <w:spacing w:val="-4"/>
              </w:rPr>
              <w:t>.</w:t>
            </w:r>
          </w:p>
        </w:tc>
        <w:tc>
          <w:tcPr>
            <w:tcW w:w="8418" w:type="dxa"/>
          </w:tcPr>
          <w:p w14:paraId="44454833"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1 rekomendacija. Siekiant nuosekliai ir kryptingai tobulinti esamą teisinį reguliavimą ir efektyviai šiam tikslui naudoti žmogiškuosius išteklius, pertvarkyti teisinio reguliavimo stebėsenos sistemą taip, kad būtų sutelktos skirtingų institucijų kompetencijos teisinio reguliavimo vertinimui atlikti ir nuo fragmentiškų teisinio reguliavimo vertinimų būtų pereita prie aktualių ir problemiškų jo sričių sisteminių vertinimų.</w:t>
            </w:r>
          </w:p>
          <w:p w14:paraId="30EFA252" w14:textId="77777777" w:rsidR="005C2BD3" w:rsidRPr="00637B48" w:rsidRDefault="005C2BD3" w:rsidP="005C2BD3">
            <w:pPr>
              <w:jc w:val="both"/>
              <w:rPr>
                <w:rFonts w:eastAsiaTheme="minorEastAsia"/>
                <w:bCs/>
                <w:noProof/>
                <w:color w:val="000000"/>
                <w:spacing w:val="-4"/>
              </w:rPr>
            </w:pPr>
            <w:r w:rsidRPr="00637B48">
              <w:rPr>
                <w:rFonts w:eastAsiaTheme="minorEastAsia"/>
                <w:bCs/>
                <w:noProof/>
                <w:color w:val="000000"/>
                <w:spacing w:val="-4"/>
              </w:rPr>
              <w:t xml:space="preserve">Priemonė: </w:t>
            </w:r>
          </w:p>
          <w:p w14:paraId="3D63801A" w14:textId="352FCA23" w:rsidR="00D37440" w:rsidRPr="00637B48" w:rsidRDefault="005C2BD3">
            <w:pPr>
              <w:jc w:val="both"/>
              <w:rPr>
                <w:rFonts w:eastAsiaTheme="minorEastAsia"/>
                <w:noProof/>
                <w:color w:val="000000"/>
                <w:spacing w:val="-4"/>
              </w:rPr>
            </w:pPr>
            <w:r w:rsidRPr="00637B48">
              <w:rPr>
                <w:rFonts w:eastAsiaTheme="minorEastAsia"/>
                <w:bCs/>
                <w:noProof/>
                <w:color w:val="000000"/>
                <w:spacing w:val="-4"/>
              </w:rPr>
              <w:t>2. Parengti galiojančio atskirų teisinio reguliavimo sričių atitikties geresnio reguliavimo principams vertinimo metodiką ir atlikti bandomąjį vertinimą.</w:t>
            </w:r>
          </w:p>
        </w:tc>
        <w:tc>
          <w:tcPr>
            <w:tcW w:w="1572" w:type="dxa"/>
          </w:tcPr>
          <w:p w14:paraId="63193C95" w14:textId="30B33624" w:rsidR="005C2BD3" w:rsidRPr="00637B48" w:rsidRDefault="00953882" w:rsidP="005C2BD3">
            <w:pPr>
              <w:jc w:val="center"/>
              <w:rPr>
                <w:rFonts w:eastAsiaTheme="minorEastAsia"/>
                <w:bCs/>
                <w:noProof/>
                <w:color w:val="000000"/>
                <w:spacing w:val="-4"/>
              </w:rPr>
            </w:pPr>
            <w:r w:rsidRPr="00637B48">
              <w:rPr>
                <w:rFonts w:eastAsiaTheme="minorEastAsia"/>
                <w:bCs/>
                <w:noProof/>
                <w:color w:val="000000"/>
                <w:spacing w:val="-4"/>
              </w:rPr>
              <w:t>2019-04-30</w:t>
            </w:r>
          </w:p>
          <w:p w14:paraId="2D364A9A" w14:textId="1F12CAA8" w:rsidR="005C2BD3" w:rsidRPr="00637B48" w:rsidRDefault="005C2BD3" w:rsidP="005C2BD3">
            <w:pPr>
              <w:jc w:val="center"/>
              <w:rPr>
                <w:rFonts w:eastAsiaTheme="minorEastAsia"/>
                <w:noProof/>
                <w:color w:val="000000"/>
                <w:spacing w:val="-4"/>
              </w:rPr>
            </w:pPr>
          </w:p>
        </w:tc>
        <w:tc>
          <w:tcPr>
            <w:tcW w:w="3549" w:type="dxa"/>
          </w:tcPr>
          <w:p w14:paraId="16D8B1AA" w14:textId="77777777" w:rsidR="005C2BD3" w:rsidRPr="00637B48" w:rsidRDefault="005C2BD3" w:rsidP="005C2BD3">
            <w:pPr>
              <w:jc w:val="both"/>
              <w:rPr>
                <w:rFonts w:eastAsiaTheme="minorEastAsia"/>
                <w:noProof/>
                <w:color w:val="000000"/>
                <w:spacing w:val="-4"/>
              </w:rPr>
            </w:pPr>
          </w:p>
        </w:tc>
      </w:tr>
      <w:tr w:rsidR="00953882" w:rsidRPr="00637B48" w14:paraId="68A9E4C8" w14:textId="77777777" w:rsidTr="00637B48">
        <w:trPr>
          <w:jc w:val="center"/>
        </w:trPr>
        <w:tc>
          <w:tcPr>
            <w:tcW w:w="14034" w:type="dxa"/>
            <w:gridSpan w:val="4"/>
          </w:tcPr>
          <w:p w14:paraId="4FB4DDB2" w14:textId="16CA3061" w:rsidR="00953882" w:rsidRPr="00637B48" w:rsidRDefault="00953882" w:rsidP="005C2BD3">
            <w:pPr>
              <w:jc w:val="both"/>
              <w:rPr>
                <w:rFonts w:eastAsiaTheme="minorEastAsia"/>
                <w:noProof/>
                <w:color w:val="000000"/>
                <w:spacing w:val="-4"/>
              </w:rPr>
            </w:pPr>
            <w:r w:rsidRPr="00637B48">
              <w:rPr>
                <w:rFonts w:eastAsiaTheme="minorEastAsia"/>
                <w:bCs/>
                <w:noProof/>
                <w:color w:val="000000"/>
                <w:spacing w:val="-4"/>
              </w:rPr>
              <w:t xml:space="preserve">Valstybinio audito ataskaita „Valstybės institucijų ir įstaigų veiksmai pritraukiant tiesiogines užsienio investicijas“, 2017-09-27 Nr. </w:t>
            </w:r>
            <w:r w:rsidRPr="00637B48">
              <w:rPr>
                <w:noProof/>
                <w:spacing w:val="-4"/>
              </w:rPr>
              <w:t>VA-2017-P-20-6-16</w:t>
            </w:r>
          </w:p>
        </w:tc>
      </w:tr>
      <w:tr w:rsidR="005C2BD3" w:rsidRPr="00637B48" w14:paraId="131404DD" w14:textId="77777777" w:rsidTr="00637B48">
        <w:trPr>
          <w:jc w:val="center"/>
        </w:trPr>
        <w:tc>
          <w:tcPr>
            <w:tcW w:w="495" w:type="dxa"/>
          </w:tcPr>
          <w:p w14:paraId="58BAB4CE" w14:textId="003690D6" w:rsidR="005C2BD3" w:rsidRPr="00637B48" w:rsidRDefault="00846913" w:rsidP="005C2BD3">
            <w:pPr>
              <w:jc w:val="both"/>
              <w:rPr>
                <w:rFonts w:eastAsiaTheme="minorEastAsia"/>
                <w:noProof/>
                <w:color w:val="000000"/>
                <w:spacing w:val="-4"/>
              </w:rPr>
            </w:pPr>
            <w:r w:rsidRPr="00637B48">
              <w:rPr>
                <w:rFonts w:eastAsiaTheme="minorEastAsia"/>
                <w:noProof/>
                <w:color w:val="000000"/>
                <w:spacing w:val="-4"/>
              </w:rPr>
              <w:t>7</w:t>
            </w:r>
            <w:r w:rsidR="005C2BD3" w:rsidRPr="00637B48">
              <w:rPr>
                <w:rFonts w:eastAsiaTheme="minorEastAsia"/>
                <w:noProof/>
                <w:color w:val="000000"/>
                <w:spacing w:val="-4"/>
              </w:rPr>
              <w:t>.</w:t>
            </w:r>
          </w:p>
        </w:tc>
        <w:tc>
          <w:tcPr>
            <w:tcW w:w="8418" w:type="dxa"/>
          </w:tcPr>
          <w:p w14:paraId="0DB72F1C" w14:textId="056A82A6" w:rsidR="00D37440" w:rsidRPr="00637B48" w:rsidRDefault="005C2BD3">
            <w:pPr>
              <w:jc w:val="both"/>
              <w:rPr>
                <w:rFonts w:eastAsiaTheme="minorEastAsia"/>
                <w:noProof/>
                <w:color w:val="000000"/>
                <w:spacing w:val="-4"/>
              </w:rPr>
            </w:pPr>
            <w:r w:rsidRPr="00637B48">
              <w:rPr>
                <w:noProof/>
                <w:spacing w:val="-4"/>
              </w:rPr>
              <w:t xml:space="preserve">2 rekomendacija. Užtikrinti, kad ilgalaikė tiesioginių užsienio investicijų pritraukimo politika būtų nuosekliai </w:t>
            </w:r>
            <w:r w:rsidRPr="00637B48">
              <w:rPr>
                <w:noProof/>
                <w:spacing w:val="-6"/>
              </w:rPr>
              <w:t>įgyvendinama trumpos ir vidutinės trukmės valstybės ir savivaldybių strateginiuose planavimo dokumentuose, o strateginio planavimo sistema sudarytų sąlygas integruoti teritorinio ir regioninio planavimo procesus</w:t>
            </w:r>
            <w:r w:rsidRPr="00637B48">
              <w:rPr>
                <w:noProof/>
                <w:spacing w:val="-4"/>
              </w:rPr>
              <w:t>.</w:t>
            </w:r>
          </w:p>
        </w:tc>
        <w:tc>
          <w:tcPr>
            <w:tcW w:w="1572" w:type="dxa"/>
          </w:tcPr>
          <w:p w14:paraId="47970AB5" w14:textId="488A6944" w:rsidR="005C2BD3" w:rsidRPr="00637B48" w:rsidRDefault="005C2BD3" w:rsidP="005C2BD3">
            <w:pPr>
              <w:jc w:val="center"/>
              <w:rPr>
                <w:rFonts w:eastAsiaTheme="minorEastAsia"/>
                <w:noProof/>
                <w:color w:val="000000"/>
                <w:spacing w:val="-4"/>
              </w:rPr>
            </w:pPr>
            <w:r w:rsidRPr="00637B48">
              <w:rPr>
                <w:rFonts w:eastAsiaTheme="minorEastAsia"/>
                <w:bCs/>
                <w:noProof/>
                <w:color w:val="000000"/>
                <w:spacing w:val="-4"/>
              </w:rPr>
              <w:t>2018-03-31</w:t>
            </w:r>
          </w:p>
        </w:tc>
        <w:tc>
          <w:tcPr>
            <w:tcW w:w="3549" w:type="dxa"/>
          </w:tcPr>
          <w:p w14:paraId="08828AD0" w14:textId="77777777" w:rsidR="005C2BD3" w:rsidRPr="00637B48" w:rsidRDefault="005C2BD3" w:rsidP="005C2BD3">
            <w:pPr>
              <w:jc w:val="both"/>
              <w:rPr>
                <w:rFonts w:eastAsiaTheme="minorEastAsia"/>
                <w:noProof/>
                <w:color w:val="000000"/>
                <w:spacing w:val="-4"/>
              </w:rPr>
            </w:pPr>
          </w:p>
        </w:tc>
      </w:tr>
      <w:tr w:rsidR="00D37440" w:rsidRPr="00637B48" w14:paraId="58FD46E7" w14:textId="77777777" w:rsidTr="00637B48">
        <w:trPr>
          <w:jc w:val="center"/>
        </w:trPr>
        <w:tc>
          <w:tcPr>
            <w:tcW w:w="14034" w:type="dxa"/>
            <w:gridSpan w:val="4"/>
          </w:tcPr>
          <w:p w14:paraId="3E0B77BC" w14:textId="63F0D813" w:rsidR="00D37440" w:rsidRPr="00637B48" w:rsidRDefault="00D37440" w:rsidP="005C2BD3">
            <w:pPr>
              <w:jc w:val="both"/>
              <w:rPr>
                <w:rFonts w:eastAsiaTheme="minorEastAsia"/>
                <w:noProof/>
                <w:color w:val="000000"/>
                <w:spacing w:val="-4"/>
              </w:rPr>
            </w:pPr>
            <w:r w:rsidRPr="00637B48">
              <w:rPr>
                <w:noProof/>
                <w:spacing w:val="-4"/>
              </w:rPr>
              <w:t>Valstybinio audito ataskaita „Ar valstybės ir savivaldybių dalyvavimas valdant viešąsias įstaigas užtikrina naudą visuomenei“, 2017-04-25 Nr. VA-2017-P-10-9-11</w:t>
            </w:r>
          </w:p>
        </w:tc>
      </w:tr>
      <w:tr w:rsidR="00D37440" w:rsidRPr="00637B48" w14:paraId="58BB9A6B" w14:textId="77777777" w:rsidTr="00637B48">
        <w:trPr>
          <w:jc w:val="center"/>
        </w:trPr>
        <w:tc>
          <w:tcPr>
            <w:tcW w:w="495" w:type="dxa"/>
          </w:tcPr>
          <w:p w14:paraId="3F53755C" w14:textId="0CC5DDE2" w:rsidR="00D37440" w:rsidRPr="00637B48" w:rsidRDefault="00D37440" w:rsidP="00D37440">
            <w:pPr>
              <w:jc w:val="both"/>
              <w:rPr>
                <w:rFonts w:eastAsiaTheme="minorEastAsia"/>
                <w:noProof/>
                <w:color w:val="000000"/>
                <w:spacing w:val="-4"/>
              </w:rPr>
            </w:pPr>
            <w:r w:rsidRPr="00637B48">
              <w:rPr>
                <w:rFonts w:eastAsiaTheme="minorEastAsia"/>
                <w:bCs/>
                <w:noProof/>
                <w:color w:val="000000"/>
                <w:spacing w:val="-4"/>
              </w:rPr>
              <w:lastRenderedPageBreak/>
              <w:t>8.</w:t>
            </w:r>
          </w:p>
        </w:tc>
        <w:tc>
          <w:tcPr>
            <w:tcW w:w="8418" w:type="dxa"/>
          </w:tcPr>
          <w:p w14:paraId="00C96E5C" w14:textId="77777777" w:rsidR="00D37440" w:rsidRPr="00637B48" w:rsidRDefault="00D37440" w:rsidP="00D37440">
            <w:pPr>
              <w:spacing w:line="276" w:lineRule="auto"/>
              <w:jc w:val="both"/>
              <w:rPr>
                <w:rFonts w:eastAsiaTheme="minorEastAsia"/>
                <w:bCs/>
                <w:noProof/>
                <w:color w:val="000000"/>
                <w:spacing w:val="-4"/>
              </w:rPr>
            </w:pPr>
            <w:r w:rsidRPr="00637B48">
              <w:rPr>
                <w:rFonts w:eastAsiaTheme="minorEastAsia"/>
                <w:bCs/>
                <w:noProof/>
                <w:color w:val="000000"/>
                <w:spacing w:val="-4"/>
              </w:rPr>
              <w:t>Tobulinti teisinį reglamentavimą: patikslinti viešojo administravimo ir viešųjų paslaugų sąvokas, kad jos būtų vienodai suprantamos ir leistų aiškiai susieti valstybės / savivaldybių viešųjų įstaigų veiklą su valstybės / savivaldybių funkcijų (viešojo administravimo ir viešųjų paslaugų) vykdymu.</w:t>
            </w:r>
          </w:p>
          <w:p w14:paraId="7FCA132C" w14:textId="6222DD4A" w:rsidR="00D37440" w:rsidRPr="00637B48" w:rsidRDefault="00D37440">
            <w:pPr>
              <w:jc w:val="both"/>
              <w:rPr>
                <w:noProof/>
                <w:spacing w:val="-4"/>
              </w:rPr>
            </w:pPr>
            <w:r w:rsidRPr="00637B48">
              <w:rPr>
                <w:rFonts w:eastAsiaTheme="minorEastAsia"/>
                <w:bCs/>
                <w:noProof/>
                <w:color w:val="000000"/>
                <w:spacing w:val="-4"/>
              </w:rPr>
              <w:t>Priemonė: parengti Viešojo administravimo įstatymo (prireikus – ir kitų įstatymų) pakeitimo projektą.</w:t>
            </w:r>
          </w:p>
        </w:tc>
        <w:tc>
          <w:tcPr>
            <w:tcW w:w="1572" w:type="dxa"/>
          </w:tcPr>
          <w:p w14:paraId="064E8D80" w14:textId="46D62746" w:rsidR="00D37440" w:rsidRPr="00637B48" w:rsidRDefault="00D37440" w:rsidP="00D37440">
            <w:pPr>
              <w:jc w:val="center"/>
              <w:rPr>
                <w:rFonts w:eastAsiaTheme="minorEastAsia"/>
                <w:bCs/>
                <w:noProof/>
                <w:color w:val="000000"/>
                <w:spacing w:val="-4"/>
              </w:rPr>
            </w:pPr>
            <w:r w:rsidRPr="00637B48">
              <w:rPr>
                <w:rFonts w:eastAsiaTheme="minorEastAsia"/>
                <w:bCs/>
                <w:noProof/>
                <w:color w:val="000000"/>
                <w:spacing w:val="-4"/>
              </w:rPr>
              <w:t>2018-03-31</w:t>
            </w:r>
          </w:p>
        </w:tc>
        <w:tc>
          <w:tcPr>
            <w:tcW w:w="3549" w:type="dxa"/>
          </w:tcPr>
          <w:p w14:paraId="0E972D90" w14:textId="77777777" w:rsidR="00D37440" w:rsidRPr="00637B48" w:rsidRDefault="00D37440" w:rsidP="00D37440">
            <w:pPr>
              <w:jc w:val="both"/>
              <w:rPr>
                <w:rFonts w:eastAsiaTheme="minorEastAsia"/>
                <w:noProof/>
                <w:color w:val="000000"/>
                <w:spacing w:val="-4"/>
              </w:rPr>
            </w:pPr>
          </w:p>
        </w:tc>
      </w:tr>
      <w:tr w:rsidR="00D37440" w:rsidRPr="00637B48" w14:paraId="53796EAC" w14:textId="77777777" w:rsidTr="00637B48">
        <w:trPr>
          <w:jc w:val="center"/>
        </w:trPr>
        <w:tc>
          <w:tcPr>
            <w:tcW w:w="495" w:type="dxa"/>
          </w:tcPr>
          <w:p w14:paraId="51ACA779" w14:textId="60E98A86" w:rsidR="00D37440" w:rsidRPr="00637B48" w:rsidRDefault="00D37440" w:rsidP="00D37440">
            <w:pPr>
              <w:jc w:val="both"/>
              <w:rPr>
                <w:rFonts w:eastAsiaTheme="minorEastAsia"/>
                <w:noProof/>
                <w:color w:val="000000"/>
                <w:spacing w:val="-4"/>
              </w:rPr>
            </w:pPr>
            <w:r w:rsidRPr="00637B48">
              <w:rPr>
                <w:rFonts w:eastAsiaTheme="minorEastAsia"/>
                <w:bCs/>
                <w:noProof/>
                <w:color w:val="000000"/>
                <w:spacing w:val="-4"/>
              </w:rPr>
              <w:t>9.</w:t>
            </w:r>
          </w:p>
        </w:tc>
        <w:tc>
          <w:tcPr>
            <w:tcW w:w="8418" w:type="dxa"/>
          </w:tcPr>
          <w:p w14:paraId="3B0F66E1" w14:textId="77777777" w:rsidR="00D37440" w:rsidRPr="00637B48" w:rsidRDefault="00D37440" w:rsidP="00D37440">
            <w:pPr>
              <w:spacing w:line="276" w:lineRule="auto"/>
              <w:jc w:val="both"/>
              <w:rPr>
                <w:rFonts w:eastAsiaTheme="minorEastAsia"/>
                <w:bCs/>
                <w:noProof/>
                <w:color w:val="000000"/>
                <w:spacing w:val="-4"/>
              </w:rPr>
            </w:pPr>
            <w:r w:rsidRPr="00637B48">
              <w:rPr>
                <w:rFonts w:eastAsiaTheme="minorEastAsia"/>
                <w:bCs/>
                <w:noProof/>
                <w:color w:val="000000"/>
                <w:spacing w:val="-4"/>
              </w:rPr>
              <w:t>Tobulinti teisinį reglamentavimą: nustatyti valstybės galimybę steigti naujus viešųjų paslaugų teikėjus, tik tais atvejais, kai kiti teikėjai tokių paslaugų neteikia ar negali jų teikti gyventojams ekonomiškai ir geros kokybės.</w:t>
            </w:r>
          </w:p>
          <w:p w14:paraId="67A1BED9" w14:textId="6E90488E" w:rsidR="00D37440" w:rsidRPr="00637B48" w:rsidRDefault="00D37440">
            <w:pPr>
              <w:jc w:val="both"/>
              <w:rPr>
                <w:noProof/>
                <w:spacing w:val="-4"/>
              </w:rPr>
            </w:pPr>
            <w:r w:rsidRPr="00637B48">
              <w:rPr>
                <w:rFonts w:eastAsiaTheme="minorEastAsia"/>
                <w:bCs/>
                <w:noProof/>
                <w:color w:val="000000"/>
                <w:spacing w:val="-4"/>
              </w:rPr>
              <w:t>Priemonė: parengti Viešojo administravimo įstatymo pakeitimo projektą.</w:t>
            </w:r>
          </w:p>
        </w:tc>
        <w:tc>
          <w:tcPr>
            <w:tcW w:w="1572" w:type="dxa"/>
          </w:tcPr>
          <w:p w14:paraId="43236845" w14:textId="38ABA876" w:rsidR="00D37440" w:rsidRPr="00637B48" w:rsidRDefault="00D37440" w:rsidP="00D37440">
            <w:pPr>
              <w:jc w:val="center"/>
              <w:rPr>
                <w:rFonts w:eastAsiaTheme="minorEastAsia"/>
                <w:bCs/>
                <w:noProof/>
                <w:color w:val="000000"/>
                <w:spacing w:val="-4"/>
              </w:rPr>
            </w:pPr>
            <w:r w:rsidRPr="00637B48">
              <w:rPr>
                <w:rFonts w:eastAsiaTheme="minorEastAsia"/>
                <w:bCs/>
                <w:noProof/>
                <w:color w:val="000000"/>
                <w:spacing w:val="-4"/>
              </w:rPr>
              <w:t>2018-03-31</w:t>
            </w:r>
          </w:p>
        </w:tc>
        <w:tc>
          <w:tcPr>
            <w:tcW w:w="3549" w:type="dxa"/>
          </w:tcPr>
          <w:p w14:paraId="4063E5F3" w14:textId="77777777" w:rsidR="00D37440" w:rsidRPr="00637B48" w:rsidRDefault="00D37440" w:rsidP="00D37440">
            <w:pPr>
              <w:jc w:val="both"/>
              <w:rPr>
                <w:rFonts w:eastAsiaTheme="minorEastAsia"/>
                <w:noProof/>
                <w:color w:val="000000"/>
                <w:spacing w:val="-4"/>
              </w:rPr>
            </w:pPr>
          </w:p>
        </w:tc>
      </w:tr>
      <w:tr w:rsidR="00D37440" w:rsidRPr="00637B48" w14:paraId="6641B3C6" w14:textId="77777777" w:rsidTr="00637B48">
        <w:trPr>
          <w:jc w:val="center"/>
        </w:trPr>
        <w:tc>
          <w:tcPr>
            <w:tcW w:w="14034" w:type="dxa"/>
            <w:gridSpan w:val="4"/>
          </w:tcPr>
          <w:p w14:paraId="285F2CAD" w14:textId="7BE6290F" w:rsidR="00D37440" w:rsidRPr="00637B48" w:rsidRDefault="00D37440" w:rsidP="00D37440">
            <w:pPr>
              <w:jc w:val="both"/>
              <w:rPr>
                <w:rFonts w:eastAsiaTheme="minorEastAsia"/>
                <w:noProof/>
                <w:color w:val="000000"/>
                <w:spacing w:val="-4"/>
              </w:rPr>
            </w:pPr>
            <w:r w:rsidRPr="00637B48">
              <w:rPr>
                <w:rFonts w:eastAsiaTheme="minorEastAsia"/>
                <w:noProof/>
                <w:color w:val="000000"/>
                <w:spacing w:val="-4"/>
              </w:rPr>
              <w:t>Valstybinio audito ataskaita „Lietuvos Respublikos 2015 metų valstybės konsoliduotųjų finansinių ir biudžeto vykdymo ataskaitų rinkinių teisingumas ir valstybės biudžeto vykdymo vertinimas“, 2016-10-03 Nr. FA-P-60-6-10-1</w:t>
            </w:r>
          </w:p>
        </w:tc>
      </w:tr>
      <w:tr w:rsidR="00D37440" w:rsidRPr="00637B48" w14:paraId="06007113" w14:textId="77777777" w:rsidTr="00637B48">
        <w:trPr>
          <w:jc w:val="center"/>
        </w:trPr>
        <w:tc>
          <w:tcPr>
            <w:tcW w:w="495" w:type="dxa"/>
          </w:tcPr>
          <w:p w14:paraId="3F2983E2" w14:textId="3C021817" w:rsidR="00D37440" w:rsidRPr="00637B48" w:rsidRDefault="00D37440" w:rsidP="00D37440">
            <w:pPr>
              <w:jc w:val="both"/>
              <w:rPr>
                <w:rFonts w:eastAsiaTheme="minorEastAsia"/>
                <w:noProof/>
                <w:color w:val="000000"/>
                <w:spacing w:val="-4"/>
              </w:rPr>
            </w:pPr>
            <w:r w:rsidRPr="00637B48">
              <w:rPr>
                <w:rFonts w:eastAsiaTheme="minorEastAsia"/>
                <w:noProof/>
                <w:color w:val="000000"/>
                <w:spacing w:val="-4"/>
              </w:rPr>
              <w:t>10.</w:t>
            </w:r>
          </w:p>
        </w:tc>
        <w:tc>
          <w:tcPr>
            <w:tcW w:w="8418" w:type="dxa"/>
          </w:tcPr>
          <w:p w14:paraId="36B53850" w14:textId="303C6646" w:rsidR="00D37440" w:rsidRPr="00637B48" w:rsidRDefault="00D37440">
            <w:pPr>
              <w:autoSpaceDE w:val="0"/>
              <w:autoSpaceDN w:val="0"/>
              <w:ind w:left="26"/>
              <w:jc w:val="both"/>
              <w:rPr>
                <w:rFonts w:eastAsiaTheme="minorEastAsia"/>
                <w:noProof/>
                <w:color w:val="000000"/>
                <w:spacing w:val="-4"/>
              </w:rPr>
            </w:pPr>
            <w:r w:rsidRPr="00637B48">
              <w:rPr>
                <w:noProof/>
                <w:spacing w:val="-4"/>
              </w:rPr>
              <w:t xml:space="preserve">1 rekomendacija. Siekiant mažinti pridėtinės vertės nekuriančio ir dubliuojamo darbo mastą, administracinę naštą viešojo sektoriaus subjektams, turėti aiškią ir sprendimams priimti naudingą informaciją, tobulinti planavimo ir atsiskaitymo už Vyriausybės tikslų ir prioritetų pasiekimą, panaudojant valstybės biudžeto lėšas, sistemą. Siekdamas turėti aiškią ir sprendimams priimti naudingą informaciją, Seimas kartu su valstybės biudžeto vykdymo ataskaitomis turėtų gauti ir informaciją apie Vyriausybės veiklos rezultatus, todėl Vyriausybės veiklos tikslai (prioritetai) turėtų būti susieti su atitinkamų </w:t>
            </w:r>
            <w:r w:rsidRPr="00637B48">
              <w:rPr>
                <w:noProof/>
                <w:color w:val="000000"/>
                <w:spacing w:val="-4"/>
              </w:rPr>
              <w:t xml:space="preserve">metų finansiniais rodikliais (asignavimais) </w:t>
            </w:r>
            <w:r w:rsidRPr="00637B48">
              <w:rPr>
                <w:noProof/>
                <w:color w:val="1F497D"/>
                <w:spacing w:val="-4"/>
              </w:rPr>
              <w:t>ir</w:t>
            </w:r>
            <w:r w:rsidRPr="00637B48">
              <w:rPr>
                <w:noProof/>
                <w:color w:val="000000"/>
                <w:spacing w:val="-4"/>
              </w:rPr>
              <w:t xml:space="preserve"> tvirtinami įstatymu.</w:t>
            </w:r>
          </w:p>
        </w:tc>
        <w:tc>
          <w:tcPr>
            <w:tcW w:w="1572" w:type="dxa"/>
          </w:tcPr>
          <w:p w14:paraId="613E2C47" w14:textId="634C50E7" w:rsidR="00D37440" w:rsidRPr="00637B48" w:rsidRDefault="00D37440" w:rsidP="00D37440">
            <w:pPr>
              <w:jc w:val="center"/>
              <w:rPr>
                <w:rFonts w:eastAsiaTheme="minorEastAsia"/>
                <w:noProof/>
                <w:color w:val="000000"/>
                <w:spacing w:val="-4"/>
              </w:rPr>
            </w:pPr>
            <w:r w:rsidRPr="00637B48">
              <w:rPr>
                <w:rFonts w:eastAsiaTheme="minorEastAsia"/>
                <w:noProof/>
                <w:color w:val="000000"/>
                <w:spacing w:val="-4"/>
              </w:rPr>
              <w:t>2017-06-30</w:t>
            </w:r>
          </w:p>
        </w:tc>
        <w:tc>
          <w:tcPr>
            <w:tcW w:w="3549" w:type="dxa"/>
          </w:tcPr>
          <w:p w14:paraId="29358A1E" w14:textId="77777777" w:rsidR="00D37440" w:rsidRPr="00637B48" w:rsidRDefault="00D37440" w:rsidP="00D37440">
            <w:pPr>
              <w:jc w:val="both"/>
              <w:rPr>
                <w:rFonts w:eastAsiaTheme="minorEastAsia"/>
                <w:noProof/>
                <w:color w:val="000000"/>
                <w:spacing w:val="-4"/>
              </w:rPr>
            </w:pPr>
          </w:p>
        </w:tc>
      </w:tr>
      <w:tr w:rsidR="00D37440" w:rsidRPr="00637B48" w14:paraId="33DEAB0C" w14:textId="77777777" w:rsidTr="00637B48">
        <w:trPr>
          <w:jc w:val="center"/>
        </w:trPr>
        <w:tc>
          <w:tcPr>
            <w:tcW w:w="495" w:type="dxa"/>
          </w:tcPr>
          <w:p w14:paraId="59FEA704" w14:textId="664E5CDE" w:rsidR="00D37440" w:rsidRPr="00637B48" w:rsidRDefault="00D37440" w:rsidP="00D37440">
            <w:pPr>
              <w:jc w:val="both"/>
              <w:rPr>
                <w:rFonts w:eastAsiaTheme="minorEastAsia"/>
                <w:noProof/>
                <w:color w:val="000000"/>
                <w:spacing w:val="-4"/>
              </w:rPr>
            </w:pPr>
            <w:r w:rsidRPr="00637B48">
              <w:rPr>
                <w:rFonts w:eastAsiaTheme="minorEastAsia"/>
                <w:noProof/>
                <w:color w:val="000000"/>
                <w:spacing w:val="-4"/>
              </w:rPr>
              <w:t>11.</w:t>
            </w:r>
          </w:p>
        </w:tc>
        <w:tc>
          <w:tcPr>
            <w:tcW w:w="8418" w:type="dxa"/>
          </w:tcPr>
          <w:p w14:paraId="195A1860" w14:textId="182C5A7B" w:rsidR="00D37440" w:rsidRPr="00637B48" w:rsidRDefault="00D37440">
            <w:pPr>
              <w:jc w:val="both"/>
              <w:rPr>
                <w:rFonts w:eastAsiaTheme="minorEastAsia"/>
                <w:noProof/>
                <w:color w:val="000000"/>
                <w:spacing w:val="-4"/>
              </w:rPr>
            </w:pPr>
            <w:r w:rsidRPr="00637B48">
              <w:rPr>
                <w:noProof/>
                <w:spacing w:val="-4"/>
              </w:rPr>
              <w:t>2 rekomendacija. Siekiant užtikrinti, kad būtų laikomasi Konstitucijos nuostatų, inicijuoti teisės aktų pakeitimus, nusprendus, kokius finansinius rodiklius ir kiek jų privalo patvirtinti Seimas ir kiek suteikti Vyriausybei teisių vykdyti biudžetą.</w:t>
            </w:r>
          </w:p>
        </w:tc>
        <w:tc>
          <w:tcPr>
            <w:tcW w:w="1572" w:type="dxa"/>
          </w:tcPr>
          <w:p w14:paraId="3065DF23" w14:textId="3E0469BE" w:rsidR="00D37440" w:rsidRPr="00637B48" w:rsidRDefault="00D37440" w:rsidP="00D37440">
            <w:pPr>
              <w:jc w:val="center"/>
              <w:rPr>
                <w:rFonts w:eastAsiaTheme="minorEastAsia"/>
                <w:noProof/>
                <w:color w:val="000000"/>
                <w:spacing w:val="-4"/>
              </w:rPr>
            </w:pPr>
            <w:r w:rsidRPr="00637B48">
              <w:rPr>
                <w:rFonts w:eastAsiaTheme="minorEastAsia"/>
                <w:noProof/>
                <w:color w:val="000000"/>
                <w:spacing w:val="-4"/>
              </w:rPr>
              <w:t>2017-06-30</w:t>
            </w:r>
          </w:p>
        </w:tc>
        <w:tc>
          <w:tcPr>
            <w:tcW w:w="3549" w:type="dxa"/>
          </w:tcPr>
          <w:p w14:paraId="4F2E0766" w14:textId="77777777" w:rsidR="00D37440" w:rsidRPr="00637B48" w:rsidRDefault="00D37440" w:rsidP="00D37440">
            <w:pPr>
              <w:jc w:val="both"/>
              <w:rPr>
                <w:rFonts w:eastAsiaTheme="minorEastAsia"/>
                <w:noProof/>
                <w:color w:val="000000"/>
                <w:spacing w:val="-4"/>
              </w:rPr>
            </w:pPr>
          </w:p>
        </w:tc>
      </w:tr>
      <w:tr w:rsidR="00D37440" w:rsidRPr="00637B48" w14:paraId="14C7C935" w14:textId="77777777" w:rsidTr="00637B48">
        <w:trPr>
          <w:jc w:val="center"/>
        </w:trPr>
        <w:tc>
          <w:tcPr>
            <w:tcW w:w="14034" w:type="dxa"/>
            <w:gridSpan w:val="4"/>
          </w:tcPr>
          <w:p w14:paraId="7A43C41F" w14:textId="0617DEA4" w:rsidR="00D37440" w:rsidRPr="00637B48" w:rsidRDefault="00D37440" w:rsidP="00D37440">
            <w:pPr>
              <w:jc w:val="both"/>
              <w:rPr>
                <w:rFonts w:eastAsiaTheme="minorEastAsia"/>
                <w:noProof/>
                <w:color w:val="000000"/>
                <w:spacing w:val="-4"/>
              </w:rPr>
            </w:pPr>
            <w:r w:rsidRPr="00637B48">
              <w:rPr>
                <w:noProof/>
                <w:spacing w:val="-4"/>
              </w:rPr>
              <w:t>Valstybinio audito ataskaita „Lietuvos Respublikos 2016 metų valstybės konsoliduotųjų finansinių ir biudžeto vykdymo ataskaitų rinkinių teisingumas ir valstybės biudžeto vykdymo vertinimas“, 2017-09-29 Nr. FA-2017-P-60-5-7-1</w:t>
            </w:r>
          </w:p>
        </w:tc>
      </w:tr>
      <w:tr w:rsidR="00D37440" w:rsidRPr="00637B48" w14:paraId="1288A437" w14:textId="77777777" w:rsidTr="00637B48">
        <w:trPr>
          <w:jc w:val="center"/>
        </w:trPr>
        <w:tc>
          <w:tcPr>
            <w:tcW w:w="495" w:type="dxa"/>
          </w:tcPr>
          <w:p w14:paraId="4F7EB81E" w14:textId="28D18087" w:rsidR="00D37440" w:rsidRPr="00637B48" w:rsidRDefault="00D37440" w:rsidP="00D37440">
            <w:pPr>
              <w:jc w:val="both"/>
              <w:rPr>
                <w:rFonts w:eastAsiaTheme="minorEastAsia"/>
                <w:noProof/>
                <w:color w:val="000000"/>
                <w:spacing w:val="-4"/>
              </w:rPr>
            </w:pPr>
            <w:r w:rsidRPr="00637B48">
              <w:rPr>
                <w:rFonts w:eastAsiaTheme="minorEastAsia"/>
                <w:noProof/>
                <w:color w:val="000000"/>
                <w:spacing w:val="-4"/>
              </w:rPr>
              <w:t>12.</w:t>
            </w:r>
          </w:p>
        </w:tc>
        <w:tc>
          <w:tcPr>
            <w:tcW w:w="8418" w:type="dxa"/>
          </w:tcPr>
          <w:p w14:paraId="31C882F9" w14:textId="77777777" w:rsidR="00D37440" w:rsidRPr="00637B48" w:rsidRDefault="00D37440" w:rsidP="00D37440">
            <w:pPr>
              <w:ind w:left="26"/>
              <w:jc w:val="both"/>
              <w:rPr>
                <w:rFonts w:eastAsiaTheme="minorEastAsia"/>
                <w:noProof/>
                <w:color w:val="000000"/>
                <w:spacing w:val="-4"/>
              </w:rPr>
            </w:pPr>
            <w:r w:rsidRPr="00637B48">
              <w:rPr>
                <w:rFonts w:eastAsiaTheme="minorEastAsia"/>
                <w:noProof/>
                <w:color w:val="000000"/>
                <w:spacing w:val="-4"/>
              </w:rPr>
              <w:t>3 rekomendacija. Siekiant efektyviai, ekonomiškai ir rezultatyviai panaudoti valstybės biudžeto lėšas, sumažinti administracinę naštą, rekomenduojame nustatyti optimalų viešojo sektoriaus transporto ir kitų paslaugų įsigijimo ir lėšų naudojimo kontrolės mechanizmą, kad įstaigos galėtų siekti veiklos rezultatų:</w:t>
            </w:r>
          </w:p>
          <w:p w14:paraId="4B6A23C6" w14:textId="71225DA8" w:rsidR="00D37440" w:rsidRPr="00637B48" w:rsidRDefault="00D37440" w:rsidP="00492BBE">
            <w:pPr>
              <w:jc w:val="both"/>
              <w:rPr>
                <w:rFonts w:eastAsiaTheme="minorEastAsia"/>
                <w:noProof/>
                <w:color w:val="000000"/>
                <w:spacing w:val="-4"/>
              </w:rPr>
            </w:pPr>
            <w:r w:rsidRPr="00637B48">
              <w:rPr>
                <w:rFonts w:eastAsiaTheme="minorEastAsia"/>
                <w:noProof/>
                <w:color w:val="000000"/>
                <w:spacing w:val="-4"/>
              </w:rPr>
              <w:t xml:space="preserve">Priemonė: Sisteminis tarnybinių automobilių valdymo ir naudojimo sistemos peržiūrėjimas. Naujos redakcijos Vyriausybės 1998-11-17 nutarimo </w:t>
            </w:r>
            <w:r w:rsidR="007F79B8" w:rsidRPr="00637B48">
              <w:rPr>
                <w:rFonts w:eastAsiaTheme="minorEastAsia"/>
                <w:noProof/>
                <w:color w:val="000000"/>
                <w:spacing w:val="-4"/>
              </w:rPr>
              <w:t>„</w:t>
            </w:r>
            <w:r w:rsidRPr="00637B48">
              <w:rPr>
                <w:rFonts w:eastAsiaTheme="minorEastAsia"/>
                <w:noProof/>
                <w:color w:val="000000"/>
                <w:spacing w:val="-4"/>
              </w:rPr>
              <w:t>Dėl tarnybinių lengvųjų automobilių biudžetinėse įstaigose projekto</w:t>
            </w:r>
            <w:r w:rsidR="00492BBE">
              <w:rPr>
                <w:rFonts w:eastAsiaTheme="minorEastAsia"/>
                <w:noProof/>
                <w:color w:val="000000"/>
                <w:spacing w:val="-4"/>
              </w:rPr>
              <w:t>“</w:t>
            </w:r>
            <w:r w:rsidRPr="00637B48">
              <w:rPr>
                <w:rFonts w:eastAsiaTheme="minorEastAsia"/>
                <w:noProof/>
                <w:color w:val="000000"/>
                <w:spacing w:val="-4"/>
              </w:rPr>
              <w:t xml:space="preserve"> priėmimas</w:t>
            </w:r>
            <w:r w:rsidR="007F79B8" w:rsidRPr="00637B48">
              <w:rPr>
                <w:rFonts w:eastAsiaTheme="minorEastAsia"/>
                <w:noProof/>
                <w:color w:val="000000"/>
                <w:spacing w:val="-4"/>
              </w:rPr>
              <w:t xml:space="preserve">. </w:t>
            </w:r>
          </w:p>
        </w:tc>
        <w:tc>
          <w:tcPr>
            <w:tcW w:w="1572" w:type="dxa"/>
          </w:tcPr>
          <w:p w14:paraId="41EB4AB5" w14:textId="0AC4AB7C" w:rsidR="00D37440" w:rsidRPr="00637B48" w:rsidRDefault="00D37440" w:rsidP="00D37440">
            <w:pPr>
              <w:jc w:val="center"/>
              <w:rPr>
                <w:rFonts w:eastAsiaTheme="minorEastAsia"/>
                <w:noProof/>
                <w:color w:val="000000"/>
                <w:spacing w:val="-4"/>
              </w:rPr>
            </w:pPr>
            <w:r w:rsidRPr="00637B48">
              <w:rPr>
                <w:rFonts w:eastAsiaTheme="minorEastAsia"/>
                <w:noProof/>
                <w:color w:val="000000"/>
                <w:spacing w:val="-4"/>
              </w:rPr>
              <w:t>2018-09-30</w:t>
            </w:r>
          </w:p>
        </w:tc>
        <w:tc>
          <w:tcPr>
            <w:tcW w:w="3549" w:type="dxa"/>
          </w:tcPr>
          <w:p w14:paraId="7A9DCB2E" w14:textId="77777777" w:rsidR="00D37440" w:rsidRPr="00637B48" w:rsidRDefault="00D37440" w:rsidP="00D37440">
            <w:pPr>
              <w:jc w:val="both"/>
              <w:rPr>
                <w:rFonts w:eastAsiaTheme="minorEastAsia"/>
                <w:noProof/>
                <w:color w:val="000000"/>
                <w:spacing w:val="-4"/>
              </w:rPr>
            </w:pPr>
          </w:p>
        </w:tc>
      </w:tr>
    </w:tbl>
    <w:p w14:paraId="2D165A0E" w14:textId="77777777" w:rsidR="004409DE" w:rsidRPr="00637B48" w:rsidRDefault="004409DE">
      <w:pPr>
        <w:spacing w:line="360" w:lineRule="auto"/>
        <w:jc w:val="both"/>
        <w:rPr>
          <w:rFonts w:eastAsiaTheme="minorEastAsia"/>
          <w:noProof/>
          <w:color w:val="000000"/>
        </w:rPr>
      </w:pPr>
    </w:p>
    <w:sectPr w:rsidR="004409DE" w:rsidRPr="00637B48" w:rsidSect="00117BCF">
      <w:headerReference w:type="default" r:id="rId7"/>
      <w:type w:val="continuous"/>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29C52" w14:textId="77777777" w:rsidR="00601876" w:rsidRDefault="00601876" w:rsidP="007F79B8">
      <w:pPr>
        <w:spacing w:after="0" w:line="240" w:lineRule="auto"/>
      </w:pPr>
      <w:r>
        <w:separator/>
      </w:r>
    </w:p>
  </w:endnote>
  <w:endnote w:type="continuationSeparator" w:id="0">
    <w:p w14:paraId="5CCAC9D5" w14:textId="77777777" w:rsidR="00601876" w:rsidRDefault="00601876" w:rsidP="007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9EC91" w14:textId="77777777" w:rsidR="00601876" w:rsidRDefault="00601876" w:rsidP="007F79B8">
      <w:pPr>
        <w:spacing w:after="0" w:line="240" w:lineRule="auto"/>
      </w:pPr>
      <w:r>
        <w:separator/>
      </w:r>
    </w:p>
  </w:footnote>
  <w:footnote w:type="continuationSeparator" w:id="0">
    <w:p w14:paraId="676E9F38" w14:textId="77777777" w:rsidR="00601876" w:rsidRDefault="00601876" w:rsidP="007F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4065" w14:textId="796E9C86" w:rsidR="007F79B8" w:rsidRPr="00637B48" w:rsidRDefault="00601876" w:rsidP="00637B48">
    <w:pPr>
      <w:pStyle w:val="Antrats"/>
      <w:tabs>
        <w:tab w:val="center" w:pos="7285"/>
        <w:tab w:val="left" w:pos="9102"/>
      </w:tabs>
      <w:jc w:val="center"/>
      <w:rPr>
        <w:rFonts w:ascii="Times New Roman" w:hAnsi="Times New Roman" w:cs="Times New Roman"/>
        <w:sz w:val="24"/>
        <w:szCs w:val="24"/>
      </w:rPr>
    </w:pPr>
    <w:sdt>
      <w:sdtPr>
        <w:id w:val="-1444688184"/>
        <w:docPartObj>
          <w:docPartGallery w:val="Page Numbers (Top of Page)"/>
          <w:docPartUnique/>
        </w:docPartObj>
      </w:sdtPr>
      <w:sdtEndPr>
        <w:rPr>
          <w:rFonts w:ascii="Times New Roman" w:hAnsi="Times New Roman" w:cs="Times New Roman"/>
          <w:sz w:val="24"/>
          <w:szCs w:val="24"/>
        </w:rPr>
      </w:sdtEndPr>
      <w:sdtContent>
        <w:r w:rsidR="007F79B8" w:rsidRPr="00637B48">
          <w:rPr>
            <w:rFonts w:ascii="Times New Roman" w:hAnsi="Times New Roman" w:cs="Times New Roman"/>
            <w:sz w:val="24"/>
            <w:szCs w:val="24"/>
          </w:rPr>
          <w:fldChar w:fldCharType="begin"/>
        </w:r>
        <w:r w:rsidR="007F79B8" w:rsidRPr="00637B48">
          <w:rPr>
            <w:rFonts w:ascii="Times New Roman" w:hAnsi="Times New Roman" w:cs="Times New Roman"/>
            <w:sz w:val="24"/>
            <w:szCs w:val="24"/>
          </w:rPr>
          <w:instrText>PAGE   \* MERGEFORMAT</w:instrText>
        </w:r>
        <w:r w:rsidR="007F79B8" w:rsidRPr="00637B48">
          <w:rPr>
            <w:rFonts w:ascii="Times New Roman" w:hAnsi="Times New Roman" w:cs="Times New Roman"/>
            <w:sz w:val="24"/>
            <w:szCs w:val="24"/>
          </w:rPr>
          <w:fldChar w:fldCharType="separate"/>
        </w:r>
        <w:r w:rsidR="00492BBE">
          <w:rPr>
            <w:rFonts w:ascii="Times New Roman" w:hAnsi="Times New Roman" w:cs="Times New Roman"/>
            <w:noProof/>
            <w:sz w:val="24"/>
            <w:szCs w:val="24"/>
          </w:rPr>
          <w:t>2</w:t>
        </w:r>
        <w:r w:rsidR="007F79B8" w:rsidRPr="00637B48">
          <w:rPr>
            <w:rFonts w:ascii="Times New Roman" w:hAnsi="Times New Roman" w:cs="Times New Roman"/>
            <w:sz w:val="24"/>
            <w:szCs w:val="24"/>
          </w:rPr>
          <w:fldChar w:fldCharType="end"/>
        </w:r>
      </w:sdtContent>
    </w:sdt>
  </w:p>
  <w:p w14:paraId="1E0DB98D" w14:textId="77777777" w:rsidR="007F79B8" w:rsidRDefault="007F7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06750"/>
    <w:multiLevelType w:val="hybridMultilevel"/>
    <w:tmpl w:val="929C0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5520FA"/>
    <w:multiLevelType w:val="hybridMultilevel"/>
    <w:tmpl w:val="269812D2"/>
    <w:lvl w:ilvl="0" w:tplc="04270001">
      <w:start w:val="1"/>
      <w:numFmt w:val="bullet"/>
      <w:lvlText w:val=""/>
      <w:lvlJc w:val="left"/>
      <w:pPr>
        <w:ind w:left="1029" w:hanging="360"/>
      </w:pPr>
      <w:rPr>
        <w:rFonts w:ascii="Symbol" w:hAnsi="Symbol" w:hint="default"/>
      </w:rPr>
    </w:lvl>
    <w:lvl w:ilvl="1" w:tplc="04270003" w:tentative="1">
      <w:start w:val="1"/>
      <w:numFmt w:val="bullet"/>
      <w:lvlText w:val="o"/>
      <w:lvlJc w:val="left"/>
      <w:pPr>
        <w:ind w:left="1749" w:hanging="360"/>
      </w:pPr>
      <w:rPr>
        <w:rFonts w:ascii="Courier New" w:hAnsi="Courier New" w:cs="Courier New" w:hint="default"/>
      </w:rPr>
    </w:lvl>
    <w:lvl w:ilvl="2" w:tplc="04270005" w:tentative="1">
      <w:start w:val="1"/>
      <w:numFmt w:val="bullet"/>
      <w:lvlText w:val=""/>
      <w:lvlJc w:val="left"/>
      <w:pPr>
        <w:ind w:left="2469" w:hanging="360"/>
      </w:pPr>
      <w:rPr>
        <w:rFonts w:ascii="Wingdings" w:hAnsi="Wingdings" w:hint="default"/>
      </w:rPr>
    </w:lvl>
    <w:lvl w:ilvl="3" w:tplc="04270001" w:tentative="1">
      <w:start w:val="1"/>
      <w:numFmt w:val="bullet"/>
      <w:lvlText w:val=""/>
      <w:lvlJc w:val="left"/>
      <w:pPr>
        <w:ind w:left="3189" w:hanging="360"/>
      </w:pPr>
      <w:rPr>
        <w:rFonts w:ascii="Symbol" w:hAnsi="Symbol" w:hint="default"/>
      </w:rPr>
    </w:lvl>
    <w:lvl w:ilvl="4" w:tplc="04270003" w:tentative="1">
      <w:start w:val="1"/>
      <w:numFmt w:val="bullet"/>
      <w:lvlText w:val="o"/>
      <w:lvlJc w:val="left"/>
      <w:pPr>
        <w:ind w:left="3909" w:hanging="360"/>
      </w:pPr>
      <w:rPr>
        <w:rFonts w:ascii="Courier New" w:hAnsi="Courier New" w:cs="Courier New" w:hint="default"/>
      </w:rPr>
    </w:lvl>
    <w:lvl w:ilvl="5" w:tplc="04270005" w:tentative="1">
      <w:start w:val="1"/>
      <w:numFmt w:val="bullet"/>
      <w:lvlText w:val=""/>
      <w:lvlJc w:val="left"/>
      <w:pPr>
        <w:ind w:left="4629" w:hanging="360"/>
      </w:pPr>
      <w:rPr>
        <w:rFonts w:ascii="Wingdings" w:hAnsi="Wingdings" w:hint="default"/>
      </w:rPr>
    </w:lvl>
    <w:lvl w:ilvl="6" w:tplc="04270001" w:tentative="1">
      <w:start w:val="1"/>
      <w:numFmt w:val="bullet"/>
      <w:lvlText w:val=""/>
      <w:lvlJc w:val="left"/>
      <w:pPr>
        <w:ind w:left="5349" w:hanging="360"/>
      </w:pPr>
      <w:rPr>
        <w:rFonts w:ascii="Symbol" w:hAnsi="Symbol" w:hint="default"/>
      </w:rPr>
    </w:lvl>
    <w:lvl w:ilvl="7" w:tplc="04270003" w:tentative="1">
      <w:start w:val="1"/>
      <w:numFmt w:val="bullet"/>
      <w:lvlText w:val="o"/>
      <w:lvlJc w:val="left"/>
      <w:pPr>
        <w:ind w:left="6069" w:hanging="360"/>
      </w:pPr>
      <w:rPr>
        <w:rFonts w:ascii="Courier New" w:hAnsi="Courier New" w:cs="Courier New" w:hint="default"/>
      </w:rPr>
    </w:lvl>
    <w:lvl w:ilvl="8" w:tplc="04270005" w:tentative="1">
      <w:start w:val="1"/>
      <w:numFmt w:val="bullet"/>
      <w:lvlText w:val=""/>
      <w:lvlJc w:val="left"/>
      <w:pPr>
        <w:ind w:left="67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91"/>
    <w:rsid w:val="00117551"/>
    <w:rsid w:val="00117BCF"/>
    <w:rsid w:val="00121AB1"/>
    <w:rsid w:val="00192B97"/>
    <w:rsid w:val="002203D2"/>
    <w:rsid w:val="00260112"/>
    <w:rsid w:val="003D3249"/>
    <w:rsid w:val="003D4159"/>
    <w:rsid w:val="004409DE"/>
    <w:rsid w:val="0047751B"/>
    <w:rsid w:val="00482332"/>
    <w:rsid w:val="00492BBE"/>
    <w:rsid w:val="004C1187"/>
    <w:rsid w:val="004C26D2"/>
    <w:rsid w:val="004F75DF"/>
    <w:rsid w:val="0058715C"/>
    <w:rsid w:val="005C2BD3"/>
    <w:rsid w:val="00601876"/>
    <w:rsid w:val="00637B48"/>
    <w:rsid w:val="0067294E"/>
    <w:rsid w:val="0074730E"/>
    <w:rsid w:val="00760EE4"/>
    <w:rsid w:val="007F79B8"/>
    <w:rsid w:val="008243B0"/>
    <w:rsid w:val="00842927"/>
    <w:rsid w:val="00846913"/>
    <w:rsid w:val="00861894"/>
    <w:rsid w:val="00890174"/>
    <w:rsid w:val="008B0B33"/>
    <w:rsid w:val="008E13B8"/>
    <w:rsid w:val="008F71BC"/>
    <w:rsid w:val="0091290E"/>
    <w:rsid w:val="00953882"/>
    <w:rsid w:val="00A021A5"/>
    <w:rsid w:val="00A34D62"/>
    <w:rsid w:val="00AC72EE"/>
    <w:rsid w:val="00B06991"/>
    <w:rsid w:val="00B2692F"/>
    <w:rsid w:val="00BA52C0"/>
    <w:rsid w:val="00BC71EE"/>
    <w:rsid w:val="00BF6279"/>
    <w:rsid w:val="00C92F5F"/>
    <w:rsid w:val="00D01CBF"/>
    <w:rsid w:val="00D34891"/>
    <w:rsid w:val="00D37440"/>
    <w:rsid w:val="00D937B1"/>
    <w:rsid w:val="00DF5DBA"/>
    <w:rsid w:val="00E55105"/>
    <w:rsid w:val="00F51ABE"/>
    <w:rsid w:val="00F86B34"/>
    <w:rsid w:val="00FE1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A0E7"/>
  <w15:chartTrackingRefBased/>
  <w15:docId w15:val="{6CEE10CC-B4D4-4B37-B631-269CACDB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w:basedOn w:val="prastasis"/>
    <w:link w:val="PuslapioinaostekstasDiagrama"/>
    <w:uiPriority w:val="99"/>
    <w:qFormat/>
    <w:rsid w:val="004409DE"/>
    <w:pPr>
      <w:spacing w:after="480" w:line="240" w:lineRule="auto"/>
    </w:pPr>
    <w:rPr>
      <w:rFonts w:ascii="TimesLT" w:eastAsia="Times New Roman" w:hAnsi="TimesLT" w:cs="Times New Roman"/>
      <w:sz w:val="24"/>
      <w:szCs w:val="24"/>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4409DE"/>
    <w:rPr>
      <w:rFonts w:ascii="TimesLT" w:eastAsia="Times New Roman" w:hAnsi="TimesLT" w:cs="Times New Roman"/>
      <w:sz w:val="24"/>
      <w:szCs w:val="24"/>
    </w:rPr>
  </w:style>
  <w:style w:type="table" w:styleId="Lentelstinklelis">
    <w:name w:val="Table Grid"/>
    <w:basedOn w:val="prastojilentel"/>
    <w:rsid w:val="004409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C11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1187"/>
    <w:rPr>
      <w:rFonts w:ascii="Segoe UI" w:hAnsi="Segoe UI" w:cs="Segoe UI"/>
      <w:sz w:val="18"/>
      <w:szCs w:val="18"/>
    </w:rPr>
  </w:style>
  <w:style w:type="paragraph" w:styleId="Sraopastraipa">
    <w:name w:val="List Paragraph"/>
    <w:basedOn w:val="prastasis"/>
    <w:uiPriority w:val="34"/>
    <w:qFormat/>
    <w:rsid w:val="00B2692F"/>
    <w:pPr>
      <w:ind w:left="720"/>
      <w:contextualSpacing/>
    </w:pPr>
  </w:style>
  <w:style w:type="character" w:styleId="Komentaronuoroda">
    <w:name w:val="annotation reference"/>
    <w:basedOn w:val="Numatytasispastraiposriftas"/>
    <w:uiPriority w:val="99"/>
    <w:semiHidden/>
    <w:unhideWhenUsed/>
    <w:rsid w:val="00DF5DBA"/>
    <w:rPr>
      <w:sz w:val="16"/>
      <w:szCs w:val="16"/>
    </w:rPr>
  </w:style>
  <w:style w:type="paragraph" w:styleId="Komentarotekstas">
    <w:name w:val="annotation text"/>
    <w:basedOn w:val="prastasis"/>
    <w:link w:val="KomentarotekstasDiagrama"/>
    <w:uiPriority w:val="99"/>
    <w:semiHidden/>
    <w:unhideWhenUsed/>
    <w:rsid w:val="00DF5D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DBA"/>
    <w:rPr>
      <w:sz w:val="20"/>
      <w:szCs w:val="20"/>
    </w:rPr>
  </w:style>
  <w:style w:type="paragraph" w:styleId="Komentarotema">
    <w:name w:val="annotation subject"/>
    <w:basedOn w:val="Komentarotekstas"/>
    <w:next w:val="Komentarotekstas"/>
    <w:link w:val="KomentarotemaDiagrama"/>
    <w:uiPriority w:val="99"/>
    <w:semiHidden/>
    <w:unhideWhenUsed/>
    <w:rsid w:val="00DF5DBA"/>
    <w:rPr>
      <w:b/>
      <w:bCs/>
    </w:rPr>
  </w:style>
  <w:style w:type="character" w:customStyle="1" w:styleId="KomentarotemaDiagrama">
    <w:name w:val="Komentaro tema Diagrama"/>
    <w:basedOn w:val="KomentarotekstasDiagrama"/>
    <w:link w:val="Komentarotema"/>
    <w:uiPriority w:val="99"/>
    <w:semiHidden/>
    <w:rsid w:val="00DF5DBA"/>
    <w:rPr>
      <w:b/>
      <w:bCs/>
      <w:sz w:val="20"/>
      <w:szCs w:val="20"/>
    </w:rPr>
  </w:style>
  <w:style w:type="paragraph" w:customStyle="1" w:styleId="Default">
    <w:name w:val="Default"/>
    <w:rsid w:val="00E55105"/>
    <w:pPr>
      <w:autoSpaceDE w:val="0"/>
      <w:autoSpaceDN w:val="0"/>
      <w:adjustRightInd w:val="0"/>
      <w:spacing w:after="0" w:line="240" w:lineRule="auto"/>
    </w:pPr>
    <w:rPr>
      <w:rFonts w:ascii="Segoe UI" w:hAnsi="Segoe UI" w:cs="Segoe UI"/>
      <w:color w:val="000000"/>
      <w:sz w:val="24"/>
      <w:szCs w:val="24"/>
    </w:rPr>
  </w:style>
  <w:style w:type="paragraph" w:styleId="Antrats">
    <w:name w:val="header"/>
    <w:basedOn w:val="prastasis"/>
    <w:link w:val="AntratsDiagrama"/>
    <w:uiPriority w:val="99"/>
    <w:unhideWhenUsed/>
    <w:rsid w:val="007F79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79B8"/>
  </w:style>
  <w:style w:type="paragraph" w:styleId="Porat">
    <w:name w:val="footer"/>
    <w:basedOn w:val="prastasis"/>
    <w:link w:val="PoratDiagrama"/>
    <w:uiPriority w:val="99"/>
    <w:unhideWhenUsed/>
    <w:rsid w:val="007F79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5034">
      <w:bodyDiv w:val="1"/>
      <w:marLeft w:val="0"/>
      <w:marRight w:val="0"/>
      <w:marTop w:val="0"/>
      <w:marBottom w:val="0"/>
      <w:divBdr>
        <w:top w:val="none" w:sz="0" w:space="0" w:color="auto"/>
        <w:left w:val="none" w:sz="0" w:space="0" w:color="auto"/>
        <w:bottom w:val="none" w:sz="0" w:space="0" w:color="auto"/>
        <w:right w:val="none" w:sz="0" w:space="0" w:color="auto"/>
      </w:divBdr>
    </w:div>
    <w:div w:id="911963919">
      <w:bodyDiv w:val="1"/>
      <w:marLeft w:val="0"/>
      <w:marRight w:val="0"/>
      <w:marTop w:val="0"/>
      <w:marBottom w:val="0"/>
      <w:divBdr>
        <w:top w:val="none" w:sz="0" w:space="0" w:color="auto"/>
        <w:left w:val="none" w:sz="0" w:space="0" w:color="auto"/>
        <w:bottom w:val="none" w:sz="0" w:space="0" w:color="auto"/>
        <w:right w:val="none" w:sz="0" w:space="0" w:color="auto"/>
      </w:divBdr>
    </w:div>
    <w:div w:id="1570115301">
      <w:bodyDiv w:val="1"/>
      <w:marLeft w:val="0"/>
      <w:marRight w:val="0"/>
      <w:marTop w:val="0"/>
      <w:marBottom w:val="0"/>
      <w:divBdr>
        <w:top w:val="none" w:sz="0" w:space="0" w:color="auto"/>
        <w:left w:val="none" w:sz="0" w:space="0" w:color="auto"/>
        <w:bottom w:val="none" w:sz="0" w:space="0" w:color="auto"/>
        <w:right w:val="none" w:sz="0" w:space="0" w:color="auto"/>
      </w:divBdr>
    </w:div>
    <w:div w:id="1589923076">
      <w:bodyDiv w:val="1"/>
      <w:marLeft w:val="0"/>
      <w:marRight w:val="0"/>
      <w:marTop w:val="0"/>
      <w:marBottom w:val="0"/>
      <w:divBdr>
        <w:top w:val="none" w:sz="0" w:space="0" w:color="auto"/>
        <w:left w:val="none" w:sz="0" w:space="0" w:color="auto"/>
        <w:bottom w:val="none" w:sz="0" w:space="0" w:color="auto"/>
        <w:right w:val="none" w:sz="0" w:space="0" w:color="auto"/>
      </w:divBdr>
    </w:div>
    <w:div w:id="1644576338">
      <w:bodyDiv w:val="1"/>
      <w:marLeft w:val="0"/>
      <w:marRight w:val="0"/>
      <w:marTop w:val="0"/>
      <w:marBottom w:val="0"/>
      <w:divBdr>
        <w:top w:val="none" w:sz="0" w:space="0" w:color="auto"/>
        <w:left w:val="none" w:sz="0" w:space="0" w:color="auto"/>
        <w:bottom w:val="none" w:sz="0" w:space="0" w:color="auto"/>
        <w:right w:val="none" w:sz="0" w:space="0" w:color="auto"/>
      </w:divBdr>
    </w:div>
    <w:div w:id="1660185064">
      <w:bodyDiv w:val="1"/>
      <w:marLeft w:val="0"/>
      <w:marRight w:val="0"/>
      <w:marTop w:val="0"/>
      <w:marBottom w:val="0"/>
      <w:divBdr>
        <w:top w:val="none" w:sz="0" w:space="0" w:color="auto"/>
        <w:left w:val="none" w:sz="0" w:space="0" w:color="auto"/>
        <w:bottom w:val="none" w:sz="0" w:space="0" w:color="auto"/>
        <w:right w:val="none" w:sz="0" w:space="0" w:color="auto"/>
      </w:divBdr>
    </w:div>
    <w:div w:id="183345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5740</Words>
  <Characters>3272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Švetkauskas</dc:creator>
  <cp:keywords/>
  <dc:description/>
  <cp:lastModifiedBy>Lina Bukauskienė</cp:lastModifiedBy>
  <cp:revision>3</cp:revision>
  <dcterms:created xsi:type="dcterms:W3CDTF">2019-06-18T08:34:00Z</dcterms:created>
  <dcterms:modified xsi:type="dcterms:W3CDTF">2019-06-18T11:44:00Z</dcterms:modified>
</cp:coreProperties>
</file>