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948" w:rsidRDefault="006E1948" w:rsidP="006E1948">
      <w:pPr>
        <w:pStyle w:val="prastasiniatinklio"/>
        <w:jc w:val="center"/>
      </w:pPr>
      <w:bookmarkStart w:id="0" w:name="_GoBack"/>
      <w:bookmarkEnd w:id="0"/>
      <w:r>
        <w:rPr>
          <w:rFonts w:ascii="Arial" w:hAnsi="Arial"/>
          <w:sz w:val="36"/>
          <w:szCs w:val="20"/>
        </w:rPr>
        <w:t>LIETUVOS RESPUBLIKOS VYRIAUSYBĖS</w:t>
      </w:r>
      <w:r>
        <w:rPr>
          <w:rFonts w:ascii="Arial" w:hAnsi="Arial"/>
          <w:sz w:val="36"/>
          <w:szCs w:val="20"/>
        </w:rPr>
        <w:br/>
      </w:r>
      <w:r>
        <w:rPr>
          <w:rFonts w:ascii="Arial" w:hAnsi="Arial"/>
          <w:sz w:val="28"/>
          <w:szCs w:val="20"/>
        </w:rPr>
        <w:t>PASITARIMO</w:t>
      </w:r>
      <w:r>
        <w:rPr>
          <w:rFonts w:ascii="Arial" w:hAnsi="Arial"/>
          <w:sz w:val="28"/>
          <w:szCs w:val="20"/>
        </w:rPr>
        <w:br/>
      </w:r>
      <w:r>
        <w:rPr>
          <w:rFonts w:ascii="Arial" w:hAnsi="Arial"/>
          <w:sz w:val="32"/>
          <w:szCs w:val="32"/>
        </w:rPr>
        <w:t>PROTOKOLAS</w:t>
      </w:r>
    </w:p>
    <w:p w:rsidR="006E1948" w:rsidRDefault="006E1948" w:rsidP="006C6168">
      <w:pPr>
        <w:spacing w:line="360" w:lineRule="atLeast"/>
        <w:jc w:val="center"/>
      </w:pPr>
      <w:r>
        <w:t>20</w:t>
      </w:r>
      <w:r w:rsidR="00C5739A">
        <w:t>1</w:t>
      </w:r>
      <w:r w:rsidR="00235AD7">
        <w:t>8</w:t>
      </w:r>
      <w:r>
        <w:t xml:space="preserve"> m.</w:t>
      </w:r>
      <w:r w:rsidR="00D920D8">
        <w:t xml:space="preserve">                            </w:t>
      </w:r>
      <w:r w:rsidR="00DE7C90">
        <w:t xml:space="preserve"> </w:t>
      </w:r>
      <w:r w:rsidR="006C6168">
        <w:t xml:space="preserve">   </w:t>
      </w:r>
      <w:r>
        <w:t xml:space="preserve"> d. Nr. </w:t>
      </w:r>
    </w:p>
    <w:p w:rsidR="009B6855" w:rsidRPr="00105D58" w:rsidRDefault="009B6855" w:rsidP="006E1948">
      <w:pPr>
        <w:pStyle w:val="papildomi"/>
      </w:pPr>
    </w:p>
    <w:p w:rsidR="006E1948" w:rsidRPr="00FF4F72" w:rsidRDefault="006E1948" w:rsidP="004E3CCA">
      <w:pPr>
        <w:pStyle w:val="papildomi"/>
        <w:spacing w:line="240" w:lineRule="auto"/>
      </w:pPr>
      <w:r w:rsidRPr="00FF4F72">
        <w:t>Dėl</w:t>
      </w:r>
      <w:r w:rsidR="0046308E" w:rsidRPr="00FF4F72">
        <w:t xml:space="preserve"> priemonių socialiniams ir ekonominiams skirtumams regionuose, kuriuose gausiai gyvena tautinių mažumų atstovai, mažinti:</w:t>
      </w:r>
    </w:p>
    <w:p w:rsidR="006E1948" w:rsidRPr="00FF4F72" w:rsidRDefault="006E1948" w:rsidP="004E3CCA">
      <w:pPr>
        <w:ind w:firstLine="680"/>
        <w:jc w:val="both"/>
      </w:pPr>
      <w:r w:rsidRPr="00FF4F72">
        <w:t> </w:t>
      </w:r>
    </w:p>
    <w:p w:rsidR="006C6168" w:rsidRPr="00FF4F72" w:rsidRDefault="006C6168" w:rsidP="004E3CCA">
      <w:pPr>
        <w:pStyle w:val="Antrats"/>
        <w:ind w:firstLine="680"/>
        <w:jc w:val="both"/>
        <w:rPr>
          <w:b/>
          <w:lang w:val="lt-LT"/>
        </w:rPr>
      </w:pPr>
      <w:r w:rsidRPr="00FF4F72">
        <w:rPr>
          <w:b/>
          <w:lang w:val="lt-LT"/>
        </w:rPr>
        <w:t>Nutarta:</w:t>
      </w:r>
    </w:p>
    <w:p w:rsidR="00270596" w:rsidRDefault="00156787" w:rsidP="00173FF9">
      <w:pPr>
        <w:pStyle w:val="Sraopastraip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FF4F72">
        <w:rPr>
          <w:rFonts w:ascii="Times New Roman" w:hAnsi="Times New Roman"/>
          <w:bCs/>
          <w:sz w:val="24"/>
          <w:szCs w:val="24"/>
        </w:rPr>
        <w:t>1. </w:t>
      </w:r>
      <w:r w:rsidR="00702B87" w:rsidRPr="00FF4F72">
        <w:rPr>
          <w:rFonts w:ascii="Times New Roman" w:hAnsi="Times New Roman"/>
          <w:bCs/>
          <w:sz w:val="24"/>
          <w:szCs w:val="24"/>
        </w:rPr>
        <w:t>Atsižvelgti į</w:t>
      </w:r>
      <w:r w:rsidR="00F9496C" w:rsidRPr="00FF4F72">
        <w:rPr>
          <w:rFonts w:ascii="Times New Roman" w:hAnsi="Times New Roman"/>
          <w:bCs/>
          <w:sz w:val="24"/>
          <w:szCs w:val="24"/>
        </w:rPr>
        <w:t xml:space="preserve"> Vidaus reikalų ministerijos </w:t>
      </w:r>
      <w:r w:rsidR="001205EC" w:rsidRPr="00FF4F72">
        <w:rPr>
          <w:rFonts w:ascii="Times New Roman" w:hAnsi="Times New Roman"/>
          <w:bCs/>
          <w:sz w:val="24"/>
          <w:szCs w:val="24"/>
        </w:rPr>
        <w:t xml:space="preserve">pateiktą informaciją </w:t>
      </w:r>
      <w:r w:rsidR="00F9496C" w:rsidRPr="00FF4F72">
        <w:rPr>
          <w:rFonts w:ascii="Times New Roman" w:hAnsi="Times New Roman"/>
          <w:bCs/>
          <w:sz w:val="24"/>
          <w:szCs w:val="24"/>
        </w:rPr>
        <w:t>apie ministerijų (su pavaldžiomis institucijomis ir įstaigomis) vykdomas priemones socialiniams ir ekonominiams skirtumams regionuose, kuriuose gausiai gyvena tautinių mažumų atstovai, mažinti, nustatytas</w:t>
      </w:r>
      <w:r w:rsidR="00702B87" w:rsidRPr="00FF4F72">
        <w:rPr>
          <w:rFonts w:ascii="Times New Roman" w:hAnsi="Times New Roman"/>
          <w:bCs/>
          <w:sz w:val="24"/>
          <w:szCs w:val="24"/>
        </w:rPr>
        <w:t xml:space="preserve"> </w:t>
      </w:r>
      <w:r w:rsidR="00844342" w:rsidRPr="00FF4F72">
        <w:rPr>
          <w:rFonts w:ascii="Times New Roman" w:hAnsi="Times New Roman"/>
          <w:bCs/>
          <w:sz w:val="24"/>
          <w:szCs w:val="24"/>
        </w:rPr>
        <w:t xml:space="preserve">2014 m. </w:t>
      </w:r>
      <w:r w:rsidR="00F9496C" w:rsidRPr="00FF4F72">
        <w:rPr>
          <w:rFonts w:ascii="Times New Roman" w:hAnsi="Times New Roman"/>
          <w:bCs/>
          <w:sz w:val="24"/>
          <w:szCs w:val="24"/>
        </w:rPr>
        <w:t>sausio</w:t>
      </w:r>
      <w:r w:rsidR="00844342" w:rsidRPr="00FF4F72">
        <w:rPr>
          <w:rFonts w:ascii="Times New Roman" w:hAnsi="Times New Roman"/>
          <w:bCs/>
          <w:sz w:val="24"/>
          <w:szCs w:val="24"/>
        </w:rPr>
        <w:t xml:space="preserve"> </w:t>
      </w:r>
      <w:r w:rsidR="00F9496C" w:rsidRPr="00FF4F72">
        <w:rPr>
          <w:rFonts w:ascii="Times New Roman" w:hAnsi="Times New Roman"/>
          <w:bCs/>
          <w:sz w:val="24"/>
          <w:szCs w:val="24"/>
        </w:rPr>
        <w:t>14 d</w:t>
      </w:r>
      <w:r w:rsidR="00844342" w:rsidRPr="00FF4F72">
        <w:rPr>
          <w:rFonts w:ascii="Times New Roman" w:hAnsi="Times New Roman"/>
          <w:bCs/>
          <w:sz w:val="24"/>
          <w:szCs w:val="24"/>
        </w:rPr>
        <w:t>.</w:t>
      </w:r>
      <w:r w:rsidR="00F9496C" w:rsidRPr="00FF4F72">
        <w:rPr>
          <w:rFonts w:ascii="Times New Roman" w:hAnsi="Times New Roman"/>
          <w:bCs/>
          <w:sz w:val="24"/>
          <w:szCs w:val="24"/>
        </w:rPr>
        <w:t xml:space="preserve"> Vyriausybės protokoliniu sprendimu Nr.</w:t>
      </w:r>
      <w:r w:rsidR="001205EC" w:rsidRPr="00FF4F72">
        <w:rPr>
          <w:rFonts w:ascii="Times New Roman" w:hAnsi="Times New Roman"/>
          <w:bCs/>
          <w:sz w:val="24"/>
          <w:szCs w:val="24"/>
        </w:rPr>
        <w:t xml:space="preserve"> 2</w:t>
      </w:r>
      <w:r w:rsidR="00F94679" w:rsidRPr="00FF4F72">
        <w:rPr>
          <w:rFonts w:ascii="Times New Roman" w:hAnsi="Times New Roman"/>
          <w:bCs/>
          <w:sz w:val="24"/>
          <w:szCs w:val="24"/>
        </w:rPr>
        <w:t xml:space="preserve"> (toliau – </w:t>
      </w:r>
      <w:r w:rsidR="006117FA">
        <w:rPr>
          <w:rFonts w:ascii="Times New Roman" w:hAnsi="Times New Roman"/>
          <w:bCs/>
          <w:sz w:val="24"/>
          <w:szCs w:val="24"/>
        </w:rPr>
        <w:t>p</w:t>
      </w:r>
      <w:r w:rsidR="00F94679" w:rsidRPr="00FF4F72">
        <w:rPr>
          <w:rFonts w:ascii="Times New Roman" w:hAnsi="Times New Roman"/>
          <w:bCs/>
          <w:sz w:val="24"/>
          <w:szCs w:val="24"/>
        </w:rPr>
        <w:t>riemonės)</w:t>
      </w:r>
      <w:r w:rsidR="006117FA">
        <w:rPr>
          <w:rFonts w:ascii="Times New Roman" w:hAnsi="Times New Roman"/>
          <w:bCs/>
          <w:sz w:val="24"/>
          <w:szCs w:val="24"/>
        </w:rPr>
        <w:t>.</w:t>
      </w:r>
      <w:r w:rsidR="00702B87" w:rsidRPr="00FF4F72">
        <w:rPr>
          <w:rFonts w:ascii="Times New Roman" w:hAnsi="Times New Roman"/>
          <w:bCs/>
          <w:sz w:val="24"/>
          <w:szCs w:val="24"/>
        </w:rPr>
        <w:t xml:space="preserve"> </w:t>
      </w:r>
    </w:p>
    <w:p w:rsidR="00173FF9" w:rsidRPr="00FF4F72" w:rsidRDefault="00173FF9" w:rsidP="00173FF9">
      <w:pPr>
        <w:pStyle w:val="Sraopastraip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173FF9">
        <w:rPr>
          <w:rFonts w:ascii="Times New Roman" w:hAnsi="Times New Roman"/>
          <w:bCs/>
          <w:sz w:val="24"/>
          <w:szCs w:val="24"/>
        </w:rPr>
        <w:t>. Atsižvelgti į Vidaus reikalų ministerijos pateiktą informaciją apie</w:t>
      </w:r>
      <w:r>
        <w:rPr>
          <w:rFonts w:ascii="Times New Roman" w:hAnsi="Times New Roman"/>
          <w:bCs/>
          <w:sz w:val="24"/>
          <w:szCs w:val="24"/>
        </w:rPr>
        <w:t xml:space="preserve"> rengiamą </w:t>
      </w:r>
      <w:r w:rsidRPr="00173FF9">
        <w:rPr>
          <w:rFonts w:ascii="Times New Roman" w:hAnsi="Times New Roman"/>
          <w:bCs/>
          <w:sz w:val="24"/>
          <w:szCs w:val="24"/>
        </w:rPr>
        <w:t>Vilniaus funkcinės zonos plėtros planą („Didysis Vilnius“)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F9496C" w:rsidRDefault="00173FF9" w:rsidP="00173FF9">
      <w:pPr>
        <w:pStyle w:val="Sraopastraip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42AE6">
        <w:rPr>
          <w:rFonts w:ascii="Times New Roman" w:hAnsi="Times New Roman"/>
          <w:sz w:val="24"/>
          <w:szCs w:val="24"/>
        </w:rPr>
        <w:t xml:space="preserve">. Pavesti Vidaus reikalų ministerijai, suderinus su </w:t>
      </w:r>
      <w:r w:rsidR="00342AE6" w:rsidRPr="00342AE6">
        <w:rPr>
          <w:rFonts w:ascii="Times New Roman" w:hAnsi="Times New Roman"/>
          <w:sz w:val="24"/>
          <w:szCs w:val="24"/>
        </w:rPr>
        <w:t>Krašto apsaugos ministerij</w:t>
      </w:r>
      <w:r w:rsidR="00342AE6">
        <w:rPr>
          <w:rFonts w:ascii="Times New Roman" w:hAnsi="Times New Roman"/>
          <w:sz w:val="24"/>
          <w:szCs w:val="24"/>
        </w:rPr>
        <w:t>a</w:t>
      </w:r>
      <w:r w:rsidR="00342AE6" w:rsidRPr="00342AE6">
        <w:rPr>
          <w:rFonts w:ascii="Times New Roman" w:hAnsi="Times New Roman"/>
          <w:sz w:val="24"/>
          <w:szCs w:val="24"/>
        </w:rPr>
        <w:t>, Kultūr</w:t>
      </w:r>
      <w:r w:rsidR="00342AE6">
        <w:rPr>
          <w:rFonts w:ascii="Times New Roman" w:hAnsi="Times New Roman"/>
          <w:sz w:val="24"/>
          <w:szCs w:val="24"/>
        </w:rPr>
        <w:t>os ministerija, Susisiekimo ministerija</w:t>
      </w:r>
      <w:r w:rsidR="00342AE6" w:rsidRPr="00342AE6">
        <w:rPr>
          <w:rFonts w:ascii="Times New Roman" w:hAnsi="Times New Roman"/>
          <w:sz w:val="24"/>
          <w:szCs w:val="24"/>
        </w:rPr>
        <w:t>,</w:t>
      </w:r>
      <w:r w:rsidR="00342AE6">
        <w:rPr>
          <w:rFonts w:ascii="Times New Roman" w:hAnsi="Times New Roman"/>
          <w:sz w:val="24"/>
          <w:szCs w:val="24"/>
        </w:rPr>
        <w:t xml:space="preserve"> Švietimo ir mokslo ministerija</w:t>
      </w:r>
      <w:r w:rsidR="00342AE6" w:rsidRPr="00342AE6">
        <w:rPr>
          <w:rFonts w:ascii="Times New Roman" w:hAnsi="Times New Roman"/>
          <w:sz w:val="24"/>
          <w:szCs w:val="24"/>
        </w:rPr>
        <w:t>, Ūkio ministeri</w:t>
      </w:r>
      <w:r w:rsidR="00342AE6">
        <w:rPr>
          <w:rFonts w:ascii="Times New Roman" w:hAnsi="Times New Roman"/>
          <w:sz w:val="24"/>
          <w:szCs w:val="24"/>
        </w:rPr>
        <w:t>ja, Finansų ministerija, Tautinių mažumų departamentu ir Vilniaus regiono plėtros taryba patvirtinti Vilniaus funkcinės zonos plėtros planą („Didysis Vilnius“)</w:t>
      </w:r>
      <w:r w:rsidR="00342AE6" w:rsidRPr="00342AE6">
        <w:rPr>
          <w:rFonts w:ascii="Times New Roman" w:hAnsi="Times New Roman"/>
          <w:sz w:val="24"/>
          <w:szCs w:val="24"/>
        </w:rPr>
        <w:t>.</w:t>
      </w:r>
    </w:p>
    <w:p w:rsidR="00342AE6" w:rsidRDefault="00173FF9" w:rsidP="00173FF9">
      <w:pPr>
        <w:pStyle w:val="Sraopastraip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42AE6">
        <w:rPr>
          <w:rFonts w:ascii="Times New Roman" w:hAnsi="Times New Roman"/>
          <w:sz w:val="24"/>
          <w:szCs w:val="24"/>
        </w:rPr>
        <w:t xml:space="preserve">. Pasiūlyti Energetikos ministerijai, bendradarbiaujant su Švietimo ir mokslo, Kultūros ir Krašto apsaugos ministerijomis ir Tautinių mažumų departamentu papildyti Ignalinos atominės elektrinės eksploatavimo nutraukimo </w:t>
      </w:r>
      <w:proofErr w:type="spellStart"/>
      <w:r w:rsidR="00342AE6">
        <w:rPr>
          <w:rFonts w:ascii="Times New Roman" w:hAnsi="Times New Roman"/>
          <w:sz w:val="24"/>
          <w:szCs w:val="24"/>
        </w:rPr>
        <w:t>tarpinstititucinį</w:t>
      </w:r>
      <w:proofErr w:type="spellEnd"/>
      <w:r w:rsidR="00342AE6">
        <w:rPr>
          <w:rFonts w:ascii="Times New Roman" w:hAnsi="Times New Roman"/>
          <w:sz w:val="24"/>
          <w:szCs w:val="24"/>
        </w:rPr>
        <w:t xml:space="preserve"> veiklos planą Visagino savivaldybei skirtomis priemonėmis, susijusiomis su tautinių bendrijų socialine ir kultūrine integracija, informacinio raštingumo ugdymu.</w:t>
      </w:r>
    </w:p>
    <w:p w:rsidR="00342AE6" w:rsidRDefault="00173FF9" w:rsidP="00173FF9">
      <w:pPr>
        <w:pStyle w:val="Sraopastraip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42AE6">
        <w:rPr>
          <w:rFonts w:ascii="Times New Roman" w:hAnsi="Times New Roman"/>
          <w:sz w:val="24"/>
          <w:szCs w:val="24"/>
        </w:rPr>
        <w:t xml:space="preserve">. Pasiūlyti Vidaus reikalų ministerijai kartu su Kultūros ir Švietimo ir mokslo ministerijomis parengti ir išbandyti Vilniaus regione daugiafunkcių paslaugų įstaigų modelį, </w:t>
      </w:r>
      <w:r w:rsidR="00342AE6" w:rsidRPr="00342AE6">
        <w:rPr>
          <w:rFonts w:ascii="Times New Roman" w:hAnsi="Times New Roman"/>
          <w:sz w:val="24"/>
          <w:szCs w:val="24"/>
        </w:rPr>
        <w:t>apim</w:t>
      </w:r>
      <w:r w:rsidR="00342AE6">
        <w:rPr>
          <w:rFonts w:ascii="Times New Roman" w:hAnsi="Times New Roman"/>
          <w:sz w:val="24"/>
          <w:szCs w:val="24"/>
        </w:rPr>
        <w:t>ant</w:t>
      </w:r>
      <w:r w:rsidR="00C5739A">
        <w:rPr>
          <w:rFonts w:ascii="Times New Roman" w:hAnsi="Times New Roman"/>
          <w:sz w:val="24"/>
          <w:szCs w:val="24"/>
        </w:rPr>
        <w:t>į</w:t>
      </w:r>
      <w:r w:rsidR="00342AE6" w:rsidRPr="00342AE6">
        <w:rPr>
          <w:rFonts w:ascii="Times New Roman" w:hAnsi="Times New Roman"/>
          <w:sz w:val="24"/>
          <w:szCs w:val="24"/>
        </w:rPr>
        <w:t xml:space="preserve"> (neapsiribojant): ikimokyklinį ir bendrąjį lavinimą lietuvių kalba, suaugusiųjų valstybinės kalbos mokymą/mokymąsi, tautinių </w:t>
      </w:r>
      <w:r w:rsidR="00342AE6">
        <w:rPr>
          <w:rFonts w:ascii="Times New Roman" w:hAnsi="Times New Roman"/>
          <w:sz w:val="24"/>
          <w:szCs w:val="24"/>
        </w:rPr>
        <w:t xml:space="preserve">bendrijų </w:t>
      </w:r>
      <w:r w:rsidR="00342AE6" w:rsidRPr="00342AE6">
        <w:rPr>
          <w:rFonts w:ascii="Times New Roman" w:hAnsi="Times New Roman"/>
          <w:sz w:val="24"/>
          <w:szCs w:val="24"/>
        </w:rPr>
        <w:t>kalbų mokymą (neformalų švietimą), bibliotekų filialų paslaugas, kitų</w:t>
      </w:r>
      <w:r w:rsidR="00C5739A">
        <w:rPr>
          <w:rFonts w:ascii="Times New Roman" w:hAnsi="Times New Roman"/>
          <w:sz w:val="24"/>
          <w:szCs w:val="24"/>
        </w:rPr>
        <w:t xml:space="preserve"> švietimo,</w:t>
      </w:r>
      <w:r w:rsidR="00342AE6" w:rsidRPr="00342AE6">
        <w:rPr>
          <w:rFonts w:ascii="Times New Roman" w:hAnsi="Times New Roman"/>
          <w:sz w:val="24"/>
          <w:szCs w:val="24"/>
        </w:rPr>
        <w:t xml:space="preserve"> kultūros ir </w:t>
      </w:r>
      <w:r w:rsidR="00342AE6">
        <w:rPr>
          <w:rFonts w:ascii="Times New Roman" w:hAnsi="Times New Roman"/>
          <w:sz w:val="24"/>
          <w:szCs w:val="24"/>
        </w:rPr>
        <w:t xml:space="preserve">socialinių sričių, </w:t>
      </w:r>
      <w:proofErr w:type="spellStart"/>
      <w:r w:rsidR="00342AE6" w:rsidRPr="00342AE6">
        <w:rPr>
          <w:rFonts w:ascii="Times New Roman" w:hAnsi="Times New Roman"/>
          <w:sz w:val="24"/>
          <w:szCs w:val="24"/>
        </w:rPr>
        <w:t>bendradarbytės</w:t>
      </w:r>
      <w:proofErr w:type="spellEnd"/>
      <w:r w:rsidR="00342AE6">
        <w:rPr>
          <w:rFonts w:ascii="Times New Roman" w:hAnsi="Times New Roman"/>
          <w:sz w:val="24"/>
          <w:szCs w:val="24"/>
        </w:rPr>
        <w:t xml:space="preserve"> ir verslumo skatinimo </w:t>
      </w:r>
      <w:r w:rsidR="00C5739A">
        <w:rPr>
          <w:rFonts w:ascii="Times New Roman" w:hAnsi="Times New Roman"/>
          <w:sz w:val="24"/>
          <w:szCs w:val="24"/>
        </w:rPr>
        <w:t>paslaugas, teikiamas kelių savivaldybių gyventojams.</w:t>
      </w:r>
    </w:p>
    <w:p w:rsidR="00342AE6" w:rsidRDefault="00173FF9" w:rsidP="00173FF9">
      <w:pPr>
        <w:pStyle w:val="Sraopastraip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42AE6">
        <w:rPr>
          <w:rFonts w:ascii="Times New Roman" w:hAnsi="Times New Roman"/>
          <w:sz w:val="24"/>
          <w:szCs w:val="24"/>
        </w:rPr>
        <w:t xml:space="preserve">. Pasiūlyti </w:t>
      </w:r>
      <w:r w:rsidR="00342AE6" w:rsidRPr="00342AE6">
        <w:rPr>
          <w:rFonts w:ascii="Times New Roman" w:hAnsi="Times New Roman"/>
          <w:sz w:val="24"/>
          <w:szCs w:val="24"/>
        </w:rPr>
        <w:t xml:space="preserve">Vidaus reikalų ministerijai kartu su </w:t>
      </w:r>
      <w:r w:rsidR="00342AE6">
        <w:rPr>
          <w:rFonts w:ascii="Times New Roman" w:hAnsi="Times New Roman"/>
          <w:sz w:val="24"/>
          <w:szCs w:val="24"/>
        </w:rPr>
        <w:t>Susisiekimo ministerija</w:t>
      </w:r>
      <w:r w:rsidR="00C5739A">
        <w:rPr>
          <w:rFonts w:ascii="Times New Roman" w:hAnsi="Times New Roman"/>
          <w:sz w:val="24"/>
          <w:szCs w:val="24"/>
        </w:rPr>
        <w:t>, Vilniaus regiono savivaldybėmis ir regiono plėtros taryba parengti ir įdiegti r</w:t>
      </w:r>
      <w:r w:rsidR="00C5739A" w:rsidRPr="00C5739A">
        <w:rPr>
          <w:rFonts w:ascii="Times New Roman" w:hAnsi="Times New Roman"/>
          <w:sz w:val="24"/>
          <w:szCs w:val="24"/>
        </w:rPr>
        <w:t xml:space="preserve">egioninio viešojo transporto paslaugų planavimo, finansavimo ir atsiskaitymo už paslaugas </w:t>
      </w:r>
      <w:r w:rsidR="00C5739A">
        <w:rPr>
          <w:rFonts w:ascii="Times New Roman" w:hAnsi="Times New Roman"/>
          <w:sz w:val="24"/>
          <w:szCs w:val="24"/>
        </w:rPr>
        <w:t>sistemą.</w:t>
      </w:r>
    </w:p>
    <w:p w:rsidR="00C5739A" w:rsidRPr="00FF4F72" w:rsidRDefault="00173FF9" w:rsidP="00173FF9">
      <w:pPr>
        <w:pStyle w:val="Sraopastraip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5739A">
        <w:rPr>
          <w:rFonts w:ascii="Times New Roman" w:hAnsi="Times New Roman"/>
          <w:sz w:val="24"/>
          <w:szCs w:val="24"/>
        </w:rPr>
        <w:t xml:space="preserve">. Pasiūlyti </w:t>
      </w:r>
      <w:r w:rsidR="00C5739A" w:rsidRPr="00C5739A">
        <w:rPr>
          <w:rFonts w:ascii="Times New Roman" w:hAnsi="Times New Roman"/>
          <w:sz w:val="24"/>
          <w:szCs w:val="24"/>
        </w:rPr>
        <w:t xml:space="preserve">Vidaus reikalų ministerijai kartu su </w:t>
      </w:r>
      <w:r w:rsidR="00C5739A">
        <w:rPr>
          <w:rFonts w:ascii="Times New Roman" w:hAnsi="Times New Roman"/>
          <w:sz w:val="24"/>
          <w:szCs w:val="24"/>
        </w:rPr>
        <w:t xml:space="preserve">Finansų </w:t>
      </w:r>
      <w:r w:rsidR="00C5739A" w:rsidRPr="00C5739A">
        <w:rPr>
          <w:rFonts w:ascii="Times New Roman" w:hAnsi="Times New Roman"/>
          <w:sz w:val="24"/>
          <w:szCs w:val="24"/>
        </w:rPr>
        <w:t>ministerija</w:t>
      </w:r>
      <w:r w:rsidR="00C5739A">
        <w:rPr>
          <w:rFonts w:ascii="Times New Roman" w:hAnsi="Times New Roman"/>
          <w:sz w:val="24"/>
          <w:szCs w:val="24"/>
        </w:rPr>
        <w:t xml:space="preserve"> ir Vyriausybės kanceliarija įvertinti finansinių priemonių panaudojimo galimybes įgyvendinant Vilniaus funkcinės zonos plėtros planą.</w:t>
      </w:r>
    </w:p>
    <w:sectPr w:rsidR="00C5739A" w:rsidRPr="00FF4F72" w:rsidSect="002F3226">
      <w:headerReference w:type="default" r:id="rId8"/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45E" w:rsidRDefault="00A8145E" w:rsidP="002F3226">
      <w:r>
        <w:separator/>
      </w:r>
    </w:p>
  </w:endnote>
  <w:endnote w:type="continuationSeparator" w:id="0">
    <w:p w:rsidR="00A8145E" w:rsidRDefault="00A8145E" w:rsidP="002F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45E" w:rsidRDefault="00A8145E" w:rsidP="002F3226">
      <w:r>
        <w:separator/>
      </w:r>
    </w:p>
  </w:footnote>
  <w:footnote w:type="continuationSeparator" w:id="0">
    <w:p w:rsidR="00A8145E" w:rsidRDefault="00A8145E" w:rsidP="002F3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226" w:rsidRDefault="002F322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205EC" w:rsidRPr="001205EC">
      <w:rPr>
        <w:noProof/>
        <w:lang w:val="lt-LT"/>
      </w:rPr>
      <w:t>2</w:t>
    </w:r>
    <w:r>
      <w:fldChar w:fldCharType="end"/>
    </w:r>
  </w:p>
  <w:p w:rsidR="002F3226" w:rsidRDefault="002F32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ABC" w:rsidRPr="00400ABC" w:rsidRDefault="00400ABC" w:rsidP="00400ABC">
    <w:pPr>
      <w:pStyle w:val="Antrats"/>
      <w:ind w:left="6480" w:firstLine="1296"/>
      <w:rPr>
        <w:b/>
        <w:lang w:val="lt-LT"/>
      </w:rPr>
    </w:pPr>
    <w:r w:rsidRPr="00400ABC">
      <w:rPr>
        <w:b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F1CD3"/>
    <w:multiLevelType w:val="multilevel"/>
    <w:tmpl w:val="E81E7E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15E02B6"/>
    <w:multiLevelType w:val="hybridMultilevel"/>
    <w:tmpl w:val="79368452"/>
    <w:lvl w:ilvl="0" w:tplc="DCC4F7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C0D4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A2A7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2CD5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02B3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FE038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6E01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92BA9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9C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33F47"/>
    <w:multiLevelType w:val="hybridMultilevel"/>
    <w:tmpl w:val="C47A04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04911"/>
    <w:multiLevelType w:val="hybridMultilevel"/>
    <w:tmpl w:val="BC8CD5FA"/>
    <w:lvl w:ilvl="0" w:tplc="5AFCE794">
      <w:start w:val="1"/>
      <w:numFmt w:val="decimal"/>
      <w:lvlText w:val="%1."/>
      <w:lvlJc w:val="left"/>
      <w:pPr>
        <w:ind w:left="1040" w:hanging="360"/>
      </w:pPr>
      <w:rPr>
        <w:rFonts w:eastAsia="BookAntiqua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4CB57C5B"/>
    <w:multiLevelType w:val="hybridMultilevel"/>
    <w:tmpl w:val="D97ADD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E0BAC"/>
    <w:multiLevelType w:val="hybridMultilevel"/>
    <w:tmpl w:val="722A522A"/>
    <w:lvl w:ilvl="0" w:tplc="951E1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plc="30DCD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64D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C41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D6A1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8A1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A63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02E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CA6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48"/>
    <w:rsid w:val="00017862"/>
    <w:rsid w:val="000329AB"/>
    <w:rsid w:val="000412A1"/>
    <w:rsid w:val="00050F6D"/>
    <w:rsid w:val="00077B4D"/>
    <w:rsid w:val="00097479"/>
    <w:rsid w:val="000B4D36"/>
    <w:rsid w:val="000B580E"/>
    <w:rsid w:val="000C267A"/>
    <w:rsid w:val="000D1A28"/>
    <w:rsid w:val="000D423B"/>
    <w:rsid w:val="000D45D5"/>
    <w:rsid w:val="000F15BA"/>
    <w:rsid w:val="00105D58"/>
    <w:rsid w:val="00111A07"/>
    <w:rsid w:val="001205EC"/>
    <w:rsid w:val="00121386"/>
    <w:rsid w:val="001252C3"/>
    <w:rsid w:val="00140455"/>
    <w:rsid w:val="00144A5F"/>
    <w:rsid w:val="00156787"/>
    <w:rsid w:val="001621F4"/>
    <w:rsid w:val="00163910"/>
    <w:rsid w:val="00172A11"/>
    <w:rsid w:val="00173FF9"/>
    <w:rsid w:val="001776AD"/>
    <w:rsid w:val="00184F15"/>
    <w:rsid w:val="001D400F"/>
    <w:rsid w:val="001E295A"/>
    <w:rsid w:val="001E6452"/>
    <w:rsid w:val="001F354A"/>
    <w:rsid w:val="00213F56"/>
    <w:rsid w:val="0021405F"/>
    <w:rsid w:val="00235AD7"/>
    <w:rsid w:val="00240FD0"/>
    <w:rsid w:val="00270596"/>
    <w:rsid w:val="002E30D1"/>
    <w:rsid w:val="002F3226"/>
    <w:rsid w:val="00302E6C"/>
    <w:rsid w:val="00313E06"/>
    <w:rsid w:val="00322F40"/>
    <w:rsid w:val="00335923"/>
    <w:rsid w:val="00342AE6"/>
    <w:rsid w:val="00351A2C"/>
    <w:rsid w:val="00355D0E"/>
    <w:rsid w:val="00380DB5"/>
    <w:rsid w:val="00395393"/>
    <w:rsid w:val="003A515E"/>
    <w:rsid w:val="003A617A"/>
    <w:rsid w:val="003E2F4F"/>
    <w:rsid w:val="00400ABC"/>
    <w:rsid w:val="00400AE8"/>
    <w:rsid w:val="00410E3A"/>
    <w:rsid w:val="00416158"/>
    <w:rsid w:val="00442D89"/>
    <w:rsid w:val="00454098"/>
    <w:rsid w:val="0046308E"/>
    <w:rsid w:val="004663E3"/>
    <w:rsid w:val="00473604"/>
    <w:rsid w:val="0048072D"/>
    <w:rsid w:val="00480F9D"/>
    <w:rsid w:val="00484274"/>
    <w:rsid w:val="00494189"/>
    <w:rsid w:val="004A16D0"/>
    <w:rsid w:val="004A5178"/>
    <w:rsid w:val="004B5DA8"/>
    <w:rsid w:val="004C3B6F"/>
    <w:rsid w:val="004D2BC1"/>
    <w:rsid w:val="004D42D3"/>
    <w:rsid w:val="004E3CCA"/>
    <w:rsid w:val="004E5836"/>
    <w:rsid w:val="00510FB9"/>
    <w:rsid w:val="0051434A"/>
    <w:rsid w:val="005261EC"/>
    <w:rsid w:val="00536C02"/>
    <w:rsid w:val="0053727B"/>
    <w:rsid w:val="00553BDC"/>
    <w:rsid w:val="00557AB9"/>
    <w:rsid w:val="005710ED"/>
    <w:rsid w:val="005C7FD1"/>
    <w:rsid w:val="005F4510"/>
    <w:rsid w:val="006117FA"/>
    <w:rsid w:val="0061689C"/>
    <w:rsid w:val="0062085B"/>
    <w:rsid w:val="0065368E"/>
    <w:rsid w:val="00675A2E"/>
    <w:rsid w:val="0068245C"/>
    <w:rsid w:val="006C6168"/>
    <w:rsid w:val="006D77AA"/>
    <w:rsid w:val="006E1948"/>
    <w:rsid w:val="007011F3"/>
    <w:rsid w:val="00702B87"/>
    <w:rsid w:val="00730F6D"/>
    <w:rsid w:val="00752076"/>
    <w:rsid w:val="00754865"/>
    <w:rsid w:val="007574E8"/>
    <w:rsid w:val="007810EC"/>
    <w:rsid w:val="007C4A84"/>
    <w:rsid w:val="007D5DCF"/>
    <w:rsid w:val="007E6AC0"/>
    <w:rsid w:val="007E786F"/>
    <w:rsid w:val="007F064C"/>
    <w:rsid w:val="00804472"/>
    <w:rsid w:val="008212F2"/>
    <w:rsid w:val="008403B1"/>
    <w:rsid w:val="00841A8E"/>
    <w:rsid w:val="00844342"/>
    <w:rsid w:val="00874452"/>
    <w:rsid w:val="008B5246"/>
    <w:rsid w:val="008D02D4"/>
    <w:rsid w:val="008E0B18"/>
    <w:rsid w:val="009108D5"/>
    <w:rsid w:val="009152D2"/>
    <w:rsid w:val="00931A8E"/>
    <w:rsid w:val="00943AED"/>
    <w:rsid w:val="00954D75"/>
    <w:rsid w:val="009657A3"/>
    <w:rsid w:val="00977544"/>
    <w:rsid w:val="009B6855"/>
    <w:rsid w:val="009B76C0"/>
    <w:rsid w:val="009E30A9"/>
    <w:rsid w:val="00A06CD5"/>
    <w:rsid w:val="00A1182D"/>
    <w:rsid w:val="00A25B86"/>
    <w:rsid w:val="00A56DB2"/>
    <w:rsid w:val="00A62EED"/>
    <w:rsid w:val="00A63E8A"/>
    <w:rsid w:val="00A679A7"/>
    <w:rsid w:val="00A8145E"/>
    <w:rsid w:val="00A87A58"/>
    <w:rsid w:val="00A9549B"/>
    <w:rsid w:val="00AA0AE2"/>
    <w:rsid w:val="00AD6132"/>
    <w:rsid w:val="00AF1751"/>
    <w:rsid w:val="00B137A8"/>
    <w:rsid w:val="00B212CF"/>
    <w:rsid w:val="00B236E0"/>
    <w:rsid w:val="00B5495B"/>
    <w:rsid w:val="00B627F0"/>
    <w:rsid w:val="00B76924"/>
    <w:rsid w:val="00B91D48"/>
    <w:rsid w:val="00BD652C"/>
    <w:rsid w:val="00BD721B"/>
    <w:rsid w:val="00BE402B"/>
    <w:rsid w:val="00BF30C1"/>
    <w:rsid w:val="00BF4A9E"/>
    <w:rsid w:val="00C37697"/>
    <w:rsid w:val="00C44D2D"/>
    <w:rsid w:val="00C5739A"/>
    <w:rsid w:val="00C57F7B"/>
    <w:rsid w:val="00C640A4"/>
    <w:rsid w:val="00C73BF7"/>
    <w:rsid w:val="00CA391F"/>
    <w:rsid w:val="00D15D33"/>
    <w:rsid w:val="00D23524"/>
    <w:rsid w:val="00D245F6"/>
    <w:rsid w:val="00D32C29"/>
    <w:rsid w:val="00D52319"/>
    <w:rsid w:val="00D56EA9"/>
    <w:rsid w:val="00D637A7"/>
    <w:rsid w:val="00D81D89"/>
    <w:rsid w:val="00D920D8"/>
    <w:rsid w:val="00DA53DD"/>
    <w:rsid w:val="00DB587D"/>
    <w:rsid w:val="00DE403E"/>
    <w:rsid w:val="00DE7C90"/>
    <w:rsid w:val="00E03604"/>
    <w:rsid w:val="00E130EF"/>
    <w:rsid w:val="00E2490E"/>
    <w:rsid w:val="00E301CE"/>
    <w:rsid w:val="00E4254C"/>
    <w:rsid w:val="00E451FB"/>
    <w:rsid w:val="00EA15A4"/>
    <w:rsid w:val="00EA526A"/>
    <w:rsid w:val="00EA5C0B"/>
    <w:rsid w:val="00EA6642"/>
    <w:rsid w:val="00EB48D0"/>
    <w:rsid w:val="00EC04BF"/>
    <w:rsid w:val="00EC464B"/>
    <w:rsid w:val="00EC6BD3"/>
    <w:rsid w:val="00ED0C8C"/>
    <w:rsid w:val="00ED25BB"/>
    <w:rsid w:val="00ED678F"/>
    <w:rsid w:val="00EE1B34"/>
    <w:rsid w:val="00EE79EF"/>
    <w:rsid w:val="00EF3BDB"/>
    <w:rsid w:val="00F115DA"/>
    <w:rsid w:val="00F40539"/>
    <w:rsid w:val="00F560E3"/>
    <w:rsid w:val="00F94679"/>
    <w:rsid w:val="00F9496C"/>
    <w:rsid w:val="00FA129E"/>
    <w:rsid w:val="00FF2AA0"/>
    <w:rsid w:val="00FF2CED"/>
    <w:rsid w:val="00FF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20FE2C"/>
  <w15:chartTrackingRefBased/>
  <w15:docId w15:val="{72FD66FA-7B44-4F16-9F0E-2FA5042A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customStyle="1" w:styleId="papildomi">
    <w:name w:val="papildomi"/>
    <w:basedOn w:val="prastasis"/>
    <w:rsid w:val="006E1948"/>
    <w:pPr>
      <w:spacing w:line="360" w:lineRule="atLeast"/>
      <w:ind w:firstLine="680"/>
      <w:jc w:val="both"/>
    </w:pPr>
    <w:rPr>
      <w:lang w:bidi="ta-IN"/>
    </w:rPr>
  </w:style>
  <w:style w:type="paragraph" w:styleId="Antrats">
    <w:name w:val="header"/>
    <w:basedOn w:val="prastasis"/>
    <w:link w:val="AntratsDiagrama"/>
    <w:uiPriority w:val="99"/>
    <w:rsid w:val="006E1948"/>
    <w:rPr>
      <w:lang w:val="x-none" w:eastAsia="x-none" w:bidi="ta-IN"/>
    </w:rPr>
  </w:style>
  <w:style w:type="paragraph" w:styleId="prastasiniatinklio">
    <w:name w:val="Normal (Web)"/>
    <w:basedOn w:val="prastasis"/>
    <w:rsid w:val="006E1948"/>
    <w:pPr>
      <w:spacing w:before="100" w:beforeAutospacing="1" w:after="100" w:afterAutospacing="1"/>
    </w:pPr>
    <w:rPr>
      <w:lang w:bidi="ta-IN"/>
    </w:rPr>
  </w:style>
  <w:style w:type="character" w:customStyle="1" w:styleId="AntratsDiagrama">
    <w:name w:val="Antraštės Diagrama"/>
    <w:link w:val="Antrats"/>
    <w:uiPriority w:val="99"/>
    <w:rsid w:val="006C6168"/>
    <w:rPr>
      <w:sz w:val="24"/>
      <w:szCs w:val="24"/>
      <w:lang w:bidi="ta-IN"/>
    </w:rPr>
  </w:style>
  <w:style w:type="character" w:styleId="Hipersaitas">
    <w:name w:val="Hyperlink"/>
    <w:uiPriority w:val="99"/>
    <w:unhideWhenUsed/>
    <w:rsid w:val="006C6168"/>
    <w:rPr>
      <w:strike w:val="0"/>
      <w:dstrike w:val="0"/>
      <w:color w:val="767574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6C61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EC464B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EC464B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rsid w:val="001252C3"/>
    <w:pPr>
      <w:tabs>
        <w:tab w:val="center" w:pos="4320"/>
        <w:tab w:val="right" w:pos="8640"/>
      </w:tabs>
    </w:pPr>
    <w:rPr>
      <w:sz w:val="20"/>
      <w:szCs w:val="20"/>
      <w:lang w:val="x-none" w:eastAsia="en-US"/>
    </w:rPr>
  </w:style>
  <w:style w:type="character" w:customStyle="1" w:styleId="PoratDiagrama">
    <w:name w:val="Poraštė Diagrama"/>
    <w:link w:val="Porat"/>
    <w:rsid w:val="001252C3"/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252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1252C3"/>
    <w:rPr>
      <w:rFonts w:ascii="Courier New" w:hAnsi="Courier New" w:cs="Courier New"/>
    </w:rPr>
  </w:style>
  <w:style w:type="paragraph" w:styleId="Pagrindinistekstas2">
    <w:name w:val="Body Text 2"/>
    <w:basedOn w:val="prastasis"/>
    <w:link w:val="Pagrindinistekstas2Diagrama"/>
    <w:rsid w:val="00E130EF"/>
    <w:pPr>
      <w:jc w:val="both"/>
    </w:pPr>
    <w:rPr>
      <w:lang w:val="x-none" w:eastAsia="en-US"/>
    </w:rPr>
  </w:style>
  <w:style w:type="character" w:customStyle="1" w:styleId="Pagrindinistekstas2Diagrama">
    <w:name w:val="Pagrindinis tekstas 2 Diagrama"/>
    <w:link w:val="Pagrindinistekstas2"/>
    <w:rsid w:val="00E130E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  <w:div w:id="8650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15783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1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5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553C6-AC3C-4355-B27F-224050FB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1557</Words>
  <Characters>889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 kanceliarija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Lrvk</dc:creator>
  <cp:keywords/>
  <cp:lastModifiedBy>Eglė Klibavičienė</cp:lastModifiedBy>
  <cp:revision>2</cp:revision>
  <cp:lastPrinted>2018-04-23T06:17:00Z</cp:lastPrinted>
  <dcterms:created xsi:type="dcterms:W3CDTF">2018-04-23T13:51:00Z</dcterms:created>
  <dcterms:modified xsi:type="dcterms:W3CDTF">2018-04-23T13:51:00Z</dcterms:modified>
</cp:coreProperties>
</file>