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7"/>
        <w:gridCol w:w="297"/>
        <w:gridCol w:w="1973"/>
        <w:gridCol w:w="608"/>
        <w:gridCol w:w="1897"/>
      </w:tblGrid>
      <w:tr w:rsidR="00134810" w14:paraId="63018028" w14:textId="77777777" w:rsidTr="00F16408">
        <w:tc>
          <w:tcPr>
            <w:tcW w:w="9882" w:type="dxa"/>
            <w:gridSpan w:val="5"/>
            <w:tcBorders>
              <w:bottom w:val="single" w:sz="4" w:space="0" w:color="000000"/>
            </w:tcBorders>
          </w:tcPr>
          <w:p w14:paraId="63018023" w14:textId="77777777" w:rsidR="00134810" w:rsidRDefault="00911782">
            <w:pPr>
              <w:pStyle w:val="TableContents"/>
              <w:snapToGri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63018051" wp14:editId="63018052">
                  <wp:extent cx="521970" cy="622935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6229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018024" w14:textId="77777777" w:rsidR="00134810" w:rsidRDefault="00134810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63018025" w14:textId="77777777" w:rsidR="00134810" w:rsidRDefault="00230E8B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13481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F16408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13481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63018026" w14:textId="77777777" w:rsidR="00134810" w:rsidRDefault="00134810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tel. (8~5) 266 3661, faks. (8~5) 266 3663, el. p. info@am.lt, http://www.am.lt.</w:t>
            </w:r>
          </w:p>
          <w:p w14:paraId="63018027" w14:textId="77777777" w:rsidR="00134810" w:rsidRDefault="00134810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 kodas 188602370</w:t>
            </w:r>
          </w:p>
        </w:tc>
      </w:tr>
      <w:tr w:rsidR="00134810" w14:paraId="6301802A" w14:textId="77777777" w:rsidTr="00F16408">
        <w:tc>
          <w:tcPr>
            <w:tcW w:w="988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8029" w14:textId="77777777" w:rsidR="00134810" w:rsidRDefault="00134810">
            <w:pPr>
              <w:pStyle w:val="TableContents"/>
              <w:snapToGrid w:val="0"/>
            </w:pPr>
          </w:p>
        </w:tc>
      </w:tr>
      <w:tr w:rsidR="00134810" w14:paraId="63018030" w14:textId="77777777" w:rsidTr="00F16408">
        <w:trPr>
          <w:cantSplit/>
          <w:trHeight w:hRule="exact" w:val="340"/>
        </w:trPr>
        <w:tc>
          <w:tcPr>
            <w:tcW w:w="510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802B" w14:textId="77777777" w:rsidR="00F20997" w:rsidRPr="009F04FA" w:rsidRDefault="00A33A6D" w:rsidP="006514D9">
            <w:pPr>
              <w:pStyle w:val="TableContents"/>
              <w:rPr>
                <w:rFonts w:eastAsia="Times New Roman"/>
              </w:rPr>
            </w:pPr>
            <w:r>
              <w:rPr>
                <w:rFonts w:eastAsia="Times New Roman"/>
                <w:bCs/>
                <w:iCs/>
              </w:rPr>
              <w:t>LR ekonomikos ir inovacijų ministerijai</w:t>
            </w:r>
          </w:p>
        </w:tc>
        <w:tc>
          <w:tcPr>
            <w:tcW w:w="2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802C" w14:textId="77777777" w:rsidR="00134810" w:rsidRDefault="00134810">
            <w:pPr>
              <w:snapToGrid w:val="0"/>
              <w:ind w:right="67"/>
              <w:jc w:val="right"/>
              <w:rPr>
                <w:spacing w:val="10"/>
              </w:rPr>
            </w:pPr>
          </w:p>
        </w:tc>
        <w:tc>
          <w:tcPr>
            <w:tcW w:w="19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802D" w14:textId="77777777" w:rsidR="00134810" w:rsidRDefault="00D55CC6" w:rsidP="0057342B">
            <w:pPr>
              <w:pStyle w:val="TableContents"/>
              <w:snapToGrid w:val="0"/>
              <w:ind w:right="67"/>
            </w:pPr>
            <w:r>
              <w:t>201</w:t>
            </w:r>
            <w:r w:rsidR="00A33A6D">
              <w:t>9</w:t>
            </w:r>
            <w:r w:rsidR="00073E3A">
              <w:t>-</w:t>
            </w:r>
            <w:r w:rsidR="00A33A6D">
              <w:t>01</w:t>
            </w:r>
            <w:r w:rsidR="00205366">
              <w:t>-</w:t>
            </w:r>
          </w:p>
        </w:tc>
        <w:tc>
          <w:tcPr>
            <w:tcW w:w="608" w:type="dxa"/>
          </w:tcPr>
          <w:p w14:paraId="6301802E" w14:textId="77777777" w:rsidR="00134810" w:rsidRDefault="00134810">
            <w:pPr>
              <w:snapToGrid w:val="0"/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1897" w:type="dxa"/>
          </w:tcPr>
          <w:p w14:paraId="6301802F" w14:textId="77777777" w:rsidR="00134810" w:rsidRDefault="00A33A6D">
            <w:pPr>
              <w:pStyle w:val="TableContents"/>
              <w:snapToGrid w:val="0"/>
              <w:ind w:right="67"/>
            </w:pPr>
            <w:r>
              <w:t>(56-5</w:t>
            </w:r>
            <w:r w:rsidR="00134810">
              <w:t>)-D8</w:t>
            </w:r>
            <w:r>
              <w:t>(E)</w:t>
            </w:r>
            <w:r w:rsidR="00134810">
              <w:t>-</w:t>
            </w:r>
          </w:p>
        </w:tc>
      </w:tr>
      <w:tr w:rsidR="00134810" w14:paraId="63018036" w14:textId="77777777" w:rsidTr="00F16408">
        <w:trPr>
          <w:cantSplit/>
          <w:trHeight w:hRule="exact" w:val="390"/>
        </w:trPr>
        <w:tc>
          <w:tcPr>
            <w:tcW w:w="510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8031" w14:textId="77777777" w:rsidR="00134810" w:rsidRDefault="00134810"/>
        </w:tc>
        <w:tc>
          <w:tcPr>
            <w:tcW w:w="2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8032" w14:textId="77777777" w:rsidR="00134810" w:rsidRDefault="00134810">
            <w:pPr>
              <w:tabs>
                <w:tab w:val="left" w:pos="2869"/>
              </w:tabs>
              <w:snapToGrid w:val="0"/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9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8033" w14:textId="77777777" w:rsidR="00134810" w:rsidRDefault="00134810">
            <w:pPr>
              <w:pStyle w:val="TableContents"/>
              <w:snapToGrid w:val="0"/>
              <w:ind w:right="67"/>
            </w:pPr>
          </w:p>
        </w:tc>
        <w:tc>
          <w:tcPr>
            <w:tcW w:w="608" w:type="dxa"/>
          </w:tcPr>
          <w:p w14:paraId="63018034" w14:textId="77777777" w:rsidR="00134810" w:rsidRDefault="00134810">
            <w:pPr>
              <w:tabs>
                <w:tab w:val="left" w:pos="2869"/>
              </w:tabs>
              <w:snapToGrid w:val="0"/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1897" w:type="dxa"/>
          </w:tcPr>
          <w:p w14:paraId="63018035" w14:textId="77777777" w:rsidR="00134810" w:rsidRDefault="00134810">
            <w:pPr>
              <w:pStyle w:val="TableContents"/>
              <w:snapToGrid w:val="0"/>
              <w:ind w:right="67"/>
            </w:pPr>
          </w:p>
        </w:tc>
      </w:tr>
      <w:tr w:rsidR="00134810" w14:paraId="63018039" w14:textId="77777777" w:rsidTr="00F16408">
        <w:trPr>
          <w:cantSplit/>
        </w:trPr>
        <w:tc>
          <w:tcPr>
            <w:tcW w:w="510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8037" w14:textId="77777777" w:rsidR="00134810" w:rsidRDefault="00134810"/>
        </w:tc>
        <w:tc>
          <w:tcPr>
            <w:tcW w:w="477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8038" w14:textId="77777777" w:rsidR="00134810" w:rsidRDefault="00134810">
            <w:pPr>
              <w:tabs>
                <w:tab w:val="left" w:pos="2869"/>
              </w:tabs>
              <w:snapToGrid w:val="0"/>
              <w:ind w:right="67"/>
              <w:rPr>
                <w:spacing w:val="10"/>
              </w:rPr>
            </w:pPr>
          </w:p>
        </w:tc>
      </w:tr>
      <w:tr w:rsidR="00134810" w14:paraId="6301803C" w14:textId="77777777" w:rsidTr="00F16408">
        <w:trPr>
          <w:trHeight w:val="340"/>
        </w:trPr>
        <w:tc>
          <w:tcPr>
            <w:tcW w:w="988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803A" w14:textId="77777777" w:rsidR="00A33A6D" w:rsidRDefault="00A33A6D" w:rsidP="00DE04AC">
            <w:pPr>
              <w:pStyle w:val="Heading4"/>
            </w:pPr>
          </w:p>
          <w:p w14:paraId="6301803B" w14:textId="77777777" w:rsidR="00134810" w:rsidRDefault="00873407" w:rsidP="00A33A6D">
            <w:pPr>
              <w:pStyle w:val="Heading4"/>
            </w:pPr>
            <w:r>
              <w:t xml:space="preserve">Dėl </w:t>
            </w:r>
            <w:r w:rsidR="00A33A6D">
              <w:t>tarpinstitucinio pasitArimo protokolo (dėl viešųjų pirkimų vykdymo funkcijos centralizavimo</w:t>
            </w:r>
            <w:r w:rsidR="00D243C1">
              <w:t>)</w:t>
            </w:r>
          </w:p>
        </w:tc>
      </w:tr>
    </w:tbl>
    <w:p w14:paraId="6301803D" w14:textId="77777777" w:rsidR="00134810" w:rsidRDefault="00134810">
      <w:pPr>
        <w:pStyle w:val="BodyText"/>
        <w:ind w:firstLine="0"/>
      </w:pPr>
    </w:p>
    <w:p w14:paraId="6301803E" w14:textId="77777777" w:rsidR="00A33A6D" w:rsidRDefault="00A33A6D" w:rsidP="00A33A6D">
      <w:pPr>
        <w:pStyle w:val="BodyText"/>
        <w:rPr>
          <w:rFonts w:eastAsia="Times New Roman"/>
        </w:rPr>
      </w:pPr>
      <w:r w:rsidRPr="00A33A6D">
        <w:rPr>
          <w:rFonts w:eastAsia="Times New Roman"/>
        </w:rPr>
        <w:t xml:space="preserve">Aplinkos ministerija, atsižvelgdama </w:t>
      </w:r>
      <w:r>
        <w:rPr>
          <w:rFonts w:eastAsia="Times New Roman"/>
        </w:rPr>
        <w:t xml:space="preserve">į </w:t>
      </w:r>
      <w:r w:rsidRPr="00A33A6D">
        <w:rPr>
          <w:rFonts w:eastAsia="Times New Roman"/>
        </w:rPr>
        <w:t>2019 m. sausio 8 d. Tarpinstitucinio pasitarimo protokol</w:t>
      </w:r>
      <w:r w:rsidR="00D9633D">
        <w:rPr>
          <w:rFonts w:eastAsia="Times New Roman"/>
        </w:rPr>
        <w:t>ą</w:t>
      </w:r>
      <w:r w:rsidRPr="00A33A6D">
        <w:rPr>
          <w:rFonts w:eastAsia="Times New Roman"/>
        </w:rPr>
        <w:t xml:space="preserve"> Nr. 2</w:t>
      </w:r>
      <w:r w:rsidR="00D9633D">
        <w:rPr>
          <w:rFonts w:eastAsia="Times New Roman"/>
        </w:rPr>
        <w:t xml:space="preserve"> (8 klausimas dėl viešųjų pirkimų vykdymo funkcijos centralizavimo), </w:t>
      </w:r>
      <w:r w:rsidRPr="00A33A6D">
        <w:rPr>
          <w:rFonts w:eastAsia="Times New Roman"/>
        </w:rPr>
        <w:t>kuriuo ministerijoms pavesta pateikti pastabas ir pasiūlymus dėl Ekonomikos ir inovacijų ministerijos pristatyto viešųjų pirkimų vykdymo funkcijos centralizavimo modelio</w:t>
      </w:r>
      <w:r>
        <w:rPr>
          <w:rFonts w:eastAsia="Times New Roman"/>
        </w:rPr>
        <w:t>, teikia</w:t>
      </w:r>
      <w:r w:rsidR="00D9633D">
        <w:rPr>
          <w:rFonts w:eastAsia="Times New Roman"/>
        </w:rPr>
        <w:t xml:space="preserve"> šias pastabas</w:t>
      </w:r>
      <w:r>
        <w:rPr>
          <w:rFonts w:eastAsia="Times New Roman"/>
        </w:rPr>
        <w:t>:</w:t>
      </w:r>
    </w:p>
    <w:p w14:paraId="6301803F" w14:textId="77777777" w:rsidR="00D9633D" w:rsidRDefault="00D9633D" w:rsidP="00A33A6D">
      <w:pPr>
        <w:pStyle w:val="BodyText"/>
        <w:rPr>
          <w:rFonts w:eastAsia="Times New Roman"/>
        </w:rPr>
      </w:pPr>
      <w:r>
        <w:rPr>
          <w:rFonts w:eastAsia="Times New Roman"/>
        </w:rPr>
        <w:t xml:space="preserve">1. </w:t>
      </w:r>
      <w:r w:rsidR="009B5194">
        <w:rPr>
          <w:rFonts w:eastAsia="Times New Roman"/>
        </w:rPr>
        <w:t>Pristatymo skaidrėse</w:t>
      </w:r>
      <w:r>
        <w:rPr>
          <w:rFonts w:eastAsia="Times New Roman"/>
        </w:rPr>
        <w:t xml:space="preserve"> „CPO LT kaip pirkimų kompetencijos centras: etapai“ nurodyta, kad centralizavimas vyks laipsniškai etapais iki 2023 m., kasmet plečiant CPO LT elektroninį katalogą ir kompetencijų centrams p</w:t>
      </w:r>
      <w:r w:rsidR="009B5194">
        <w:rPr>
          <w:rFonts w:eastAsia="Times New Roman"/>
        </w:rPr>
        <w:t>erle</w:t>
      </w:r>
      <w:r w:rsidR="00827AEA">
        <w:rPr>
          <w:rFonts w:eastAsia="Times New Roman"/>
        </w:rPr>
        <w:t xml:space="preserve">idžiant tam tikros srities </w:t>
      </w:r>
      <w:r w:rsidR="009B5194">
        <w:rPr>
          <w:rFonts w:eastAsia="Times New Roman"/>
        </w:rPr>
        <w:t xml:space="preserve">standartinius ir dažniausiai vykdomus pirkimus </w:t>
      </w:r>
      <w:r w:rsidR="00827AEA">
        <w:rPr>
          <w:rFonts w:eastAsia="Times New Roman"/>
        </w:rPr>
        <w:t>(</w:t>
      </w:r>
      <w:r w:rsidR="009B5194">
        <w:rPr>
          <w:rFonts w:eastAsia="Times New Roman"/>
        </w:rPr>
        <w:t xml:space="preserve">pvz., </w:t>
      </w:r>
      <w:r w:rsidR="00827AEA">
        <w:rPr>
          <w:rFonts w:eastAsia="Times New Roman"/>
        </w:rPr>
        <w:t>biuro ir veiklos aptarnavimo pirkimai, sveikatos apsaugos srities pirkimai (II etapas)) kiekvienais metais apie 25 proc. pirkimų. Tačiau n</w:t>
      </w:r>
      <w:r w:rsidR="00A64E1C">
        <w:rPr>
          <w:rFonts w:eastAsia="Times New Roman"/>
        </w:rPr>
        <w:t>e</w:t>
      </w:r>
      <w:r w:rsidR="00827AEA">
        <w:rPr>
          <w:rFonts w:eastAsia="Times New Roman"/>
        </w:rPr>
        <w:t>aišku, kaip vyks perėmimas tų pirkimų, kurie neprikl</w:t>
      </w:r>
      <w:r w:rsidR="00D243C1">
        <w:rPr>
          <w:rFonts w:eastAsia="Times New Roman"/>
        </w:rPr>
        <w:t>auso standartiniams dažniausiai</w:t>
      </w:r>
      <w:r w:rsidR="00827AEA">
        <w:rPr>
          <w:rFonts w:eastAsia="Times New Roman"/>
        </w:rPr>
        <w:t xml:space="preserve"> vykdomiems pir</w:t>
      </w:r>
      <w:r w:rsidR="00BB1821">
        <w:rPr>
          <w:rFonts w:eastAsia="Times New Roman"/>
        </w:rPr>
        <w:t>kimams</w:t>
      </w:r>
      <w:r w:rsidR="00D243C1">
        <w:rPr>
          <w:rFonts w:eastAsia="Times New Roman"/>
        </w:rPr>
        <w:t>, yra</w:t>
      </w:r>
      <w:r w:rsidR="00BB1821">
        <w:rPr>
          <w:rFonts w:eastAsia="Times New Roman"/>
        </w:rPr>
        <w:t xml:space="preserve"> reikalingi tik </w:t>
      </w:r>
      <w:r w:rsidR="00827AEA">
        <w:rPr>
          <w:rFonts w:eastAsia="Times New Roman"/>
        </w:rPr>
        <w:t>kelioms arba v</w:t>
      </w:r>
      <w:r w:rsidR="00D021AE">
        <w:rPr>
          <w:rFonts w:eastAsia="Times New Roman"/>
        </w:rPr>
        <w:t>ienai perkančiajai organizacijai</w:t>
      </w:r>
      <w:r w:rsidR="00D243C1">
        <w:rPr>
          <w:rFonts w:eastAsia="Times New Roman"/>
        </w:rPr>
        <w:t>,</w:t>
      </w:r>
      <w:r w:rsidR="00827AEA">
        <w:rPr>
          <w:rFonts w:eastAsia="Times New Roman"/>
        </w:rPr>
        <w:t xml:space="preserve"> dažniausiai </w:t>
      </w:r>
      <w:r w:rsidR="00D243C1">
        <w:rPr>
          <w:rFonts w:eastAsia="Times New Roman"/>
        </w:rPr>
        <w:t xml:space="preserve">yra </w:t>
      </w:r>
      <w:r w:rsidR="00827AEA">
        <w:rPr>
          <w:rFonts w:eastAsia="Times New Roman"/>
        </w:rPr>
        <w:t xml:space="preserve">sudėtingesni, reikalaujantys daugiau žinių pirkimo </w:t>
      </w:r>
      <w:r w:rsidR="00F16C6F">
        <w:rPr>
          <w:rFonts w:eastAsia="Times New Roman"/>
        </w:rPr>
        <w:t xml:space="preserve">pasirengimo, </w:t>
      </w:r>
      <w:r w:rsidR="00827AEA">
        <w:rPr>
          <w:rFonts w:eastAsia="Times New Roman"/>
        </w:rPr>
        <w:t>v</w:t>
      </w:r>
      <w:r w:rsidR="00D243C1">
        <w:rPr>
          <w:rFonts w:eastAsia="Times New Roman"/>
        </w:rPr>
        <w:t>ertinimo procedūrose ir</w:t>
      </w:r>
      <w:r w:rsidR="00827AEA">
        <w:rPr>
          <w:rFonts w:eastAsia="Times New Roman"/>
        </w:rPr>
        <w:t xml:space="preserve"> kuriems atlikti reikalingesni tam tikroje srityje besis</w:t>
      </w:r>
      <w:r w:rsidR="00EE65E7">
        <w:rPr>
          <w:rFonts w:eastAsia="Times New Roman"/>
        </w:rPr>
        <w:t xml:space="preserve">pecializuojantys viešųjų pirkimų specialistai. </w:t>
      </w:r>
      <w:r w:rsidR="003E1C8C">
        <w:rPr>
          <w:rFonts w:eastAsia="Times New Roman"/>
        </w:rPr>
        <w:t>Neaišk</w:t>
      </w:r>
      <w:r w:rsidR="00C54E19">
        <w:rPr>
          <w:rFonts w:eastAsia="Times New Roman"/>
        </w:rPr>
        <w:t>us šių pirkimų centralizavimo m</w:t>
      </w:r>
      <w:r w:rsidR="00D243C1">
        <w:rPr>
          <w:rFonts w:eastAsia="Times New Roman"/>
        </w:rPr>
        <w:t>odelis.</w:t>
      </w:r>
    </w:p>
    <w:p w14:paraId="63018040" w14:textId="77777777" w:rsidR="003E1C8C" w:rsidRDefault="003E1C8C" w:rsidP="00A33A6D">
      <w:pPr>
        <w:pStyle w:val="BodyText"/>
        <w:rPr>
          <w:rFonts w:eastAsia="Times New Roman"/>
        </w:rPr>
      </w:pPr>
      <w:r>
        <w:rPr>
          <w:rFonts w:eastAsia="Times New Roman"/>
        </w:rPr>
        <w:t>2.</w:t>
      </w:r>
      <w:r w:rsidR="00762E24">
        <w:rPr>
          <w:rFonts w:eastAsia="Times New Roman"/>
        </w:rPr>
        <w:t xml:space="preserve"> </w:t>
      </w:r>
      <w:r w:rsidR="00BB1821">
        <w:rPr>
          <w:rFonts w:eastAsia="Times New Roman"/>
        </w:rPr>
        <w:t>Centralizuojant viešųjų pirkimų funkcijas siekiama optimizuoti žmogiškuosius išteklius, didinti viešųjų pirkimų specialistų kompetenciją. Nurodoma, kad įstaigų viešiesiems pirkimams vykdyti skiriamos lėšos ir etatai</w:t>
      </w:r>
      <w:r w:rsidR="00232F87">
        <w:rPr>
          <w:rFonts w:eastAsia="Times New Roman"/>
        </w:rPr>
        <w:t xml:space="preserve"> bus perskirstyti pirkimų kompetencijų centrams proporcingai </w:t>
      </w:r>
      <w:r w:rsidR="00A64E1C">
        <w:rPr>
          <w:rFonts w:eastAsia="Times New Roman"/>
        </w:rPr>
        <w:t>pagal centralizavimo etapus. Nurodoma, kad vietoj 594 viešųjų pirkimų specialistų paka</w:t>
      </w:r>
      <w:r w:rsidR="00D021AE">
        <w:rPr>
          <w:rFonts w:eastAsia="Times New Roman"/>
        </w:rPr>
        <w:t xml:space="preserve">ktų 225 profesionalų, </w:t>
      </w:r>
      <w:r w:rsidR="00D243C1">
        <w:rPr>
          <w:rFonts w:eastAsia="Times New Roman"/>
        </w:rPr>
        <w:t xml:space="preserve">o tai </w:t>
      </w:r>
      <w:r w:rsidR="00D021AE">
        <w:rPr>
          <w:rFonts w:eastAsia="Times New Roman"/>
        </w:rPr>
        <w:t>reiškia, kad reikės atleisti apie 300 viešųjų pirkimų specialistų.</w:t>
      </w:r>
      <w:r w:rsidR="006D2219">
        <w:rPr>
          <w:rFonts w:eastAsia="Times New Roman"/>
        </w:rPr>
        <w:t xml:space="preserve"> </w:t>
      </w:r>
      <w:r w:rsidR="00D021AE">
        <w:rPr>
          <w:rFonts w:eastAsia="Times New Roman"/>
        </w:rPr>
        <w:t xml:space="preserve"> </w:t>
      </w:r>
      <w:r w:rsidR="006D2219">
        <w:rPr>
          <w:rFonts w:eastAsia="Times New Roman"/>
        </w:rPr>
        <w:t>Neaišku, kaip vyks specialistų etatų perskirstymas, ko</w:t>
      </w:r>
      <w:r w:rsidR="00CE30BB">
        <w:rPr>
          <w:rFonts w:eastAsia="Times New Roman"/>
        </w:rPr>
        <w:t>kiais principais bus vadovaujamasi</w:t>
      </w:r>
      <w:r w:rsidR="006D2219">
        <w:rPr>
          <w:rFonts w:eastAsia="Times New Roman"/>
        </w:rPr>
        <w:t xml:space="preserve"> atrenkant specialistus į pirkimų kompetencijų centrus, kuriuose bus įsteigti papildomi viešųjų pirkimų specialistų etatai.</w:t>
      </w:r>
    </w:p>
    <w:p w14:paraId="63018041" w14:textId="77777777" w:rsidR="004803A9" w:rsidRDefault="004803A9" w:rsidP="006E485E">
      <w:pPr>
        <w:pStyle w:val="BodyText"/>
        <w:ind w:firstLine="0"/>
        <w:rPr>
          <w:rFonts w:eastAsia="Times New Roman"/>
          <w:bCs/>
        </w:rPr>
      </w:pPr>
    </w:p>
    <w:p w14:paraId="63018042" w14:textId="77777777" w:rsidR="006D2219" w:rsidRDefault="006D2219" w:rsidP="006E485E">
      <w:pPr>
        <w:pStyle w:val="BodyText"/>
        <w:ind w:firstLine="0"/>
        <w:rPr>
          <w:rFonts w:eastAsia="Times New Roman"/>
          <w:bCs/>
        </w:rPr>
      </w:pPr>
    </w:p>
    <w:p w14:paraId="63018043" w14:textId="77777777" w:rsidR="005C311A" w:rsidRDefault="005C311A" w:rsidP="006E485E">
      <w:pPr>
        <w:pStyle w:val="BodyText"/>
        <w:ind w:firstLine="0"/>
        <w:rPr>
          <w:rFonts w:eastAsia="Times New Roman"/>
          <w:bCs/>
        </w:rPr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5"/>
        <w:gridCol w:w="4536"/>
      </w:tblGrid>
      <w:tr w:rsidR="004803A9" w14:paraId="63018046" w14:textId="77777777" w:rsidTr="00DE04AC">
        <w:trPr>
          <w:trHeight w:val="340"/>
        </w:trPr>
        <w:tc>
          <w:tcPr>
            <w:tcW w:w="5095" w:type="dxa"/>
            <w:vAlign w:val="bottom"/>
          </w:tcPr>
          <w:p w14:paraId="63018044" w14:textId="77777777" w:rsidR="004803A9" w:rsidRDefault="00DE04AC" w:rsidP="00DE04AC">
            <w:pPr>
              <w:pStyle w:val="TableContents"/>
            </w:pPr>
            <w:r>
              <w:rPr>
                <w:rFonts w:eastAsia="Times New Roman"/>
                <w:bCs/>
              </w:rPr>
              <w:t>Aplinkos ministerijos kanclerė</w:t>
            </w:r>
          </w:p>
        </w:tc>
        <w:tc>
          <w:tcPr>
            <w:tcW w:w="4536" w:type="dxa"/>
            <w:vAlign w:val="bottom"/>
          </w:tcPr>
          <w:p w14:paraId="63018045" w14:textId="77777777" w:rsidR="004803A9" w:rsidRDefault="00DE04AC" w:rsidP="006514D9">
            <w:pPr>
              <w:jc w:val="right"/>
            </w:pPr>
            <w:r>
              <w:rPr>
                <w:rFonts w:eastAsia="Times New Roman"/>
                <w:bCs/>
              </w:rPr>
              <w:t xml:space="preserve">  </w:t>
            </w:r>
            <w:r w:rsidR="006514D9">
              <w:rPr>
                <w:rFonts w:eastAsia="Times New Roman"/>
                <w:bCs/>
              </w:rPr>
              <w:t xml:space="preserve">   </w:t>
            </w:r>
            <w:r>
              <w:rPr>
                <w:rFonts w:eastAsia="Times New Roman"/>
                <w:bCs/>
              </w:rPr>
              <w:t>Vilija Augutavičien</w:t>
            </w:r>
            <w:r w:rsidR="004803A9" w:rsidRPr="00D142C7">
              <w:rPr>
                <w:rFonts w:eastAsia="Times New Roman"/>
                <w:bCs/>
              </w:rPr>
              <w:t>ė</w:t>
            </w:r>
            <w:r w:rsidR="006514D9">
              <w:rPr>
                <w:rFonts w:eastAsia="Times New Roman"/>
                <w:bCs/>
              </w:rPr>
              <w:t xml:space="preserve">    </w:t>
            </w:r>
          </w:p>
        </w:tc>
      </w:tr>
    </w:tbl>
    <w:p w14:paraId="63018047" w14:textId="77777777" w:rsidR="00E7021D" w:rsidRDefault="00E7021D" w:rsidP="001036CA">
      <w:pPr>
        <w:pStyle w:val="BodyText"/>
        <w:ind w:firstLine="0"/>
        <w:rPr>
          <w:rFonts w:eastAsia="Times New Roman"/>
          <w:bCs/>
        </w:rPr>
      </w:pPr>
    </w:p>
    <w:p w14:paraId="63018048" w14:textId="77777777" w:rsidR="00E7021D" w:rsidRDefault="00E7021D" w:rsidP="001036CA">
      <w:pPr>
        <w:pStyle w:val="BodyText"/>
        <w:ind w:firstLine="0"/>
        <w:rPr>
          <w:rFonts w:eastAsia="Times New Roman"/>
          <w:bCs/>
        </w:rPr>
      </w:pPr>
    </w:p>
    <w:p w14:paraId="63018049" w14:textId="77777777" w:rsidR="00E7021D" w:rsidRDefault="00E7021D" w:rsidP="001036CA">
      <w:pPr>
        <w:pStyle w:val="BodyText"/>
        <w:ind w:firstLine="0"/>
        <w:rPr>
          <w:rFonts w:eastAsia="Times New Roman"/>
          <w:bCs/>
        </w:rPr>
      </w:pPr>
    </w:p>
    <w:p w14:paraId="6301804A" w14:textId="77777777" w:rsidR="00E7021D" w:rsidRDefault="00E7021D" w:rsidP="001036CA">
      <w:pPr>
        <w:pStyle w:val="BodyText"/>
        <w:ind w:firstLine="0"/>
        <w:rPr>
          <w:rFonts w:eastAsia="Times New Roman"/>
          <w:bCs/>
        </w:rPr>
      </w:pPr>
    </w:p>
    <w:p w14:paraId="6301804B" w14:textId="77777777" w:rsidR="006D2219" w:rsidRDefault="006D2219" w:rsidP="001036CA">
      <w:pPr>
        <w:pStyle w:val="BodyText"/>
        <w:ind w:firstLine="0"/>
        <w:rPr>
          <w:rFonts w:eastAsia="Times New Roman"/>
          <w:bCs/>
        </w:rPr>
      </w:pPr>
    </w:p>
    <w:p w14:paraId="6301804C" w14:textId="77777777" w:rsidR="006D2219" w:rsidRDefault="006D2219" w:rsidP="001036CA">
      <w:pPr>
        <w:pStyle w:val="BodyText"/>
        <w:ind w:firstLine="0"/>
        <w:rPr>
          <w:rFonts w:eastAsia="Times New Roman"/>
          <w:bCs/>
        </w:rPr>
      </w:pPr>
    </w:p>
    <w:p w14:paraId="6301804D" w14:textId="77777777" w:rsidR="006D2219" w:rsidRDefault="006D2219" w:rsidP="001036CA">
      <w:pPr>
        <w:pStyle w:val="BodyText"/>
        <w:ind w:firstLine="0"/>
        <w:rPr>
          <w:rFonts w:eastAsia="Times New Roman"/>
          <w:bCs/>
        </w:rPr>
      </w:pPr>
    </w:p>
    <w:p w14:paraId="6301804E" w14:textId="77777777" w:rsidR="006D2219" w:rsidRDefault="006D2219" w:rsidP="001036CA">
      <w:pPr>
        <w:pStyle w:val="BodyText"/>
        <w:ind w:firstLine="0"/>
        <w:rPr>
          <w:rFonts w:eastAsia="Times New Roman"/>
          <w:bCs/>
        </w:rPr>
      </w:pPr>
    </w:p>
    <w:p w14:paraId="6301804F" w14:textId="77777777" w:rsidR="001036CA" w:rsidRPr="001036CA" w:rsidRDefault="006D13CD" w:rsidP="001036CA">
      <w:pPr>
        <w:pStyle w:val="BodyText"/>
        <w:ind w:firstLine="0"/>
        <w:rPr>
          <w:rFonts w:eastAsia="Times New Roman"/>
          <w:bCs/>
        </w:rPr>
      </w:pPr>
      <w:r>
        <w:rPr>
          <w:rFonts w:eastAsia="Times New Roman"/>
          <w:bCs/>
        </w:rPr>
        <w:t>D. Montvilaitė</w:t>
      </w:r>
      <w:r w:rsidR="001036CA" w:rsidRPr="001036CA">
        <w:rPr>
          <w:rFonts w:eastAsia="Times New Roman"/>
          <w:bCs/>
        </w:rPr>
        <w:t xml:space="preserve">, 8 706 </w:t>
      </w:r>
      <w:r>
        <w:rPr>
          <w:rFonts w:eastAsia="Times New Roman"/>
          <w:bCs/>
        </w:rPr>
        <w:t>62703</w:t>
      </w:r>
      <w:r w:rsidR="001036CA" w:rsidRPr="001036CA">
        <w:rPr>
          <w:rFonts w:eastAsia="Times New Roman"/>
          <w:bCs/>
        </w:rPr>
        <w:t xml:space="preserve">, el. p. </w:t>
      </w:r>
      <w:hyperlink r:id="rId9" w:history="1">
        <w:r w:rsidRPr="005C311A">
          <w:rPr>
            <w:rStyle w:val="Hyperlink"/>
            <w:rFonts w:eastAsia="Times New Roman"/>
            <w:bCs/>
            <w:color w:val="auto"/>
            <w:u w:val="none"/>
          </w:rPr>
          <w:t>dovile.montvilaite@am.lt</w:t>
        </w:r>
      </w:hyperlink>
    </w:p>
    <w:p w14:paraId="63018050" w14:textId="77777777" w:rsidR="00AB0615" w:rsidRPr="00F83995" w:rsidRDefault="00911782" w:rsidP="00A20002">
      <w:pPr>
        <w:pStyle w:val="BodyText"/>
        <w:ind w:firstLine="0"/>
        <w:jc w:val="left"/>
      </w:pPr>
      <w:r>
        <w:rPr>
          <w:noProof/>
          <w:lang w:eastAsia="lt-LT" w:bidi="ar-SA"/>
        </w:rPr>
        <w:lastRenderedPageBreak/>
        <w:drawing>
          <wp:anchor distT="0" distB="0" distL="114300" distR="114300" simplePos="0" relativeHeight="251658240" behindDoc="0" locked="0" layoutInCell="1" allowOverlap="1" wp14:anchorId="63018053" wp14:editId="63018054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427990" cy="70929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70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B0615" w:rsidRPr="00F83995" w:rsidSect="00B63CDA">
      <w:footerReference w:type="default" r:id="rId11"/>
      <w:footnotePr>
        <w:pos w:val="beneathText"/>
      </w:footnotePr>
      <w:pgSz w:w="11905" w:h="16837"/>
      <w:pgMar w:top="1134" w:right="574" w:bottom="709" w:left="1560" w:header="567" w:footer="30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18057" w14:textId="77777777" w:rsidR="00F767B7" w:rsidRDefault="00F767B7">
      <w:r>
        <w:separator/>
      </w:r>
    </w:p>
  </w:endnote>
  <w:endnote w:type="continuationSeparator" w:id="0">
    <w:p w14:paraId="63018058" w14:textId="77777777" w:rsidR="00F767B7" w:rsidRDefault="00F7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18059" w14:textId="70DBDCBF" w:rsidR="00B63CDA" w:rsidRDefault="00B63CD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1FBB">
      <w:rPr>
        <w:noProof/>
      </w:rPr>
      <w:t>2</w:t>
    </w:r>
    <w:r>
      <w:rPr>
        <w:noProof/>
      </w:rPr>
      <w:fldChar w:fldCharType="end"/>
    </w:r>
  </w:p>
  <w:p w14:paraId="6301805A" w14:textId="77777777" w:rsidR="003F1D65" w:rsidRDefault="003F1D65">
    <w:pPr>
      <w:pStyle w:val="Footer"/>
      <w:jc w:val="right"/>
      <w:rPr>
        <w:rFonts w:ascii="Arial" w:hAnsi="Arial"/>
        <w:spacing w:val="16"/>
        <w:sz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8055" w14:textId="77777777" w:rsidR="00F767B7" w:rsidRDefault="00F767B7">
      <w:r>
        <w:separator/>
      </w:r>
    </w:p>
  </w:footnote>
  <w:footnote w:type="continuationSeparator" w:id="0">
    <w:p w14:paraId="63018056" w14:textId="77777777" w:rsidR="00F767B7" w:rsidRDefault="00F76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DE71E6"/>
    <w:multiLevelType w:val="multilevel"/>
    <w:tmpl w:val="C7942DB0"/>
    <w:lvl w:ilvl="0">
      <w:start w:val="2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Arial Unicode MS" w:hint="default"/>
      </w:rPr>
    </w:lvl>
  </w:abstractNum>
  <w:abstractNum w:abstractNumId="2" w15:restartNumberingAfterBreak="0">
    <w:nsid w:val="2EF76CCC"/>
    <w:multiLevelType w:val="hybridMultilevel"/>
    <w:tmpl w:val="48A8C716"/>
    <w:lvl w:ilvl="0" w:tplc="3F40EA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B06758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726FDC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30114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C26000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BA2AD8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7ED76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9E94F8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5076DC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7C00AC1"/>
    <w:multiLevelType w:val="hybridMultilevel"/>
    <w:tmpl w:val="7FEC16A8"/>
    <w:lvl w:ilvl="0" w:tplc="46A0F7DC">
      <w:start w:val="30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436055"/>
    <w:multiLevelType w:val="hybridMultilevel"/>
    <w:tmpl w:val="4B6A8F78"/>
    <w:lvl w:ilvl="0" w:tplc="97DC620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E3686"/>
    <w:multiLevelType w:val="multilevel"/>
    <w:tmpl w:val="DDDA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0775AC"/>
    <w:multiLevelType w:val="hybridMultilevel"/>
    <w:tmpl w:val="9626B89A"/>
    <w:lvl w:ilvl="0" w:tplc="84264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A903FB"/>
    <w:multiLevelType w:val="hybridMultilevel"/>
    <w:tmpl w:val="A6DE2C5A"/>
    <w:lvl w:ilvl="0" w:tplc="BC64EF0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0580E0C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50A91C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7E642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4A3AD0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4CC4FA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5F2A0F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DE59DC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C49DF6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5AB05F55"/>
    <w:multiLevelType w:val="hybridMultilevel"/>
    <w:tmpl w:val="6F92C7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C15A2"/>
    <w:multiLevelType w:val="multilevel"/>
    <w:tmpl w:val="5D00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68523F"/>
    <w:multiLevelType w:val="hybridMultilevel"/>
    <w:tmpl w:val="6CC65EF4"/>
    <w:lvl w:ilvl="0" w:tplc="496E5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49"/>
    <w:rsid w:val="00012965"/>
    <w:rsid w:val="00023915"/>
    <w:rsid w:val="00030922"/>
    <w:rsid w:val="0003092A"/>
    <w:rsid w:val="000311B7"/>
    <w:rsid w:val="00032959"/>
    <w:rsid w:val="00032966"/>
    <w:rsid w:val="00033589"/>
    <w:rsid w:val="00037528"/>
    <w:rsid w:val="00053B7A"/>
    <w:rsid w:val="000667E5"/>
    <w:rsid w:val="000679FE"/>
    <w:rsid w:val="00073E3A"/>
    <w:rsid w:val="000748C4"/>
    <w:rsid w:val="000949F1"/>
    <w:rsid w:val="00096426"/>
    <w:rsid w:val="000B1857"/>
    <w:rsid w:val="000B4770"/>
    <w:rsid w:val="000C0F11"/>
    <w:rsid w:val="000D0CD3"/>
    <w:rsid w:val="000D1A49"/>
    <w:rsid w:val="000E1870"/>
    <w:rsid w:val="00100FDA"/>
    <w:rsid w:val="00101B4C"/>
    <w:rsid w:val="001031CC"/>
    <w:rsid w:val="001036CA"/>
    <w:rsid w:val="00106378"/>
    <w:rsid w:val="00115EE9"/>
    <w:rsid w:val="0011763D"/>
    <w:rsid w:val="00133EF7"/>
    <w:rsid w:val="00134810"/>
    <w:rsid w:val="00137C80"/>
    <w:rsid w:val="00140424"/>
    <w:rsid w:val="00152088"/>
    <w:rsid w:val="00153203"/>
    <w:rsid w:val="001553CB"/>
    <w:rsid w:val="001605A8"/>
    <w:rsid w:val="0016660E"/>
    <w:rsid w:val="001678D4"/>
    <w:rsid w:val="0017281C"/>
    <w:rsid w:val="00181355"/>
    <w:rsid w:val="00182D58"/>
    <w:rsid w:val="00187535"/>
    <w:rsid w:val="0019064C"/>
    <w:rsid w:val="001920DA"/>
    <w:rsid w:val="00195866"/>
    <w:rsid w:val="001A105A"/>
    <w:rsid w:val="001A3C81"/>
    <w:rsid w:val="001B25AF"/>
    <w:rsid w:val="001B6347"/>
    <w:rsid w:val="001B733D"/>
    <w:rsid w:val="001C2C5A"/>
    <w:rsid w:val="001C4598"/>
    <w:rsid w:val="001D787D"/>
    <w:rsid w:val="001E7640"/>
    <w:rsid w:val="001F11DC"/>
    <w:rsid w:val="001F2479"/>
    <w:rsid w:val="002000AA"/>
    <w:rsid w:val="002006BF"/>
    <w:rsid w:val="00205366"/>
    <w:rsid w:val="00207932"/>
    <w:rsid w:val="002103EB"/>
    <w:rsid w:val="0021101B"/>
    <w:rsid w:val="00213B03"/>
    <w:rsid w:val="00214DB3"/>
    <w:rsid w:val="00230E8B"/>
    <w:rsid w:val="00232C23"/>
    <w:rsid w:val="00232F87"/>
    <w:rsid w:val="0023728F"/>
    <w:rsid w:val="00240C6C"/>
    <w:rsid w:val="00243C79"/>
    <w:rsid w:val="00252743"/>
    <w:rsid w:val="00255827"/>
    <w:rsid w:val="00263FA4"/>
    <w:rsid w:val="00264F30"/>
    <w:rsid w:val="00265E1B"/>
    <w:rsid w:val="00272D86"/>
    <w:rsid w:val="0028012A"/>
    <w:rsid w:val="002814C2"/>
    <w:rsid w:val="00281759"/>
    <w:rsid w:val="002979DF"/>
    <w:rsid w:val="002A64BF"/>
    <w:rsid w:val="002B07FC"/>
    <w:rsid w:val="002B1FF9"/>
    <w:rsid w:val="002B6C39"/>
    <w:rsid w:val="002E657D"/>
    <w:rsid w:val="002F00F3"/>
    <w:rsid w:val="002F27B3"/>
    <w:rsid w:val="002F5169"/>
    <w:rsid w:val="00303849"/>
    <w:rsid w:val="00310361"/>
    <w:rsid w:val="00315A09"/>
    <w:rsid w:val="00321E39"/>
    <w:rsid w:val="003323E3"/>
    <w:rsid w:val="00335AFD"/>
    <w:rsid w:val="00336265"/>
    <w:rsid w:val="0033637E"/>
    <w:rsid w:val="00353B36"/>
    <w:rsid w:val="00355050"/>
    <w:rsid w:val="00361222"/>
    <w:rsid w:val="00361FBB"/>
    <w:rsid w:val="00362A42"/>
    <w:rsid w:val="00366954"/>
    <w:rsid w:val="00370A3B"/>
    <w:rsid w:val="0038715B"/>
    <w:rsid w:val="00390AA6"/>
    <w:rsid w:val="003918BC"/>
    <w:rsid w:val="0039351F"/>
    <w:rsid w:val="003A4266"/>
    <w:rsid w:val="003C3EAE"/>
    <w:rsid w:val="003D5249"/>
    <w:rsid w:val="003E1C8C"/>
    <w:rsid w:val="003E6200"/>
    <w:rsid w:val="003E731A"/>
    <w:rsid w:val="003F0934"/>
    <w:rsid w:val="003F1D65"/>
    <w:rsid w:val="003F2687"/>
    <w:rsid w:val="00401641"/>
    <w:rsid w:val="004019E4"/>
    <w:rsid w:val="00402917"/>
    <w:rsid w:val="004053C4"/>
    <w:rsid w:val="00437A54"/>
    <w:rsid w:val="0044359D"/>
    <w:rsid w:val="00446621"/>
    <w:rsid w:val="00447F9B"/>
    <w:rsid w:val="00453456"/>
    <w:rsid w:val="00456727"/>
    <w:rsid w:val="00460649"/>
    <w:rsid w:val="00470C5E"/>
    <w:rsid w:val="00476B69"/>
    <w:rsid w:val="004803A9"/>
    <w:rsid w:val="00485B5E"/>
    <w:rsid w:val="0049237B"/>
    <w:rsid w:val="00495AC8"/>
    <w:rsid w:val="00496624"/>
    <w:rsid w:val="004A5942"/>
    <w:rsid w:val="004C1AD4"/>
    <w:rsid w:val="004C381D"/>
    <w:rsid w:val="004C5850"/>
    <w:rsid w:val="004C6458"/>
    <w:rsid w:val="004D4A04"/>
    <w:rsid w:val="004F75CD"/>
    <w:rsid w:val="004F7AB6"/>
    <w:rsid w:val="00500DE1"/>
    <w:rsid w:val="005153FB"/>
    <w:rsid w:val="00541E77"/>
    <w:rsid w:val="005458ED"/>
    <w:rsid w:val="00564B4C"/>
    <w:rsid w:val="00570162"/>
    <w:rsid w:val="0057342B"/>
    <w:rsid w:val="00575FAD"/>
    <w:rsid w:val="00576F06"/>
    <w:rsid w:val="0058066F"/>
    <w:rsid w:val="0058581B"/>
    <w:rsid w:val="00585CF4"/>
    <w:rsid w:val="005A1444"/>
    <w:rsid w:val="005A3599"/>
    <w:rsid w:val="005A52B5"/>
    <w:rsid w:val="005B2225"/>
    <w:rsid w:val="005B4608"/>
    <w:rsid w:val="005B6F25"/>
    <w:rsid w:val="005C0C6F"/>
    <w:rsid w:val="005C311A"/>
    <w:rsid w:val="005C7A73"/>
    <w:rsid w:val="005E62E6"/>
    <w:rsid w:val="0062380F"/>
    <w:rsid w:val="00626022"/>
    <w:rsid w:val="006425FC"/>
    <w:rsid w:val="006456C7"/>
    <w:rsid w:val="0064599E"/>
    <w:rsid w:val="006467C4"/>
    <w:rsid w:val="00647198"/>
    <w:rsid w:val="006514D9"/>
    <w:rsid w:val="00655C62"/>
    <w:rsid w:val="006602C7"/>
    <w:rsid w:val="006621AE"/>
    <w:rsid w:val="0066325B"/>
    <w:rsid w:val="006638A2"/>
    <w:rsid w:val="0066613F"/>
    <w:rsid w:val="0067647D"/>
    <w:rsid w:val="00682D55"/>
    <w:rsid w:val="0068317A"/>
    <w:rsid w:val="00687E4E"/>
    <w:rsid w:val="00696377"/>
    <w:rsid w:val="006A061F"/>
    <w:rsid w:val="006A6AC4"/>
    <w:rsid w:val="006B498C"/>
    <w:rsid w:val="006B5097"/>
    <w:rsid w:val="006C2AE0"/>
    <w:rsid w:val="006D13CD"/>
    <w:rsid w:val="006D2219"/>
    <w:rsid w:val="006D59DB"/>
    <w:rsid w:val="006E0F76"/>
    <w:rsid w:val="006E3611"/>
    <w:rsid w:val="006E385C"/>
    <w:rsid w:val="006E485E"/>
    <w:rsid w:val="00705E4A"/>
    <w:rsid w:val="00705EE0"/>
    <w:rsid w:val="0071336A"/>
    <w:rsid w:val="00714501"/>
    <w:rsid w:val="007158E0"/>
    <w:rsid w:val="00720FB7"/>
    <w:rsid w:val="0072296B"/>
    <w:rsid w:val="00723F82"/>
    <w:rsid w:val="00724D71"/>
    <w:rsid w:val="007303A9"/>
    <w:rsid w:val="0073201B"/>
    <w:rsid w:val="00732E3B"/>
    <w:rsid w:val="00733E1C"/>
    <w:rsid w:val="0073773A"/>
    <w:rsid w:val="00740336"/>
    <w:rsid w:val="00746A21"/>
    <w:rsid w:val="00754000"/>
    <w:rsid w:val="00754770"/>
    <w:rsid w:val="00754F22"/>
    <w:rsid w:val="00755B0E"/>
    <w:rsid w:val="007601F7"/>
    <w:rsid w:val="00762E24"/>
    <w:rsid w:val="007722BE"/>
    <w:rsid w:val="007808E0"/>
    <w:rsid w:val="00783E83"/>
    <w:rsid w:val="00792874"/>
    <w:rsid w:val="0079387D"/>
    <w:rsid w:val="007A6D0E"/>
    <w:rsid w:val="007D7624"/>
    <w:rsid w:val="007E39EB"/>
    <w:rsid w:val="007F0456"/>
    <w:rsid w:val="007F1627"/>
    <w:rsid w:val="007F2637"/>
    <w:rsid w:val="00802151"/>
    <w:rsid w:val="00806274"/>
    <w:rsid w:val="008130E2"/>
    <w:rsid w:val="00815651"/>
    <w:rsid w:val="00817A41"/>
    <w:rsid w:val="008234F8"/>
    <w:rsid w:val="00827AEA"/>
    <w:rsid w:val="0083219D"/>
    <w:rsid w:val="00863B65"/>
    <w:rsid w:val="0087063E"/>
    <w:rsid w:val="00873407"/>
    <w:rsid w:val="00876E7D"/>
    <w:rsid w:val="00892A28"/>
    <w:rsid w:val="008A2FF8"/>
    <w:rsid w:val="008A630C"/>
    <w:rsid w:val="008C0AC1"/>
    <w:rsid w:val="008C3513"/>
    <w:rsid w:val="008D3F58"/>
    <w:rsid w:val="008D5819"/>
    <w:rsid w:val="008D6E8C"/>
    <w:rsid w:val="008E2B26"/>
    <w:rsid w:val="008F0E0A"/>
    <w:rsid w:val="008F41DE"/>
    <w:rsid w:val="008F768E"/>
    <w:rsid w:val="00907AAA"/>
    <w:rsid w:val="00911782"/>
    <w:rsid w:val="009216AF"/>
    <w:rsid w:val="00941D1C"/>
    <w:rsid w:val="00941EE5"/>
    <w:rsid w:val="009437BB"/>
    <w:rsid w:val="00946246"/>
    <w:rsid w:val="00950676"/>
    <w:rsid w:val="00954906"/>
    <w:rsid w:val="009624C4"/>
    <w:rsid w:val="00967F23"/>
    <w:rsid w:val="009722ED"/>
    <w:rsid w:val="00973177"/>
    <w:rsid w:val="00973ADB"/>
    <w:rsid w:val="009748E4"/>
    <w:rsid w:val="00985017"/>
    <w:rsid w:val="009A0A9D"/>
    <w:rsid w:val="009A1EAE"/>
    <w:rsid w:val="009B1F66"/>
    <w:rsid w:val="009B2A8A"/>
    <w:rsid w:val="009B3879"/>
    <w:rsid w:val="009B5194"/>
    <w:rsid w:val="009C2D84"/>
    <w:rsid w:val="009C3263"/>
    <w:rsid w:val="009D183F"/>
    <w:rsid w:val="009D666E"/>
    <w:rsid w:val="009F04FA"/>
    <w:rsid w:val="009F6D8F"/>
    <w:rsid w:val="009F7AAD"/>
    <w:rsid w:val="00A009A7"/>
    <w:rsid w:val="00A14A54"/>
    <w:rsid w:val="00A16AD2"/>
    <w:rsid w:val="00A17092"/>
    <w:rsid w:val="00A20002"/>
    <w:rsid w:val="00A20050"/>
    <w:rsid w:val="00A208E4"/>
    <w:rsid w:val="00A214C1"/>
    <w:rsid w:val="00A303A0"/>
    <w:rsid w:val="00A3222B"/>
    <w:rsid w:val="00A33A6D"/>
    <w:rsid w:val="00A36BA4"/>
    <w:rsid w:val="00A42F24"/>
    <w:rsid w:val="00A4447B"/>
    <w:rsid w:val="00A51B71"/>
    <w:rsid w:val="00A52EC1"/>
    <w:rsid w:val="00A57E13"/>
    <w:rsid w:val="00A61A16"/>
    <w:rsid w:val="00A625F5"/>
    <w:rsid w:val="00A64E1C"/>
    <w:rsid w:val="00A65D6B"/>
    <w:rsid w:val="00A75C57"/>
    <w:rsid w:val="00A92EAA"/>
    <w:rsid w:val="00A970A3"/>
    <w:rsid w:val="00AA0567"/>
    <w:rsid w:val="00AA1942"/>
    <w:rsid w:val="00AA79D5"/>
    <w:rsid w:val="00AA7D7E"/>
    <w:rsid w:val="00AB0615"/>
    <w:rsid w:val="00AB0EAF"/>
    <w:rsid w:val="00AB2C45"/>
    <w:rsid w:val="00AB2D3B"/>
    <w:rsid w:val="00AB78C7"/>
    <w:rsid w:val="00AD152D"/>
    <w:rsid w:val="00AE17F9"/>
    <w:rsid w:val="00AE3AD0"/>
    <w:rsid w:val="00AE7BDF"/>
    <w:rsid w:val="00AF078E"/>
    <w:rsid w:val="00AF14B2"/>
    <w:rsid w:val="00AF15CB"/>
    <w:rsid w:val="00AF16DF"/>
    <w:rsid w:val="00B038B1"/>
    <w:rsid w:val="00B05976"/>
    <w:rsid w:val="00B059F4"/>
    <w:rsid w:val="00B17CB4"/>
    <w:rsid w:val="00B21AE6"/>
    <w:rsid w:val="00B329FC"/>
    <w:rsid w:val="00B330D9"/>
    <w:rsid w:val="00B36E52"/>
    <w:rsid w:val="00B500E3"/>
    <w:rsid w:val="00B5024A"/>
    <w:rsid w:val="00B536A9"/>
    <w:rsid w:val="00B63CDA"/>
    <w:rsid w:val="00B72A9F"/>
    <w:rsid w:val="00B81598"/>
    <w:rsid w:val="00B8489C"/>
    <w:rsid w:val="00B927E4"/>
    <w:rsid w:val="00B94FB1"/>
    <w:rsid w:val="00BA33E9"/>
    <w:rsid w:val="00BA720F"/>
    <w:rsid w:val="00BB1821"/>
    <w:rsid w:val="00BB5105"/>
    <w:rsid w:val="00BC0FE8"/>
    <w:rsid w:val="00BC24E8"/>
    <w:rsid w:val="00BC2B73"/>
    <w:rsid w:val="00BC502D"/>
    <w:rsid w:val="00BD11FC"/>
    <w:rsid w:val="00BD79DA"/>
    <w:rsid w:val="00BE34B1"/>
    <w:rsid w:val="00BF3A50"/>
    <w:rsid w:val="00C010CB"/>
    <w:rsid w:val="00C0181F"/>
    <w:rsid w:val="00C17ADB"/>
    <w:rsid w:val="00C23769"/>
    <w:rsid w:val="00C469AE"/>
    <w:rsid w:val="00C50CF5"/>
    <w:rsid w:val="00C54856"/>
    <w:rsid w:val="00C54E19"/>
    <w:rsid w:val="00C560C3"/>
    <w:rsid w:val="00C62835"/>
    <w:rsid w:val="00C844D8"/>
    <w:rsid w:val="00C93EA2"/>
    <w:rsid w:val="00CA2CE5"/>
    <w:rsid w:val="00CA7759"/>
    <w:rsid w:val="00CB2DB8"/>
    <w:rsid w:val="00CD391E"/>
    <w:rsid w:val="00CE30BB"/>
    <w:rsid w:val="00CF2201"/>
    <w:rsid w:val="00CF23C4"/>
    <w:rsid w:val="00D01594"/>
    <w:rsid w:val="00D021AE"/>
    <w:rsid w:val="00D06DA7"/>
    <w:rsid w:val="00D1161D"/>
    <w:rsid w:val="00D1343D"/>
    <w:rsid w:val="00D17309"/>
    <w:rsid w:val="00D243C1"/>
    <w:rsid w:val="00D252DD"/>
    <w:rsid w:val="00D361DE"/>
    <w:rsid w:val="00D37FB7"/>
    <w:rsid w:val="00D46504"/>
    <w:rsid w:val="00D55CC6"/>
    <w:rsid w:val="00D6785F"/>
    <w:rsid w:val="00D72854"/>
    <w:rsid w:val="00D82F28"/>
    <w:rsid w:val="00D90029"/>
    <w:rsid w:val="00D92A57"/>
    <w:rsid w:val="00D9633D"/>
    <w:rsid w:val="00DA4080"/>
    <w:rsid w:val="00DA4BC0"/>
    <w:rsid w:val="00DA51BD"/>
    <w:rsid w:val="00DA53AB"/>
    <w:rsid w:val="00DA5A5C"/>
    <w:rsid w:val="00DB7413"/>
    <w:rsid w:val="00DC22EA"/>
    <w:rsid w:val="00DC2D44"/>
    <w:rsid w:val="00DC4C29"/>
    <w:rsid w:val="00DE04AC"/>
    <w:rsid w:val="00DE2118"/>
    <w:rsid w:val="00DE2998"/>
    <w:rsid w:val="00DE2B10"/>
    <w:rsid w:val="00DE4E6B"/>
    <w:rsid w:val="00E002B3"/>
    <w:rsid w:val="00E0368B"/>
    <w:rsid w:val="00E244EC"/>
    <w:rsid w:val="00E30B48"/>
    <w:rsid w:val="00E30E3B"/>
    <w:rsid w:val="00E32024"/>
    <w:rsid w:val="00E35788"/>
    <w:rsid w:val="00E4389A"/>
    <w:rsid w:val="00E44C4C"/>
    <w:rsid w:val="00E47F8A"/>
    <w:rsid w:val="00E57FA2"/>
    <w:rsid w:val="00E63C8D"/>
    <w:rsid w:val="00E6460F"/>
    <w:rsid w:val="00E7021D"/>
    <w:rsid w:val="00E74459"/>
    <w:rsid w:val="00E83701"/>
    <w:rsid w:val="00E87006"/>
    <w:rsid w:val="00E965A2"/>
    <w:rsid w:val="00E96FF6"/>
    <w:rsid w:val="00EA58A4"/>
    <w:rsid w:val="00EB57E9"/>
    <w:rsid w:val="00EB6230"/>
    <w:rsid w:val="00EB73E4"/>
    <w:rsid w:val="00EB7754"/>
    <w:rsid w:val="00EC0A3D"/>
    <w:rsid w:val="00EC22E4"/>
    <w:rsid w:val="00ED1DA7"/>
    <w:rsid w:val="00ED36BD"/>
    <w:rsid w:val="00ED3945"/>
    <w:rsid w:val="00ED6ADC"/>
    <w:rsid w:val="00EE65E7"/>
    <w:rsid w:val="00EF781C"/>
    <w:rsid w:val="00F04AF4"/>
    <w:rsid w:val="00F07642"/>
    <w:rsid w:val="00F10789"/>
    <w:rsid w:val="00F16408"/>
    <w:rsid w:val="00F16C6F"/>
    <w:rsid w:val="00F17882"/>
    <w:rsid w:val="00F20997"/>
    <w:rsid w:val="00F32887"/>
    <w:rsid w:val="00F34BE7"/>
    <w:rsid w:val="00F37A0F"/>
    <w:rsid w:val="00F45D37"/>
    <w:rsid w:val="00F567E7"/>
    <w:rsid w:val="00F6639B"/>
    <w:rsid w:val="00F73AAA"/>
    <w:rsid w:val="00F767B7"/>
    <w:rsid w:val="00F811B9"/>
    <w:rsid w:val="00F83995"/>
    <w:rsid w:val="00F84912"/>
    <w:rsid w:val="00F84B08"/>
    <w:rsid w:val="00F85CC8"/>
    <w:rsid w:val="00F86B73"/>
    <w:rsid w:val="00F95A2D"/>
    <w:rsid w:val="00FA0AA6"/>
    <w:rsid w:val="00FA546D"/>
    <w:rsid w:val="00FA6EA9"/>
    <w:rsid w:val="00FE19AA"/>
    <w:rsid w:val="00FE3A37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8023"/>
  <w15:docId w15:val="{160D68C9-8495-416A-A1BD-477B79B0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ndale Sans UI" w:cs="Tahoma"/>
      <w:sz w:val="24"/>
      <w:szCs w:val="24"/>
      <w:lang w:val="lt-LT" w:eastAsia="en-US" w:bidi="en-US"/>
    </w:rPr>
  </w:style>
  <w:style w:type="paragraph" w:styleId="Heading1">
    <w:name w:val="heading 1"/>
    <w:basedOn w:val="Heading"/>
    <w:next w:val="BodyText"/>
    <w:qFormat/>
    <w:pPr>
      <w:numPr>
        <w:numId w:val="1"/>
      </w:num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Cs/>
      <w:sz w:val="28"/>
      <w:lang w:val="lt-LT"/>
    </w:rPr>
  </w:style>
  <w:style w:type="paragraph" w:styleId="Heading4">
    <w:name w:val="heading 4"/>
    <w:basedOn w:val="Normal"/>
    <w:next w:val="Normal"/>
    <w:qFormat/>
    <w:pPr>
      <w:keepNext/>
      <w:tabs>
        <w:tab w:val="left" w:pos="578"/>
        <w:tab w:val="left" w:pos="784"/>
        <w:tab w:val="left" w:pos="2869"/>
      </w:tabs>
      <w:snapToGrid w:val="0"/>
      <w:spacing w:before="40"/>
      <w:ind w:right="57"/>
      <w:outlineLvl w:val="3"/>
    </w:pPr>
    <w:rPr>
      <w:rFonts w:eastAsia="Times New Roman" w:cs="Times New Roman"/>
      <w:b/>
      <w:bCs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FootnoteCharacters">
    <w:name w:val="Footnote Characters"/>
  </w:style>
  <w:style w:type="character" w:styleId="PageNumber">
    <w:name w:val="page number"/>
    <w:semiHidden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semiHidden/>
    <w:rPr>
      <w:color w:val="000080"/>
      <w:u w:val="single"/>
    </w:rPr>
  </w:style>
  <w:style w:type="character" w:customStyle="1" w:styleId="Placeholder">
    <w:name w:val="Placeholder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ing">
    <w:name w:val="Heading"/>
    <w:next w:val="BodyText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BodyText">
    <w:name w:val="Body Text"/>
    <w:basedOn w:val="Normal"/>
    <w:link w:val="BodyTextChar"/>
    <w:pPr>
      <w:ind w:firstLine="567"/>
      <w:jc w:val="both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Marginalia">
    <w:name w:val="Marginalia"/>
    <w:basedOn w:val="BodyText"/>
    <w:pPr>
      <w:ind w:left="2268" w:firstLine="0"/>
    </w:pPr>
  </w:style>
  <w:style w:type="paragraph" w:customStyle="1" w:styleId="Numbering1">
    <w:name w:val="Numbering 1"/>
    <w:basedOn w:val="List"/>
  </w:style>
  <w:style w:type="paragraph" w:customStyle="1" w:styleId="Numbering1Cont">
    <w:name w:val="Numbering 1 Cont."/>
    <w:basedOn w:val="List"/>
    <w:pPr>
      <w:spacing w:after="120"/>
      <w:ind w:left="360" w:firstLine="0"/>
    </w:pPr>
  </w:style>
  <w:style w:type="paragraph" w:customStyle="1" w:styleId="List1Start">
    <w:name w:val="List 1 Start"/>
    <w:basedOn w:val="List"/>
    <w:pPr>
      <w:spacing w:before="240" w:after="120"/>
      <w:ind w:left="360" w:hanging="360"/>
    </w:pPr>
  </w:style>
  <w:style w:type="paragraph" w:customStyle="1" w:styleId="List1">
    <w:name w:val="List 1"/>
    <w:basedOn w:val="List"/>
    <w:pPr>
      <w:spacing w:after="120"/>
      <w:ind w:left="360" w:hanging="360"/>
    </w:pPr>
  </w:style>
  <w:style w:type="paragraph" w:customStyle="1" w:styleId="List1End">
    <w:name w:val="List 1 End"/>
    <w:basedOn w:val="List"/>
    <w:pPr>
      <w:spacing w:after="240"/>
      <w:ind w:left="360" w:hanging="360"/>
    </w:pPr>
  </w:style>
  <w:style w:type="paragraph" w:customStyle="1" w:styleId="List1Cont">
    <w:name w:val="List 1 Cont."/>
    <w:basedOn w:val="List"/>
    <w:pPr>
      <w:spacing w:after="120"/>
      <w:ind w:left="360" w:firstLine="0"/>
    </w:pPr>
  </w:style>
  <w:style w:type="paragraph" w:customStyle="1" w:styleId="List2Start">
    <w:name w:val="List 2 Start"/>
    <w:basedOn w:val="List"/>
    <w:pPr>
      <w:spacing w:before="240" w:after="120"/>
      <w:ind w:left="720" w:hanging="360"/>
    </w:pPr>
  </w:style>
  <w:style w:type="paragraph" w:styleId="List2">
    <w:name w:val="List 2"/>
    <w:basedOn w:val="List"/>
    <w:pPr>
      <w:spacing w:after="120"/>
      <w:ind w:left="720" w:hanging="360"/>
    </w:pPr>
  </w:style>
  <w:style w:type="paragraph" w:customStyle="1" w:styleId="List2End">
    <w:name w:val="List 2 End"/>
    <w:basedOn w:val="List"/>
    <w:pPr>
      <w:spacing w:after="240"/>
      <w:ind w:left="720" w:hanging="360"/>
    </w:pPr>
  </w:style>
  <w:style w:type="paragraph" w:customStyle="1" w:styleId="List2Cont">
    <w:name w:val="List 2 Cont."/>
    <w:basedOn w:val="List"/>
    <w:pPr>
      <w:spacing w:after="120"/>
      <w:ind w:left="720" w:firstLine="0"/>
    </w:pPr>
  </w:style>
  <w:style w:type="paragraph" w:styleId="List3">
    <w:name w:val="List 3"/>
    <w:basedOn w:val="List"/>
    <w:pPr>
      <w:spacing w:after="120"/>
      <w:ind w:left="1080" w:hanging="360"/>
    </w:pPr>
  </w:style>
  <w:style w:type="paragraph" w:styleId="Header">
    <w:name w:val="header"/>
    <w:basedOn w:val="Normal"/>
    <w:link w:val="HeaderChar"/>
    <w:semiHidden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pPr>
      <w:spacing w:before="0" w:after="0"/>
    </w:p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TableContents11">
    <w:name w:val="WW-Table Contents11"/>
    <w:basedOn w:val="Normal"/>
    <w:pPr>
      <w:suppressLineNumbers/>
    </w:pPr>
  </w:style>
  <w:style w:type="paragraph" w:customStyle="1" w:styleId="WW-TableContents">
    <w:name w:val="WW-Table Contents"/>
    <w:basedOn w:val="BodyText"/>
    <w:pPr>
      <w:suppressLineNumbers/>
    </w:pPr>
  </w:style>
  <w:style w:type="paragraph" w:customStyle="1" w:styleId="WW-Hangingindent">
    <w:name w:val="WW-Hanging indent"/>
    <w:basedOn w:val="BodyText"/>
    <w:pPr>
      <w:tabs>
        <w:tab w:val="left" w:pos="567"/>
      </w:tabs>
      <w:ind w:left="567" w:hanging="283"/>
    </w:pPr>
  </w:style>
  <w:style w:type="character" w:customStyle="1" w:styleId="FooterChar">
    <w:name w:val="Footer Char"/>
    <w:link w:val="Footer"/>
    <w:uiPriority w:val="99"/>
    <w:rsid w:val="007601F7"/>
    <w:rPr>
      <w:rFonts w:eastAsia="Andale Sans UI" w:cs="Tahoma"/>
      <w:sz w:val="24"/>
      <w:szCs w:val="24"/>
      <w:lang w:eastAsia="en-US" w:bidi="en-US"/>
    </w:rPr>
  </w:style>
  <w:style w:type="paragraph" w:styleId="ListParagraph">
    <w:name w:val="List Paragraph"/>
    <w:basedOn w:val="Normal"/>
    <w:uiPriority w:val="34"/>
    <w:qFormat/>
    <w:rsid w:val="00AE7BDF"/>
    <w:pPr>
      <w:widowControl/>
      <w:suppressAutoHyphens w:val="0"/>
      <w:spacing w:after="200" w:line="276" w:lineRule="auto"/>
      <w:ind w:left="1296"/>
    </w:pPr>
    <w:rPr>
      <w:rFonts w:eastAsia="Times New Roman" w:cs="Times New Roman"/>
      <w:sz w:val="22"/>
      <w:szCs w:val="22"/>
      <w:lang w:bidi="ar-SA"/>
    </w:rPr>
  </w:style>
  <w:style w:type="paragraph" w:customStyle="1" w:styleId="Default">
    <w:name w:val="Default"/>
    <w:rsid w:val="00AE7BDF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val="lt-LT" w:eastAsia="lt-LT"/>
    </w:rPr>
  </w:style>
  <w:style w:type="paragraph" w:styleId="PlainText">
    <w:name w:val="Plain Text"/>
    <w:basedOn w:val="Normal"/>
    <w:link w:val="PlainTextChar"/>
    <w:uiPriority w:val="99"/>
    <w:unhideWhenUsed/>
    <w:rsid w:val="00FA0AA6"/>
    <w:pPr>
      <w:widowControl/>
      <w:suppressAutoHyphens w:val="0"/>
    </w:pPr>
    <w:rPr>
      <w:rFonts w:ascii="Consolas" w:eastAsia="Calibri" w:hAnsi="Consolas" w:cs="Times New Roman"/>
      <w:sz w:val="21"/>
      <w:szCs w:val="21"/>
      <w:lang w:bidi="ar-SA"/>
    </w:rPr>
  </w:style>
  <w:style w:type="character" w:customStyle="1" w:styleId="PlainTextChar">
    <w:name w:val="Plain Text Char"/>
    <w:link w:val="PlainText"/>
    <w:uiPriority w:val="99"/>
    <w:rsid w:val="00FA0AA6"/>
    <w:rPr>
      <w:rFonts w:ascii="Consolas" w:eastAsia="Calibri" w:hAnsi="Consolas"/>
      <w:sz w:val="21"/>
      <w:szCs w:val="21"/>
      <w:lang w:eastAsia="en-US"/>
    </w:rPr>
  </w:style>
  <w:style w:type="character" w:customStyle="1" w:styleId="HeaderChar">
    <w:name w:val="Header Char"/>
    <w:link w:val="Header"/>
    <w:semiHidden/>
    <w:rsid w:val="007F1627"/>
    <w:rPr>
      <w:rFonts w:eastAsia="Andale Sans UI" w:cs="Tahoma"/>
      <w:sz w:val="24"/>
      <w:szCs w:val="24"/>
      <w:lang w:eastAsia="en-US" w:bidi="en-US"/>
    </w:rPr>
  </w:style>
  <w:style w:type="character" w:styleId="Strong">
    <w:name w:val="Strong"/>
    <w:qFormat/>
    <w:rsid w:val="00B5024A"/>
    <w:rPr>
      <w:b/>
      <w:bCs/>
    </w:rPr>
  </w:style>
  <w:style w:type="character" w:customStyle="1" w:styleId="BodyTextChar">
    <w:name w:val="Body Text Char"/>
    <w:link w:val="BodyText"/>
    <w:rsid w:val="001C2C5A"/>
    <w:rPr>
      <w:rFonts w:eastAsia="Andale Sans UI" w:cs="Tahoma"/>
      <w:sz w:val="24"/>
      <w:szCs w:val="24"/>
      <w:lang w:eastAsia="en-US"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78D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678D4"/>
    <w:rPr>
      <w:rFonts w:eastAsia="Andale Sans UI" w:cs="Tahoma"/>
      <w:sz w:val="24"/>
      <w:szCs w:val="24"/>
      <w:lang w:eastAsia="en-US" w:bidi="en-US"/>
    </w:rPr>
  </w:style>
  <w:style w:type="table" w:styleId="TableGrid">
    <w:name w:val="Table Grid"/>
    <w:basedOn w:val="TableNormal"/>
    <w:uiPriority w:val="59"/>
    <w:rsid w:val="00F84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9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9DA"/>
    <w:rPr>
      <w:rFonts w:ascii="Tahoma" w:eastAsia="Andale Sans UI" w:hAnsi="Tahoma" w:cs="Tahoma"/>
      <w:sz w:val="16"/>
      <w:szCs w:val="16"/>
      <w:lang w:val="lt-LT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2.png"
                 Type="http://schemas.openxmlformats.org/officeDocument/2006/relationships/image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dovile.montvilaite@a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7E442-A41F-467B-AD4A-2116430A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1603</Words>
  <Characters>915</Characters>
  <Application>Microsoft Office Word</Application>
  <DocSecurity>4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2513</CharactersWithSpaces>
  <SharedDoc>false</SharedDoc>
  <HLinks>
    <vt:vector size="6" baseType="variant">
      <vt:variant>
        <vt:i4>1310835</vt:i4>
      </vt:variant>
      <vt:variant>
        <vt:i4>0</vt:i4>
      </vt:variant>
      <vt:variant>
        <vt:i4>0</vt:i4>
      </vt:variant>
      <vt:variant>
        <vt:i4>5</vt:i4>
      </vt:variant>
      <vt:variant>
        <vt:lpwstr>mailto:dovile.montvilaite@am.lt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2019-01-30T14:21:00Z</dcterms:created>
  <dc:creator>m-satkeviciene</dc:creator>
  <cp:lastModifiedBy>Andrijauskienė Neringa</cp:lastModifiedBy>
  <cp:lastPrinted>2019-01-17T09:16:00Z</cp:lastPrinted>
  <dcterms:modified xsi:type="dcterms:W3CDTF">2019-01-30T14:21:00Z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3813180</vt:lpwstr>
  </property>
  <property fmtid="{D5CDD505-2E9C-101B-9397-08002B2CF9AE}" pid="4" name="DISCdDocAuthor">
    <vt:lpwstr>d.montvilaite</vt:lpwstr>
  </property>
  <property fmtid="{D5CDD505-2E9C-101B-9397-08002B2CF9AE}" pid="5" name="VDVISDocRegData">
    <vt:lpwstr>2018-05-31 16:06</vt:lpwstr>
  </property>
  <property fmtid="{D5CDD505-2E9C-101B-9397-08002B2CF9AE}" pid="6" name="VDVISDokPavadinimas">
    <vt:lpwstr>Dėl konkurso sąlygų paaiškinimo (pirkimo Nr. 379602)</vt:lpwstr>
  </property>
  <property fmtid="{D5CDD505-2E9C-101B-9397-08002B2CF9AE}" pid="7" name="VDVISDokTipas">
    <vt:lpwstr>Raštas</vt:lpwstr>
  </property>
  <property fmtid="{D5CDD505-2E9C-101B-9397-08002B2CF9AE}" pid="8" name="DIScgiUrl">
    <vt:lpwstr>https://vdvis.am.lt/cs/idcplg</vt:lpwstr>
  </property>
  <property fmtid="{D5CDD505-2E9C-101B-9397-08002B2CF9AE}" pid="9" name="DISProperties">
    <vt:lpwstr>DISidcName,DISdID,DISCdDocAuthor,VDVISDocRegData,VDVISDokPavadinimas,VDVISDokTipas,DIScgiUrl,DISTaskPaneUrl,DISdUser,VDVISDocRegNr,DISdDocName</vt:lpwstr>
  </property>
  <property fmtid="{D5CDD505-2E9C-101B-9397-08002B2CF9AE}" pid="10" name="DISTaskPaneUrl">
    <vt:lpwstr>https://vdvis.am.lt/cs/idcplg?IdcService=DESKTOP_DOC_INFO&amp;dDocName=AM_3795984&amp;dID=3813180&amp;ClientControlled=DocMan,taskpane&amp;coreContentOnly=1</vt:lpwstr>
  </property>
  <property fmtid="{D5CDD505-2E9C-101B-9397-08002B2CF9AE}" pid="11" name="DISdUser">
    <vt:lpwstr>i.kinciute</vt:lpwstr>
  </property>
  <property fmtid="{D5CDD505-2E9C-101B-9397-08002B2CF9AE}" pid="12" name="VDVISDocRegNr">
    <vt:lpwstr>(20-1)-D8-2944</vt:lpwstr>
  </property>
  <property fmtid="{D5CDD505-2E9C-101B-9397-08002B2CF9AE}" pid="13" name="DISdDocName">
    <vt:lpwstr>AM_3795984</vt:lpwstr>
  </property>
</Properties>
</file>