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622" w:rsidRPr="00462BBC" w:rsidRDefault="000174D6" w:rsidP="00CF1622">
      <w:pPr>
        <w:spacing w:after="0" w:line="240" w:lineRule="auto"/>
        <w:jc w:val="center"/>
        <w:rPr>
          <w:rFonts w:ascii="Times New Roman" w:hAnsi="Times New Roman"/>
          <w:b/>
          <w:sz w:val="24"/>
          <w:szCs w:val="24"/>
        </w:rPr>
      </w:pPr>
      <w:r>
        <w:rPr>
          <w:rFonts w:ascii="Times New Roman" w:hAnsi="Times New Roman"/>
          <w:b/>
          <w:sz w:val="24"/>
          <w:szCs w:val="24"/>
        </w:rPr>
        <w:t>L</w:t>
      </w:r>
      <w:r w:rsidR="00CF1622" w:rsidRPr="00462BBC">
        <w:rPr>
          <w:rFonts w:ascii="Times New Roman" w:hAnsi="Times New Roman"/>
          <w:b/>
          <w:sz w:val="24"/>
          <w:szCs w:val="24"/>
        </w:rPr>
        <w:t xml:space="preserve">IETUVOS RESPUBLIKOS VYRIAUSYBĖS NUTARIMO </w:t>
      </w:r>
      <w:r w:rsidR="00CF1622" w:rsidRPr="00F71D17">
        <w:rPr>
          <w:rFonts w:ascii="Times New Roman" w:hAnsi="Times New Roman"/>
          <w:b/>
          <w:sz w:val="24"/>
          <w:szCs w:val="24"/>
          <w:lang w:eastAsia="lt-LT"/>
        </w:rPr>
        <w:t>„D</w:t>
      </w:r>
      <w:r w:rsidR="00CF1622" w:rsidRPr="00F71D17">
        <w:rPr>
          <w:rFonts w:ascii="Times New Roman" w:hAnsi="Times New Roman" w:hint="eastAsia"/>
          <w:b/>
          <w:sz w:val="24"/>
          <w:szCs w:val="24"/>
          <w:lang w:eastAsia="lt-LT"/>
        </w:rPr>
        <w:t>Ė</w:t>
      </w:r>
      <w:r w:rsidR="00CF1622" w:rsidRPr="00F71D17">
        <w:rPr>
          <w:rFonts w:ascii="Times New Roman" w:hAnsi="Times New Roman"/>
          <w:b/>
          <w:sz w:val="24"/>
          <w:szCs w:val="24"/>
          <w:lang w:eastAsia="lt-LT"/>
        </w:rPr>
        <w:t>L LIETUVOS RESPUBLIKOS VYRIAUSYB</w:t>
      </w:r>
      <w:r w:rsidR="00CF1622" w:rsidRPr="00F71D17">
        <w:rPr>
          <w:rFonts w:ascii="Times New Roman" w:hAnsi="Times New Roman" w:hint="eastAsia"/>
          <w:b/>
          <w:sz w:val="24"/>
          <w:szCs w:val="24"/>
          <w:lang w:eastAsia="lt-LT"/>
        </w:rPr>
        <w:t>Ė</w:t>
      </w:r>
      <w:r w:rsidR="00CF1622" w:rsidRPr="00F71D17">
        <w:rPr>
          <w:rFonts w:ascii="Times New Roman" w:hAnsi="Times New Roman"/>
          <w:b/>
          <w:sz w:val="24"/>
          <w:szCs w:val="24"/>
          <w:lang w:eastAsia="lt-LT"/>
        </w:rPr>
        <w:t>S 2017 M. KOVO 1 D. NUTARIMO NR. 149 „D</w:t>
      </w:r>
      <w:r w:rsidR="00CF1622" w:rsidRPr="00F71D17">
        <w:rPr>
          <w:rFonts w:ascii="Times New Roman" w:hAnsi="Times New Roman" w:hint="eastAsia"/>
          <w:b/>
          <w:sz w:val="24"/>
          <w:szCs w:val="24"/>
          <w:lang w:eastAsia="lt-LT"/>
        </w:rPr>
        <w:t>Ė</w:t>
      </w:r>
      <w:r w:rsidR="00CF1622" w:rsidRPr="00F71D17">
        <w:rPr>
          <w:rFonts w:ascii="Times New Roman" w:hAnsi="Times New Roman"/>
          <w:b/>
          <w:sz w:val="24"/>
          <w:szCs w:val="24"/>
          <w:lang w:eastAsia="lt-LT"/>
        </w:rPr>
        <w:t>L LIETUVOS RESPUBLIKOS MOKSLO IR STUDIJ</w:t>
      </w:r>
      <w:r w:rsidR="00CF1622" w:rsidRPr="00F71D17">
        <w:rPr>
          <w:rFonts w:ascii="Times New Roman" w:hAnsi="Times New Roman" w:hint="eastAsia"/>
          <w:b/>
          <w:sz w:val="24"/>
          <w:szCs w:val="24"/>
          <w:lang w:eastAsia="lt-LT"/>
        </w:rPr>
        <w:t>Ų</w:t>
      </w:r>
      <w:r w:rsidR="00CF1622" w:rsidRPr="00F71D17">
        <w:rPr>
          <w:rFonts w:ascii="Times New Roman" w:hAnsi="Times New Roman"/>
          <w:b/>
          <w:sz w:val="24"/>
          <w:szCs w:val="24"/>
          <w:lang w:eastAsia="lt-LT"/>
        </w:rPr>
        <w:t xml:space="preserve"> </w:t>
      </w:r>
      <w:r w:rsidR="00CF1622" w:rsidRPr="00F71D17">
        <w:rPr>
          <w:rFonts w:ascii="Times New Roman" w:hAnsi="Times New Roman" w:hint="eastAsia"/>
          <w:b/>
          <w:sz w:val="24"/>
          <w:szCs w:val="24"/>
          <w:lang w:eastAsia="lt-LT"/>
        </w:rPr>
        <w:t>Į</w:t>
      </w:r>
      <w:r w:rsidR="00CF1622" w:rsidRPr="00F71D17">
        <w:rPr>
          <w:rFonts w:ascii="Times New Roman" w:hAnsi="Times New Roman"/>
          <w:b/>
          <w:sz w:val="24"/>
          <w:szCs w:val="24"/>
          <w:lang w:eastAsia="lt-LT"/>
        </w:rPr>
        <w:t xml:space="preserve">STATYMO </w:t>
      </w:r>
      <w:r w:rsidR="00CF1622" w:rsidRPr="00F71D17">
        <w:rPr>
          <w:rFonts w:ascii="Times New Roman" w:hAnsi="Times New Roman" w:hint="eastAsia"/>
          <w:b/>
          <w:sz w:val="24"/>
          <w:szCs w:val="24"/>
          <w:lang w:eastAsia="lt-LT"/>
        </w:rPr>
        <w:t>Į</w:t>
      </w:r>
      <w:r w:rsidR="00CF1622" w:rsidRPr="00F71D17">
        <w:rPr>
          <w:rFonts w:ascii="Times New Roman" w:hAnsi="Times New Roman"/>
          <w:b/>
          <w:sz w:val="24"/>
          <w:szCs w:val="24"/>
          <w:lang w:eastAsia="lt-LT"/>
        </w:rPr>
        <w:t>GYVENDINIMO“ PAKEITIMO“</w:t>
      </w:r>
      <w:r w:rsidR="00CF1622" w:rsidRPr="00462BBC">
        <w:rPr>
          <w:rFonts w:ascii="Times New Roman" w:hAnsi="Times New Roman"/>
          <w:b/>
          <w:sz w:val="24"/>
          <w:szCs w:val="24"/>
        </w:rPr>
        <w:t xml:space="preserve"> </w:t>
      </w:r>
      <w:r w:rsidR="00CF1622">
        <w:rPr>
          <w:rFonts w:ascii="Times New Roman" w:hAnsi="Times New Roman"/>
          <w:b/>
          <w:sz w:val="24"/>
          <w:szCs w:val="24"/>
        </w:rPr>
        <w:t xml:space="preserve">PROJEKTO </w:t>
      </w:r>
      <w:r w:rsidR="00CF1622" w:rsidRPr="00462BBC">
        <w:rPr>
          <w:rFonts w:ascii="Times New Roman" w:hAnsi="Times New Roman"/>
          <w:b/>
          <w:sz w:val="24"/>
          <w:szCs w:val="24"/>
        </w:rPr>
        <w:t>DERINIMO PAŽYMA</w:t>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1"/>
        <w:gridCol w:w="5571"/>
        <w:gridCol w:w="6520"/>
      </w:tblGrid>
      <w:tr w:rsidR="00CF1622" w:rsidRPr="00462BBC" w:rsidTr="00273323">
        <w:tc>
          <w:tcPr>
            <w:tcW w:w="2221" w:type="dxa"/>
            <w:tcBorders>
              <w:top w:val="single" w:sz="4" w:space="0" w:color="auto"/>
              <w:left w:val="single" w:sz="4" w:space="0" w:color="auto"/>
              <w:bottom w:val="single" w:sz="4" w:space="0" w:color="auto"/>
              <w:right w:val="single" w:sz="4" w:space="0" w:color="auto"/>
            </w:tcBorders>
          </w:tcPr>
          <w:p w:rsidR="00CF1622" w:rsidRPr="00462BBC" w:rsidRDefault="00CF1622" w:rsidP="00CF1622">
            <w:pPr>
              <w:spacing w:after="0" w:line="240" w:lineRule="auto"/>
              <w:rPr>
                <w:rFonts w:ascii="Times New Roman" w:hAnsi="Times New Roman"/>
                <w:b/>
                <w:sz w:val="24"/>
                <w:szCs w:val="24"/>
              </w:rPr>
            </w:pPr>
            <w:r w:rsidRPr="00462BBC">
              <w:rPr>
                <w:rFonts w:ascii="Times New Roman" w:hAnsi="Times New Roman"/>
                <w:b/>
                <w:sz w:val="24"/>
                <w:szCs w:val="24"/>
              </w:rPr>
              <w:t>Institucija / asmuo pavadinimas, rašto data ir numeris</w:t>
            </w:r>
          </w:p>
        </w:tc>
        <w:tc>
          <w:tcPr>
            <w:tcW w:w="5571" w:type="dxa"/>
            <w:tcBorders>
              <w:top w:val="single" w:sz="4" w:space="0" w:color="auto"/>
              <w:left w:val="single" w:sz="4" w:space="0" w:color="auto"/>
              <w:bottom w:val="single" w:sz="4" w:space="0" w:color="auto"/>
              <w:right w:val="single" w:sz="4" w:space="0" w:color="auto"/>
            </w:tcBorders>
            <w:vAlign w:val="center"/>
          </w:tcPr>
          <w:p w:rsidR="00CF1622" w:rsidRPr="00462BBC" w:rsidRDefault="00CF1622" w:rsidP="00CF1622">
            <w:pPr>
              <w:spacing w:after="0" w:line="240" w:lineRule="auto"/>
              <w:jc w:val="center"/>
              <w:rPr>
                <w:rFonts w:ascii="Times New Roman" w:hAnsi="Times New Roman"/>
                <w:b/>
                <w:sz w:val="24"/>
                <w:szCs w:val="24"/>
              </w:rPr>
            </w:pPr>
            <w:r w:rsidRPr="00462BBC">
              <w:rPr>
                <w:rFonts w:ascii="Times New Roman" w:hAnsi="Times New Roman"/>
                <w:b/>
                <w:sz w:val="24"/>
                <w:szCs w:val="24"/>
              </w:rPr>
              <w:t>Pastabos ir pasiūlymai</w:t>
            </w:r>
          </w:p>
        </w:tc>
        <w:tc>
          <w:tcPr>
            <w:tcW w:w="6520" w:type="dxa"/>
            <w:tcBorders>
              <w:top w:val="single" w:sz="4" w:space="0" w:color="auto"/>
              <w:left w:val="single" w:sz="4" w:space="0" w:color="auto"/>
              <w:bottom w:val="single" w:sz="4" w:space="0" w:color="auto"/>
              <w:right w:val="single" w:sz="4" w:space="0" w:color="auto"/>
            </w:tcBorders>
            <w:vAlign w:val="center"/>
          </w:tcPr>
          <w:p w:rsidR="00CF1622" w:rsidRPr="00462BBC" w:rsidRDefault="00CF1622" w:rsidP="00CF1622">
            <w:pPr>
              <w:spacing w:after="0" w:line="240" w:lineRule="auto"/>
              <w:jc w:val="center"/>
              <w:rPr>
                <w:rFonts w:ascii="Times New Roman" w:hAnsi="Times New Roman"/>
                <w:b/>
                <w:sz w:val="24"/>
                <w:szCs w:val="24"/>
              </w:rPr>
            </w:pPr>
            <w:r w:rsidRPr="00462BBC">
              <w:rPr>
                <w:rFonts w:ascii="Times New Roman" w:hAnsi="Times New Roman"/>
                <w:b/>
                <w:bCs/>
                <w:sz w:val="24"/>
                <w:szCs w:val="24"/>
              </w:rPr>
              <w:t>Žyma apie pastabas ir pasiūlymus, į kuriuos neatsižvelgta ar atsižvelgta iš dalies</w:t>
            </w:r>
          </w:p>
        </w:tc>
      </w:tr>
      <w:tr w:rsidR="00273323" w:rsidRPr="00462BBC" w:rsidTr="00273323">
        <w:trPr>
          <w:trHeight w:val="2727"/>
        </w:trPr>
        <w:tc>
          <w:tcPr>
            <w:tcW w:w="2221" w:type="dxa"/>
            <w:vMerge w:val="restart"/>
            <w:tcBorders>
              <w:top w:val="single" w:sz="4" w:space="0" w:color="auto"/>
              <w:left w:val="single" w:sz="4" w:space="0" w:color="auto"/>
              <w:right w:val="single" w:sz="4" w:space="0" w:color="auto"/>
            </w:tcBorders>
          </w:tcPr>
          <w:p w:rsidR="00273323" w:rsidRDefault="00273323" w:rsidP="00CF1622">
            <w:pPr>
              <w:spacing w:after="0" w:line="240" w:lineRule="auto"/>
              <w:rPr>
                <w:rFonts w:ascii="Times New Roman" w:hAnsi="Times New Roman"/>
                <w:sz w:val="24"/>
                <w:szCs w:val="24"/>
              </w:rPr>
            </w:pPr>
            <w:r>
              <w:rPr>
                <w:rFonts w:ascii="Times New Roman" w:hAnsi="Times New Roman"/>
                <w:sz w:val="24"/>
                <w:szCs w:val="24"/>
              </w:rPr>
              <w:t>Lietuvos mokslo taryba</w:t>
            </w:r>
          </w:p>
          <w:p w:rsidR="00273323" w:rsidRDefault="00273323" w:rsidP="00CF1622">
            <w:pPr>
              <w:spacing w:after="0" w:line="240" w:lineRule="auto"/>
              <w:rPr>
                <w:rFonts w:ascii="Times New Roman" w:hAnsi="Times New Roman"/>
                <w:sz w:val="24"/>
                <w:szCs w:val="24"/>
              </w:rPr>
            </w:pPr>
            <w:r>
              <w:rPr>
                <w:rFonts w:ascii="Times New Roman" w:hAnsi="Times New Roman"/>
                <w:sz w:val="24"/>
                <w:szCs w:val="24"/>
              </w:rPr>
              <w:t>2020-05-08</w:t>
            </w:r>
          </w:p>
          <w:p w:rsidR="00273323" w:rsidRPr="00462BBC" w:rsidRDefault="00273323" w:rsidP="00CF1622">
            <w:pPr>
              <w:spacing w:after="0" w:line="240" w:lineRule="auto"/>
              <w:rPr>
                <w:rFonts w:ascii="Times New Roman" w:hAnsi="Times New Roman"/>
                <w:sz w:val="24"/>
                <w:szCs w:val="24"/>
              </w:rPr>
            </w:pPr>
            <w:r>
              <w:rPr>
                <w:rFonts w:ascii="Times New Roman" w:hAnsi="Times New Roman"/>
                <w:sz w:val="24"/>
                <w:szCs w:val="24"/>
              </w:rPr>
              <w:t>Nr. 4S-464</w:t>
            </w:r>
          </w:p>
        </w:tc>
        <w:tc>
          <w:tcPr>
            <w:tcW w:w="5571" w:type="dxa"/>
            <w:tcBorders>
              <w:top w:val="single" w:sz="4" w:space="0" w:color="auto"/>
              <w:left w:val="single" w:sz="4" w:space="0" w:color="auto"/>
              <w:bottom w:val="single" w:sz="4" w:space="0" w:color="auto"/>
              <w:right w:val="single" w:sz="4" w:space="0" w:color="auto"/>
            </w:tcBorders>
          </w:tcPr>
          <w:p w:rsidR="00273323" w:rsidRPr="00171DAE" w:rsidRDefault="00273323" w:rsidP="00CF1622">
            <w:pPr>
              <w:widowControl w:val="0"/>
              <w:spacing w:after="0" w:line="240" w:lineRule="auto"/>
              <w:rPr>
                <w:rFonts w:ascii="Times New Roman" w:hAnsi="Times New Roman"/>
                <w:color w:val="000000"/>
                <w:sz w:val="24"/>
                <w:szCs w:val="24"/>
              </w:rPr>
            </w:pPr>
            <w:r>
              <w:rPr>
                <w:rFonts w:ascii="Times New Roman" w:hAnsi="Times New Roman"/>
                <w:sz w:val="24"/>
                <w:szCs w:val="24"/>
              </w:rPr>
              <w:t xml:space="preserve">   1. </w:t>
            </w:r>
            <w:r w:rsidRPr="00171DAE">
              <w:rPr>
                <w:rFonts w:ascii="Times New Roman" w:hAnsi="Times New Roman"/>
                <w:sz w:val="24"/>
                <w:szCs w:val="24"/>
              </w:rPr>
              <w:t xml:space="preserve">Atkreipiame dėmesį, kad </w:t>
            </w:r>
            <w:r w:rsidRPr="00171DAE">
              <w:rPr>
                <w:rFonts w:ascii="Times New Roman" w:hAnsi="Times New Roman"/>
                <w:color w:val="000000"/>
                <w:sz w:val="24"/>
                <w:szCs w:val="24"/>
              </w:rPr>
              <w:t>ilgalaikės institucinės MTEP programos gali būti rengiamos, tvirtinamos trumpesniam ir, atsižvelgiant į valstybės poreikį, ilgesniam laikotarpiui nei 5 metai.</w:t>
            </w:r>
          </w:p>
          <w:p w:rsidR="00273323" w:rsidRPr="00171DAE" w:rsidRDefault="00273323" w:rsidP="00CF1622">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171DAE">
              <w:rPr>
                <w:rFonts w:ascii="Times New Roman" w:hAnsi="Times New Roman"/>
                <w:color w:val="000000"/>
                <w:sz w:val="24"/>
                <w:szCs w:val="24"/>
              </w:rPr>
              <w:t>Atsižvelgdama į strateginio planavimo principus, LMT siūlytų 1.4. papunktyje įtvirtinti lankstesnę formuluotę ir antrąjį sakinį patikslinti taip:</w:t>
            </w:r>
          </w:p>
          <w:p w:rsidR="00273323" w:rsidRPr="00462BBC" w:rsidRDefault="00273323" w:rsidP="00CF1622">
            <w:pPr>
              <w:widowControl w:val="0"/>
              <w:spacing w:after="0" w:line="240" w:lineRule="auto"/>
              <w:rPr>
                <w:rFonts w:ascii="Times New Roman" w:hAnsi="Times New Roman"/>
                <w:sz w:val="24"/>
                <w:szCs w:val="24"/>
              </w:rPr>
            </w:pPr>
            <w:r>
              <w:rPr>
                <w:rFonts w:ascii="Times New Roman" w:hAnsi="Times New Roman"/>
                <w:color w:val="000000"/>
                <w:sz w:val="24"/>
                <w:szCs w:val="24"/>
              </w:rPr>
              <w:t xml:space="preserve">   </w:t>
            </w:r>
            <w:r w:rsidRPr="00171DAE">
              <w:rPr>
                <w:rFonts w:ascii="Times New Roman" w:hAnsi="Times New Roman"/>
                <w:color w:val="000000"/>
                <w:sz w:val="24"/>
                <w:szCs w:val="24"/>
              </w:rPr>
              <w:t xml:space="preserve">„1.4. &lt;...&gt; Ilgalaikės institucinės MTEP programos rengiamos, tvirtinamos </w:t>
            </w:r>
            <w:r w:rsidRPr="00171DAE">
              <w:rPr>
                <w:rFonts w:ascii="Times New Roman" w:hAnsi="Times New Roman"/>
                <w:b/>
                <w:color w:val="000000"/>
                <w:sz w:val="24"/>
                <w:szCs w:val="24"/>
              </w:rPr>
              <w:t>ne ilgesniam kaip</w:t>
            </w:r>
            <w:r w:rsidRPr="00171DAE">
              <w:rPr>
                <w:rFonts w:ascii="Times New Roman" w:hAnsi="Times New Roman"/>
                <w:color w:val="000000"/>
                <w:sz w:val="24"/>
                <w:szCs w:val="24"/>
              </w:rPr>
              <w:t xml:space="preserve"> </w:t>
            </w:r>
            <w:r w:rsidRPr="00171DAE">
              <w:rPr>
                <w:rFonts w:ascii="Times New Roman" w:hAnsi="Times New Roman"/>
                <w:strike/>
                <w:color w:val="000000"/>
                <w:sz w:val="24"/>
                <w:szCs w:val="24"/>
              </w:rPr>
              <w:t>5</w:t>
            </w:r>
            <w:r w:rsidRPr="00171DAE">
              <w:rPr>
                <w:rFonts w:ascii="Times New Roman" w:hAnsi="Times New Roman"/>
                <w:color w:val="000000"/>
                <w:sz w:val="24"/>
                <w:szCs w:val="24"/>
              </w:rPr>
              <w:t xml:space="preserve"> </w:t>
            </w:r>
            <w:r w:rsidRPr="00171DAE">
              <w:rPr>
                <w:rFonts w:ascii="Times New Roman" w:hAnsi="Times New Roman"/>
                <w:b/>
                <w:color w:val="000000"/>
                <w:sz w:val="24"/>
                <w:szCs w:val="24"/>
              </w:rPr>
              <w:t>9</w:t>
            </w:r>
            <w:r w:rsidRPr="00171DAE">
              <w:rPr>
                <w:rFonts w:ascii="Times New Roman" w:hAnsi="Times New Roman"/>
                <w:color w:val="000000"/>
                <w:sz w:val="24"/>
                <w:szCs w:val="24"/>
              </w:rPr>
              <w:t xml:space="preserve"> metų laikotarpiui, vykdomos ir vertinamos mini</w:t>
            </w:r>
            <w:r>
              <w:rPr>
                <w:rFonts w:ascii="Times New Roman" w:hAnsi="Times New Roman"/>
                <w:color w:val="000000"/>
                <w:sz w:val="24"/>
                <w:szCs w:val="24"/>
              </w:rPr>
              <w:t>stro nustatyta tvarka. &lt;...&gt;.“</w:t>
            </w:r>
          </w:p>
        </w:tc>
        <w:tc>
          <w:tcPr>
            <w:tcW w:w="6520" w:type="dxa"/>
            <w:tcBorders>
              <w:top w:val="single" w:sz="4" w:space="0" w:color="auto"/>
              <w:left w:val="single" w:sz="4" w:space="0" w:color="auto"/>
              <w:bottom w:val="single" w:sz="4" w:space="0" w:color="auto"/>
              <w:right w:val="single" w:sz="4" w:space="0" w:color="auto"/>
            </w:tcBorders>
          </w:tcPr>
          <w:p w:rsidR="00273323" w:rsidRPr="00462BBC" w:rsidRDefault="00273323" w:rsidP="00CF1622">
            <w:pPr>
              <w:spacing w:after="0" w:line="240" w:lineRule="auto"/>
              <w:rPr>
                <w:rFonts w:ascii="Times New Roman" w:hAnsi="Times New Roman"/>
                <w:b/>
                <w:sz w:val="24"/>
                <w:szCs w:val="24"/>
              </w:rPr>
            </w:pPr>
            <w:r w:rsidRPr="00462BBC">
              <w:rPr>
                <w:rFonts w:ascii="Times New Roman" w:hAnsi="Times New Roman"/>
                <w:b/>
                <w:sz w:val="24"/>
                <w:szCs w:val="24"/>
              </w:rPr>
              <w:t>Neatsižvelgta.</w:t>
            </w:r>
          </w:p>
          <w:p w:rsidR="00273323" w:rsidRPr="00A07BAE" w:rsidRDefault="00273323" w:rsidP="00083FF2">
            <w:pPr>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   Nuo 2012 m. – </w:t>
            </w:r>
            <w:r w:rsidRPr="00171DAE">
              <w:rPr>
                <w:rFonts w:ascii="Times New Roman" w:hAnsi="Times New Roman"/>
                <w:color w:val="000000"/>
                <w:sz w:val="24"/>
                <w:szCs w:val="24"/>
              </w:rPr>
              <w:t>ilgalaik</w:t>
            </w:r>
            <w:r>
              <w:rPr>
                <w:rFonts w:ascii="Times New Roman" w:hAnsi="Times New Roman"/>
                <w:color w:val="000000"/>
                <w:sz w:val="24"/>
                <w:szCs w:val="24"/>
              </w:rPr>
              <w:t>ių</w:t>
            </w:r>
            <w:r w:rsidRPr="00171DAE">
              <w:rPr>
                <w:rFonts w:ascii="Times New Roman" w:hAnsi="Times New Roman"/>
                <w:color w:val="000000"/>
                <w:sz w:val="24"/>
                <w:szCs w:val="24"/>
              </w:rPr>
              <w:t xml:space="preserve"> institucin</w:t>
            </w:r>
            <w:r>
              <w:rPr>
                <w:rFonts w:ascii="Times New Roman" w:hAnsi="Times New Roman"/>
                <w:color w:val="000000"/>
                <w:sz w:val="24"/>
                <w:szCs w:val="24"/>
              </w:rPr>
              <w:t>ių</w:t>
            </w:r>
            <w:r w:rsidRPr="00171DAE">
              <w:rPr>
                <w:rFonts w:ascii="Times New Roman" w:hAnsi="Times New Roman"/>
                <w:color w:val="000000"/>
                <w:sz w:val="24"/>
                <w:szCs w:val="24"/>
              </w:rPr>
              <w:t xml:space="preserve"> MTEP program</w:t>
            </w:r>
            <w:r>
              <w:rPr>
                <w:rFonts w:ascii="Times New Roman" w:hAnsi="Times New Roman"/>
                <w:color w:val="000000"/>
                <w:sz w:val="24"/>
                <w:szCs w:val="24"/>
              </w:rPr>
              <w:t xml:space="preserve">ų (toliau – programos) vykdymo pradžios nebuvo pareikšta pageidavimų ilginti jų trukmę. Siūloma maksimali programų trukmė (9 metai) yra aiškiai per didelė – ji </w:t>
            </w:r>
            <w:r w:rsidR="00083FF2">
              <w:rPr>
                <w:rFonts w:ascii="Times New Roman" w:hAnsi="Times New Roman"/>
                <w:color w:val="000000"/>
                <w:sz w:val="24"/>
                <w:szCs w:val="24"/>
              </w:rPr>
              <w:t>prilygsta</w:t>
            </w:r>
            <w:bookmarkStart w:id="0" w:name="_GoBack"/>
            <w:bookmarkEnd w:id="0"/>
            <w:r>
              <w:rPr>
                <w:rFonts w:ascii="Times New Roman" w:hAnsi="Times New Roman"/>
                <w:color w:val="000000"/>
                <w:sz w:val="24"/>
                <w:szCs w:val="24"/>
              </w:rPr>
              <w:t xml:space="preserve"> svarbiausių valstybės planavimo dokumentų vykdymo trukmei, pvz., Nacionalinės plėtros programos trukmė </w:t>
            </w:r>
            <w:r w:rsidR="00F76591">
              <w:rPr>
                <w:rFonts w:ascii="Times New Roman" w:hAnsi="Times New Roman"/>
                <w:color w:val="000000"/>
                <w:sz w:val="24"/>
                <w:szCs w:val="24"/>
              </w:rPr>
              <w:t>7</w:t>
            </w:r>
            <w:r>
              <w:rPr>
                <w:rFonts w:ascii="Times New Roman" w:hAnsi="Times New Roman"/>
                <w:color w:val="000000"/>
                <w:sz w:val="24"/>
                <w:szCs w:val="24"/>
              </w:rPr>
              <w:t>–</w:t>
            </w:r>
            <w:r w:rsidR="00F76591">
              <w:rPr>
                <w:rFonts w:ascii="Times New Roman" w:hAnsi="Times New Roman"/>
                <w:color w:val="000000"/>
                <w:sz w:val="24"/>
                <w:szCs w:val="24"/>
              </w:rPr>
              <w:t>9</w:t>
            </w:r>
            <w:r>
              <w:rPr>
                <w:rFonts w:ascii="Times New Roman" w:hAnsi="Times New Roman"/>
                <w:color w:val="000000"/>
                <w:sz w:val="24"/>
                <w:szCs w:val="24"/>
              </w:rPr>
              <w:t xml:space="preserve"> met</w:t>
            </w:r>
            <w:r w:rsidR="00F76591">
              <w:rPr>
                <w:rFonts w:ascii="Times New Roman" w:hAnsi="Times New Roman"/>
                <w:color w:val="000000"/>
                <w:sz w:val="24"/>
                <w:szCs w:val="24"/>
              </w:rPr>
              <w:t>ai</w:t>
            </w:r>
            <w:r>
              <w:rPr>
                <w:rFonts w:ascii="Times New Roman" w:hAnsi="Times New Roman"/>
                <w:color w:val="000000"/>
                <w:sz w:val="24"/>
                <w:szCs w:val="24"/>
              </w:rPr>
              <w:t xml:space="preserve">. </w:t>
            </w:r>
            <w:r w:rsidR="00F41662">
              <w:rPr>
                <w:rFonts w:ascii="Times New Roman" w:hAnsi="Times New Roman"/>
                <w:color w:val="000000"/>
                <w:sz w:val="24"/>
                <w:szCs w:val="24"/>
              </w:rPr>
              <w:t xml:space="preserve">Akivaizdu, kad tokios ilgos trukmės programą teks tikslinti jos vykdymo metu. </w:t>
            </w:r>
            <w:r>
              <w:rPr>
                <w:rFonts w:ascii="Times New Roman" w:hAnsi="Times New Roman"/>
                <w:color w:val="000000"/>
                <w:sz w:val="24"/>
                <w:szCs w:val="24"/>
              </w:rPr>
              <w:t>Be to, iš siūlomos formuluotės neaišku, kas nuspręs dėl programos trukmės. Siekdami teisinio aiškumo</w:t>
            </w:r>
            <w:r w:rsidR="004A773C">
              <w:rPr>
                <w:rFonts w:ascii="Times New Roman" w:hAnsi="Times New Roman"/>
                <w:color w:val="000000"/>
                <w:sz w:val="24"/>
                <w:szCs w:val="24"/>
              </w:rPr>
              <w:t>,</w:t>
            </w:r>
            <w:r>
              <w:rPr>
                <w:rFonts w:ascii="Times New Roman" w:hAnsi="Times New Roman"/>
                <w:color w:val="000000"/>
                <w:sz w:val="24"/>
                <w:szCs w:val="24"/>
              </w:rPr>
              <w:t xml:space="preserve"> siūlome nekeisti dabar galiojančios Aprašo nuostatos.</w:t>
            </w:r>
          </w:p>
        </w:tc>
      </w:tr>
      <w:tr w:rsidR="00273323" w:rsidRPr="00462BBC" w:rsidTr="00273323">
        <w:trPr>
          <w:trHeight w:val="416"/>
        </w:trPr>
        <w:tc>
          <w:tcPr>
            <w:tcW w:w="2221" w:type="dxa"/>
            <w:vMerge/>
            <w:tcBorders>
              <w:left w:val="single" w:sz="4" w:space="0" w:color="auto"/>
              <w:right w:val="single" w:sz="4" w:space="0" w:color="auto"/>
            </w:tcBorders>
          </w:tcPr>
          <w:p w:rsidR="00273323" w:rsidRDefault="00273323" w:rsidP="00CF1622">
            <w:pPr>
              <w:spacing w:after="0" w:line="240" w:lineRule="auto"/>
              <w:rPr>
                <w:rFonts w:ascii="Times New Roman" w:hAnsi="Times New Roman"/>
                <w:sz w:val="24"/>
                <w:szCs w:val="24"/>
              </w:rPr>
            </w:pPr>
          </w:p>
        </w:tc>
        <w:tc>
          <w:tcPr>
            <w:tcW w:w="5571" w:type="dxa"/>
            <w:tcBorders>
              <w:top w:val="single" w:sz="4" w:space="0" w:color="auto"/>
              <w:left w:val="single" w:sz="4" w:space="0" w:color="auto"/>
              <w:bottom w:val="single" w:sz="4" w:space="0" w:color="auto"/>
              <w:right w:val="single" w:sz="4" w:space="0" w:color="auto"/>
            </w:tcBorders>
          </w:tcPr>
          <w:p w:rsidR="00273323" w:rsidRPr="00153BA1" w:rsidRDefault="00273323" w:rsidP="00CF1622">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5. </w:t>
            </w:r>
            <w:r w:rsidRPr="00153BA1">
              <w:rPr>
                <w:rFonts w:ascii="Times New Roman" w:hAnsi="Times New Roman"/>
                <w:bCs/>
                <w:color w:val="000000"/>
                <w:sz w:val="24"/>
                <w:szCs w:val="24"/>
              </w:rPr>
              <w:t xml:space="preserve">Nepritariame nepasiteisinusiai praktikai VV skaidyti pagal mokslo sritis. Jei mokslo ir studijų institucijos administracinis vienetas dirba keliose mokslo srityse, institucijos priverstos dirbtinai skaldyti administracinius vienetus. </w:t>
            </w:r>
          </w:p>
          <w:p w:rsidR="00273323" w:rsidRPr="00153BA1" w:rsidRDefault="00273323" w:rsidP="00CF1622">
            <w:pPr>
              <w:spacing w:after="0" w:line="240" w:lineRule="auto"/>
              <w:rPr>
                <w:rFonts w:ascii="Times New Roman" w:hAnsi="Times New Roman"/>
                <w:bCs/>
                <w:sz w:val="24"/>
                <w:szCs w:val="24"/>
              </w:rPr>
            </w:pPr>
            <w:r>
              <w:rPr>
                <w:rFonts w:ascii="Times New Roman" w:hAnsi="Times New Roman"/>
                <w:bCs/>
                <w:color w:val="000000"/>
                <w:sz w:val="24"/>
                <w:szCs w:val="24"/>
              </w:rPr>
              <w:t xml:space="preserve">   </w:t>
            </w:r>
            <w:r w:rsidRPr="00153BA1">
              <w:rPr>
                <w:rFonts w:ascii="Times New Roman" w:hAnsi="Times New Roman"/>
                <w:bCs/>
                <w:color w:val="000000"/>
                <w:sz w:val="24"/>
                <w:szCs w:val="24"/>
              </w:rPr>
              <w:t xml:space="preserve">Išsamesnis VV formavimas turėtų būti nustatytas Palyginamojo ekspertinio mokslinių tyrimų ir eksperimentinės plėtros vertinimo reglamente. </w:t>
            </w:r>
          </w:p>
          <w:p w:rsidR="00273323" w:rsidRPr="00153BA1" w:rsidRDefault="00273323" w:rsidP="00CF1622">
            <w:pPr>
              <w:spacing w:after="0" w:line="240" w:lineRule="auto"/>
              <w:rPr>
                <w:rFonts w:ascii="Times New Roman" w:hAnsi="Times New Roman"/>
                <w:bCs/>
                <w:color w:val="000000"/>
                <w:sz w:val="24"/>
                <w:szCs w:val="24"/>
              </w:rPr>
            </w:pPr>
            <w:r>
              <w:rPr>
                <w:rFonts w:ascii="Times New Roman" w:hAnsi="Times New Roman"/>
                <w:color w:val="000000"/>
                <w:sz w:val="24"/>
                <w:szCs w:val="24"/>
              </w:rPr>
              <w:t xml:space="preserve">   </w:t>
            </w:r>
            <w:r w:rsidRPr="00153BA1">
              <w:rPr>
                <w:rFonts w:ascii="Times New Roman" w:hAnsi="Times New Roman"/>
                <w:color w:val="000000"/>
                <w:sz w:val="24"/>
                <w:szCs w:val="24"/>
              </w:rPr>
              <w:t>11 punktą siūlytume tikslinti išbraukiant žodžius „</w:t>
            </w:r>
            <w:r w:rsidRPr="00153BA1">
              <w:rPr>
                <w:rFonts w:ascii="Times New Roman" w:hAnsi="Times New Roman"/>
                <w:bCs/>
                <w:color w:val="000000"/>
                <w:sz w:val="24"/>
                <w:szCs w:val="24"/>
              </w:rPr>
              <w:t>kiekvienai mokslų sričiai“</w:t>
            </w:r>
            <w:r w:rsidRPr="00153BA1">
              <w:rPr>
                <w:rFonts w:ascii="Times New Roman" w:hAnsi="Times New Roman"/>
                <w:color w:val="000000"/>
                <w:sz w:val="24"/>
                <w:szCs w:val="24"/>
              </w:rPr>
              <w:t>, išdėstant jį taip:</w:t>
            </w:r>
          </w:p>
          <w:p w:rsidR="00273323" w:rsidRDefault="00273323" w:rsidP="00CF1622">
            <w:pPr>
              <w:spacing w:after="0" w:line="240" w:lineRule="auto"/>
              <w:ind w:right="72"/>
              <w:rPr>
                <w:rFonts w:ascii="Times New Roman" w:eastAsia="Times New Roman" w:hAnsi="Times New Roman"/>
                <w:sz w:val="24"/>
                <w:szCs w:val="24"/>
                <w:lang w:eastAsia="lt-LT"/>
              </w:rPr>
            </w:pPr>
            <w:r>
              <w:rPr>
                <w:rFonts w:ascii="Times New Roman" w:hAnsi="Times New Roman"/>
                <w:color w:val="000000"/>
                <w:sz w:val="24"/>
                <w:szCs w:val="24"/>
              </w:rPr>
              <w:t xml:space="preserve">   </w:t>
            </w:r>
            <w:r w:rsidRPr="00153BA1">
              <w:rPr>
                <w:rFonts w:ascii="Times New Roman" w:hAnsi="Times New Roman"/>
                <w:color w:val="000000"/>
                <w:sz w:val="24"/>
                <w:szCs w:val="24"/>
              </w:rPr>
              <w:t>„11.</w:t>
            </w:r>
            <w:r>
              <w:rPr>
                <w:rFonts w:ascii="Times New Roman" w:hAnsi="Times New Roman"/>
                <w:color w:val="000000"/>
                <w:sz w:val="24"/>
                <w:szCs w:val="24"/>
              </w:rPr>
              <w:t xml:space="preserve"> </w:t>
            </w:r>
            <w:r w:rsidRPr="00A049C1">
              <w:rPr>
                <w:rFonts w:ascii="Times New Roman" w:hAnsi="Times New Roman"/>
                <w:bCs/>
                <w:color w:val="000000"/>
                <w:sz w:val="24"/>
                <w:szCs w:val="24"/>
              </w:rPr>
              <w:t>Vertinamųjų vienetų MTEP veiklą vertina</w:t>
            </w:r>
            <w:r>
              <w:rPr>
                <w:rFonts w:ascii="Times New Roman" w:hAnsi="Times New Roman"/>
                <w:b/>
                <w:bCs/>
                <w:color w:val="000000"/>
                <w:sz w:val="24"/>
                <w:szCs w:val="24"/>
              </w:rPr>
              <w:t xml:space="preserve"> </w:t>
            </w:r>
            <w:r w:rsidRPr="00153BA1">
              <w:rPr>
                <w:rFonts w:ascii="Times New Roman" w:hAnsi="Times New Roman"/>
                <w:color w:val="000000"/>
                <w:sz w:val="24"/>
                <w:szCs w:val="24"/>
              </w:rPr>
              <w:t>Tarybos</w:t>
            </w:r>
            <w:r>
              <w:rPr>
                <w:rFonts w:ascii="Times New Roman" w:hAnsi="Times New Roman"/>
                <w:color w:val="000000"/>
                <w:sz w:val="24"/>
                <w:szCs w:val="24"/>
              </w:rPr>
              <w:t xml:space="preserve"> </w:t>
            </w:r>
            <w:r w:rsidRPr="00A049C1">
              <w:rPr>
                <w:rFonts w:ascii="Times New Roman" w:hAnsi="Times New Roman"/>
                <w:bCs/>
                <w:strike/>
                <w:color w:val="000000"/>
                <w:sz w:val="24"/>
                <w:szCs w:val="24"/>
              </w:rPr>
              <w:t>kiekvienai mokslų sričiai</w:t>
            </w:r>
            <w:r w:rsidRPr="00153BA1">
              <w:rPr>
                <w:rFonts w:ascii="Times New Roman" w:hAnsi="Times New Roman"/>
                <w:b/>
                <w:bCs/>
                <w:color w:val="000000"/>
                <w:sz w:val="24"/>
                <w:szCs w:val="24"/>
              </w:rPr>
              <w:t xml:space="preserve"> </w:t>
            </w:r>
            <w:r w:rsidRPr="00153BA1">
              <w:rPr>
                <w:rFonts w:ascii="Times New Roman" w:hAnsi="Times New Roman"/>
                <w:color w:val="000000"/>
                <w:sz w:val="24"/>
                <w:szCs w:val="24"/>
              </w:rPr>
              <w:t>sudar</w:t>
            </w:r>
            <w:r w:rsidRPr="00A049C1">
              <w:rPr>
                <w:rFonts w:ascii="Times New Roman" w:hAnsi="Times New Roman"/>
                <w:bCs/>
                <w:color w:val="000000"/>
                <w:sz w:val="24"/>
                <w:szCs w:val="24"/>
              </w:rPr>
              <w:t>ytos</w:t>
            </w:r>
            <w:r w:rsidRPr="00153BA1">
              <w:rPr>
                <w:rFonts w:ascii="Times New Roman" w:hAnsi="Times New Roman"/>
                <w:color w:val="000000"/>
                <w:sz w:val="24"/>
                <w:szCs w:val="24"/>
              </w:rPr>
              <w:t xml:space="preserve"> ekspertų grup</w:t>
            </w:r>
            <w:r w:rsidRPr="00A049C1">
              <w:rPr>
                <w:rFonts w:ascii="Times New Roman" w:hAnsi="Times New Roman"/>
                <w:bCs/>
                <w:color w:val="000000"/>
                <w:sz w:val="24"/>
                <w:szCs w:val="24"/>
              </w:rPr>
              <w:t>ė</w:t>
            </w:r>
            <w:r w:rsidRPr="00153BA1">
              <w:rPr>
                <w:rFonts w:ascii="Times New Roman" w:hAnsi="Times New Roman"/>
                <w:color w:val="000000"/>
                <w:sz w:val="24"/>
                <w:szCs w:val="24"/>
              </w:rPr>
              <w:t>s, kurios nagrinėja Tarybos pateiktus duomenis apie penkerių vėliausių metų universitetų ir institutų kasmetinio vertinimo rezultatus, ministro reglamente nustatytus Tarybos turimus duomenis apie universitetų ir institutų ir jų vertinamųjų vienetų:“.</w:t>
            </w:r>
          </w:p>
        </w:tc>
        <w:tc>
          <w:tcPr>
            <w:tcW w:w="6520" w:type="dxa"/>
            <w:tcBorders>
              <w:top w:val="single" w:sz="4" w:space="0" w:color="auto"/>
              <w:left w:val="single" w:sz="4" w:space="0" w:color="auto"/>
              <w:bottom w:val="single" w:sz="4" w:space="0" w:color="auto"/>
              <w:right w:val="single" w:sz="4" w:space="0" w:color="auto"/>
            </w:tcBorders>
          </w:tcPr>
          <w:p w:rsidR="00273323" w:rsidRPr="00462BBC" w:rsidRDefault="00273323" w:rsidP="00CF1622">
            <w:pPr>
              <w:spacing w:after="0" w:line="240" w:lineRule="auto"/>
              <w:rPr>
                <w:rFonts w:ascii="Times New Roman" w:hAnsi="Times New Roman"/>
                <w:b/>
                <w:sz w:val="24"/>
                <w:szCs w:val="24"/>
              </w:rPr>
            </w:pPr>
            <w:r w:rsidRPr="00462BBC">
              <w:rPr>
                <w:rFonts w:ascii="Times New Roman" w:hAnsi="Times New Roman"/>
                <w:b/>
                <w:sz w:val="24"/>
                <w:szCs w:val="24"/>
              </w:rPr>
              <w:t>Neatsižvelgta.</w:t>
            </w:r>
          </w:p>
          <w:p w:rsidR="00273323" w:rsidRDefault="00273323" w:rsidP="00CF1622">
            <w:pPr>
              <w:spacing w:after="0" w:line="240" w:lineRule="auto"/>
              <w:rPr>
                <w:rFonts w:ascii="Times New Roman" w:hAnsi="Times New Roman"/>
                <w:sz w:val="24"/>
                <w:szCs w:val="24"/>
                <w:lang w:eastAsia="lt-LT"/>
              </w:rPr>
            </w:pPr>
            <w:r>
              <w:rPr>
                <w:rFonts w:ascii="Times New Roman" w:hAnsi="Times New Roman"/>
                <w:sz w:val="24"/>
                <w:szCs w:val="24"/>
                <w:lang w:eastAsia="lt-LT"/>
              </w:rPr>
              <w:t xml:space="preserve">   Nesuprantama, kodėl tai, kad 2018 m. palyginamąjį ekspertinį MTEP veiklos vertinimą vykdė kiekvienai mokslo sričiai sudarytos atskiros ekspertų grupės, vadinama „nepasiteisinusia praktika“. Atvirkščiai, buvo (bet nedaug) nusiskundimų, kad kai kurios mažesnės (matuojant mokslininkų visos darbo dienos atitikmenimis) mokslo kryptys, anot besiskundžiančių</w:t>
            </w:r>
            <w:r w:rsidR="004A773C">
              <w:rPr>
                <w:rFonts w:ascii="Times New Roman" w:hAnsi="Times New Roman"/>
                <w:sz w:val="24"/>
                <w:szCs w:val="24"/>
                <w:lang w:eastAsia="lt-LT"/>
              </w:rPr>
              <w:t>jų</w:t>
            </w:r>
            <w:r>
              <w:rPr>
                <w:rFonts w:ascii="Times New Roman" w:hAnsi="Times New Roman"/>
                <w:sz w:val="24"/>
                <w:szCs w:val="24"/>
                <w:lang w:eastAsia="lt-LT"/>
              </w:rPr>
              <w:t>, buvo nepakankamai atstovaujamos sudarytose ekspertų grupėse. Tokių nusiskundimų būtų nepalyginamai daugiau, jei būtų sudarytos ekspertų grupės, vertinančios dvi ar daugiau mokslo sričių.</w:t>
            </w:r>
          </w:p>
          <w:p w:rsidR="00273323" w:rsidRPr="00462BBC" w:rsidRDefault="00273323" w:rsidP="00196CED">
            <w:pPr>
              <w:spacing w:after="0" w:line="240" w:lineRule="auto"/>
              <w:rPr>
                <w:rFonts w:ascii="Times New Roman" w:hAnsi="Times New Roman"/>
                <w:b/>
                <w:sz w:val="24"/>
                <w:szCs w:val="24"/>
              </w:rPr>
            </w:pPr>
            <w:r>
              <w:rPr>
                <w:rFonts w:ascii="Times New Roman" w:hAnsi="Times New Roman"/>
                <w:sz w:val="24"/>
                <w:szCs w:val="24"/>
                <w:lang w:eastAsia="lt-LT"/>
              </w:rPr>
              <w:t xml:space="preserve">   Keičiamo Aprašo 15 p. nustato lėšų MTEP ir menui padalijimo mokslo sritims ir menui proporcijas. Tam, kad konkrečiai mokslo sričiai tenkančios lėšos būtų korektiškai </w:t>
            </w:r>
            <w:r w:rsidR="00196CED">
              <w:rPr>
                <w:rFonts w:ascii="Times New Roman" w:hAnsi="Times New Roman"/>
                <w:sz w:val="24"/>
                <w:szCs w:val="24"/>
                <w:lang w:eastAsia="lt-LT"/>
              </w:rPr>
              <w:t>paskirstytos</w:t>
            </w:r>
            <w:r>
              <w:rPr>
                <w:rFonts w:ascii="Times New Roman" w:hAnsi="Times New Roman"/>
                <w:sz w:val="24"/>
                <w:szCs w:val="24"/>
                <w:lang w:eastAsia="lt-LT"/>
              </w:rPr>
              <w:t xml:space="preserve"> universitetams ir mokslinių tyrimų institutams, būtina, kad visa šių institucijų veikla toje mokslo srityje būtų įvertinta vienos ekspertų grupės. Būtent todėl Aprašo 9 p. nustatyta, kad vertinamieji vienetai</w:t>
            </w:r>
            <w:r>
              <w:t xml:space="preserve"> </w:t>
            </w:r>
            <w:r w:rsidRPr="00500D77">
              <w:rPr>
                <w:rFonts w:ascii="Times New Roman" w:hAnsi="Times New Roman"/>
                <w:sz w:val="24"/>
                <w:szCs w:val="24"/>
                <w:lang w:eastAsia="lt-LT"/>
              </w:rPr>
              <w:t>turi veikti vienoje mokslų srityje</w:t>
            </w:r>
            <w:r>
              <w:rPr>
                <w:rFonts w:ascii="Times New Roman" w:hAnsi="Times New Roman"/>
                <w:sz w:val="24"/>
                <w:szCs w:val="24"/>
                <w:lang w:eastAsia="lt-LT"/>
              </w:rPr>
              <w:t>.</w:t>
            </w:r>
          </w:p>
        </w:tc>
      </w:tr>
      <w:tr w:rsidR="00273323" w:rsidRPr="00462BBC" w:rsidTr="00273323">
        <w:trPr>
          <w:trHeight w:val="3101"/>
        </w:trPr>
        <w:tc>
          <w:tcPr>
            <w:tcW w:w="2221" w:type="dxa"/>
            <w:vMerge/>
            <w:tcBorders>
              <w:left w:val="single" w:sz="4" w:space="0" w:color="auto"/>
              <w:bottom w:val="nil"/>
              <w:right w:val="single" w:sz="4" w:space="0" w:color="auto"/>
            </w:tcBorders>
          </w:tcPr>
          <w:p w:rsidR="00273323" w:rsidRDefault="00273323" w:rsidP="00CF1622">
            <w:pPr>
              <w:spacing w:after="0" w:line="240" w:lineRule="auto"/>
              <w:rPr>
                <w:rFonts w:ascii="Times New Roman" w:hAnsi="Times New Roman"/>
                <w:sz w:val="24"/>
                <w:szCs w:val="24"/>
              </w:rPr>
            </w:pPr>
          </w:p>
        </w:tc>
        <w:tc>
          <w:tcPr>
            <w:tcW w:w="5571" w:type="dxa"/>
            <w:tcBorders>
              <w:top w:val="single" w:sz="4" w:space="0" w:color="auto"/>
              <w:left w:val="single" w:sz="4" w:space="0" w:color="auto"/>
              <w:bottom w:val="nil"/>
              <w:right w:val="single" w:sz="4" w:space="0" w:color="auto"/>
            </w:tcBorders>
          </w:tcPr>
          <w:p w:rsidR="00273323" w:rsidRPr="00D56E37" w:rsidRDefault="00273323" w:rsidP="00D56E3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 </w:t>
            </w:r>
            <w:r w:rsidRPr="00D56E37">
              <w:rPr>
                <w:rFonts w:ascii="Times New Roman" w:hAnsi="Times New Roman" w:cs="Times New Roman"/>
                <w:color w:val="000000"/>
                <w:sz w:val="24"/>
                <w:szCs w:val="24"/>
              </w:rPr>
              <w:t>Siūlomi pakeitimai iš esmės reiškia, kad išplečiama vertinimo amplitudė ir teisė nuspręsti taikyti ją ar ne (</w:t>
            </w:r>
            <w:r w:rsidRPr="00D56E37">
              <w:rPr>
                <w:rFonts w:ascii="Times New Roman" w:hAnsi="Times New Roman" w:cs="Times New Roman"/>
                <w:bCs/>
                <w:color w:val="000000"/>
                <w:sz w:val="24"/>
                <w:szCs w:val="24"/>
              </w:rPr>
              <w:t>„</w:t>
            </w:r>
            <w:r w:rsidRPr="00D56E37">
              <w:rPr>
                <w:rFonts w:ascii="Times New Roman" w:hAnsi="Times New Roman" w:cs="Times New Roman"/>
                <w:bCs/>
                <w:color w:val="000000"/>
                <w:sz w:val="24"/>
                <w:szCs w:val="24"/>
                <w:u w:val="single"/>
              </w:rPr>
              <w:t>gali</w:t>
            </w:r>
            <w:r w:rsidRPr="00D56E37">
              <w:rPr>
                <w:rFonts w:ascii="Times New Roman" w:hAnsi="Times New Roman" w:cs="Times New Roman"/>
                <w:bCs/>
                <w:color w:val="000000"/>
                <w:sz w:val="24"/>
                <w:szCs w:val="24"/>
              </w:rPr>
              <w:t xml:space="preserve"> vertinamąjį vienetą įvertinti pusiniu įverčiu“)</w:t>
            </w:r>
            <w:r w:rsidRPr="00D56E37">
              <w:rPr>
                <w:rFonts w:ascii="Times New Roman" w:hAnsi="Times New Roman" w:cs="Times New Roman"/>
                <w:color w:val="000000"/>
                <w:sz w:val="24"/>
                <w:szCs w:val="24"/>
              </w:rPr>
              <w:t xml:space="preserve">, paliekama atskiroms ekspertų grupėms. Manytume, kad vertinimo sistema turi būti aiškiai įtvirtinta punkto nuostatose. </w:t>
            </w:r>
          </w:p>
          <w:p w:rsidR="00273323" w:rsidRPr="00D56E37" w:rsidRDefault="00273323" w:rsidP="00D56E3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56E37">
              <w:rPr>
                <w:rFonts w:ascii="Times New Roman" w:hAnsi="Times New Roman" w:cs="Times New Roman"/>
                <w:sz w:val="24"/>
                <w:szCs w:val="24"/>
              </w:rPr>
              <w:t>12 punktą siūlytume tikslinti ir  išdėstyti jį taip:</w:t>
            </w:r>
          </w:p>
          <w:p w:rsidR="00273323" w:rsidRDefault="00273323" w:rsidP="00D56E37">
            <w:pPr>
              <w:spacing w:after="0" w:line="240" w:lineRule="auto"/>
              <w:rPr>
                <w:rFonts w:ascii="Times New Roman" w:hAnsi="Times New Roman"/>
                <w:bCs/>
                <w:color w:val="000000"/>
                <w:sz w:val="24"/>
                <w:szCs w:val="24"/>
              </w:rPr>
            </w:pPr>
            <w:r>
              <w:rPr>
                <w:rFonts w:ascii="Times New Roman" w:hAnsi="Times New Roman" w:cs="Times New Roman"/>
                <w:sz w:val="24"/>
                <w:szCs w:val="24"/>
              </w:rPr>
              <w:t xml:space="preserve">   </w:t>
            </w:r>
            <w:r w:rsidRPr="00D56E37">
              <w:rPr>
                <w:rFonts w:ascii="Times New Roman" w:hAnsi="Times New Roman" w:cs="Times New Roman"/>
                <w:sz w:val="24"/>
                <w:szCs w:val="24"/>
              </w:rPr>
              <w:t>„</w:t>
            </w:r>
            <w:r w:rsidRPr="00D56E37">
              <w:rPr>
                <w:rFonts w:ascii="Times New Roman" w:hAnsi="Times New Roman" w:cs="Times New Roman"/>
                <w:color w:val="000000"/>
                <w:sz w:val="24"/>
                <w:szCs w:val="24"/>
              </w:rPr>
              <w:t>12. Išnagrinėjusios joms pateiktus duomenis ir apsilankiusios vertinamuosiuose vienetuose, ekspertų grupės penkių balų sistemoje</w:t>
            </w:r>
            <w:r w:rsidRPr="00D56E37">
              <w:rPr>
                <w:rFonts w:ascii="Times New Roman" w:hAnsi="Times New Roman" w:cs="Times New Roman"/>
                <w:b/>
                <w:color w:val="000000"/>
                <w:sz w:val="24"/>
                <w:szCs w:val="24"/>
              </w:rPr>
              <w:t xml:space="preserve">, taikant ir pusinius įverčius, </w:t>
            </w:r>
            <w:r w:rsidRPr="00D56E37">
              <w:rPr>
                <w:rFonts w:ascii="Times New Roman" w:hAnsi="Times New Roman" w:cs="Times New Roman"/>
                <w:color w:val="000000"/>
                <w:sz w:val="24"/>
                <w:szCs w:val="24"/>
              </w:rPr>
              <w:t>įvertina juos pagal Aprašo 10 punkte nurodytus jų MTEP veiklos vertinimo kriterijus.</w:t>
            </w:r>
            <w:r>
              <w:rPr>
                <w:rFonts w:ascii="Times New Roman" w:hAnsi="Times New Roman" w:cs="Times New Roman"/>
                <w:color w:val="000000"/>
                <w:sz w:val="24"/>
                <w:szCs w:val="24"/>
              </w:rPr>
              <w:t xml:space="preserve"> </w:t>
            </w:r>
            <w:r w:rsidRPr="00D56E37">
              <w:rPr>
                <w:rFonts w:ascii="Times New Roman" w:hAnsi="Times New Roman" w:cs="Times New Roman"/>
                <w:bCs/>
                <w:strike/>
                <w:color w:val="000000"/>
                <w:sz w:val="24"/>
                <w:szCs w:val="24"/>
              </w:rPr>
              <w:t>Bendru sutarimu ekspertų grupės gali vertinamąjį vienetą įvertinti pusiniu įverčiu.</w:t>
            </w:r>
            <w:r w:rsidRPr="00D56E37">
              <w:rPr>
                <w:rFonts w:ascii="Times New Roman" w:hAnsi="Times New Roman" w:cs="Times New Roman"/>
                <w:bCs/>
                <w:color w:val="000000"/>
                <w:sz w:val="24"/>
                <w:szCs w:val="24"/>
              </w:rPr>
              <w:t>“</w:t>
            </w:r>
          </w:p>
        </w:tc>
        <w:tc>
          <w:tcPr>
            <w:tcW w:w="6520" w:type="dxa"/>
            <w:tcBorders>
              <w:top w:val="single" w:sz="4" w:space="0" w:color="auto"/>
              <w:left w:val="single" w:sz="4" w:space="0" w:color="auto"/>
              <w:bottom w:val="nil"/>
              <w:right w:val="single" w:sz="4" w:space="0" w:color="auto"/>
            </w:tcBorders>
          </w:tcPr>
          <w:p w:rsidR="00273323" w:rsidRPr="00462BBC" w:rsidRDefault="00273323" w:rsidP="00D56E37">
            <w:pPr>
              <w:spacing w:after="0" w:line="240" w:lineRule="auto"/>
              <w:rPr>
                <w:rFonts w:ascii="Times New Roman" w:hAnsi="Times New Roman"/>
                <w:b/>
                <w:sz w:val="24"/>
                <w:szCs w:val="24"/>
              </w:rPr>
            </w:pPr>
            <w:r w:rsidRPr="00462BBC">
              <w:rPr>
                <w:rFonts w:ascii="Times New Roman" w:hAnsi="Times New Roman"/>
                <w:b/>
                <w:sz w:val="24"/>
                <w:szCs w:val="24"/>
              </w:rPr>
              <w:t>Neatsižvelgta.</w:t>
            </w:r>
          </w:p>
          <w:p w:rsidR="00273323" w:rsidRPr="00462BBC" w:rsidRDefault="00273323" w:rsidP="00F41662">
            <w:pPr>
              <w:spacing w:after="0" w:line="240" w:lineRule="auto"/>
              <w:rPr>
                <w:rFonts w:ascii="Times New Roman" w:hAnsi="Times New Roman"/>
                <w:b/>
                <w:sz w:val="24"/>
                <w:szCs w:val="24"/>
              </w:rPr>
            </w:pPr>
            <w:r>
              <w:rPr>
                <w:rFonts w:ascii="Times New Roman" w:hAnsi="Times New Roman"/>
                <w:sz w:val="24"/>
                <w:szCs w:val="24"/>
                <w:lang w:eastAsia="lt-LT"/>
              </w:rPr>
              <w:t xml:space="preserve">   Būtent LMT siūlymas „išplečia vertinimo amplitudę“ – </w:t>
            </w:r>
            <w:r w:rsidRPr="00273323">
              <w:rPr>
                <w:rFonts w:ascii="Times New Roman" w:hAnsi="Times New Roman"/>
                <w:i/>
                <w:sz w:val="24"/>
                <w:szCs w:val="24"/>
                <w:lang w:eastAsia="lt-LT"/>
              </w:rPr>
              <w:t>de facto</w:t>
            </w:r>
            <w:r>
              <w:rPr>
                <w:rFonts w:ascii="Times New Roman" w:hAnsi="Times New Roman"/>
                <w:sz w:val="24"/>
                <w:szCs w:val="24"/>
                <w:lang w:eastAsia="lt-LT"/>
              </w:rPr>
              <w:t xml:space="preserve"> </w:t>
            </w:r>
            <w:r w:rsidR="00F41662">
              <w:rPr>
                <w:rFonts w:ascii="Times New Roman" w:hAnsi="Times New Roman"/>
                <w:sz w:val="24"/>
                <w:szCs w:val="24"/>
                <w:lang w:eastAsia="lt-LT"/>
              </w:rPr>
              <w:t xml:space="preserve">verčia </w:t>
            </w:r>
            <w:r>
              <w:rPr>
                <w:rFonts w:ascii="Times New Roman" w:hAnsi="Times New Roman"/>
                <w:sz w:val="24"/>
                <w:szCs w:val="24"/>
                <w:lang w:eastAsia="lt-LT"/>
              </w:rPr>
              <w:t xml:space="preserve">vertinimo sistemą iš penkiabalės į </w:t>
            </w:r>
            <w:proofErr w:type="spellStart"/>
            <w:r>
              <w:rPr>
                <w:rFonts w:ascii="Times New Roman" w:hAnsi="Times New Roman"/>
                <w:sz w:val="24"/>
                <w:szCs w:val="24"/>
                <w:lang w:eastAsia="lt-LT"/>
              </w:rPr>
              <w:t>dešimtbalę</w:t>
            </w:r>
            <w:proofErr w:type="spellEnd"/>
            <w:r>
              <w:rPr>
                <w:rFonts w:ascii="Times New Roman" w:hAnsi="Times New Roman"/>
                <w:sz w:val="24"/>
                <w:szCs w:val="24"/>
                <w:lang w:eastAsia="lt-LT"/>
              </w:rPr>
              <w:t xml:space="preserve">. Tuo metu vertinimai, panašūs į palyginamąjį ekspertinį MTEP veiklos vertinimą, vykdomi penkiabalėje ar net </w:t>
            </w:r>
            <w:proofErr w:type="spellStart"/>
            <w:r>
              <w:rPr>
                <w:rFonts w:ascii="Times New Roman" w:hAnsi="Times New Roman"/>
                <w:sz w:val="24"/>
                <w:szCs w:val="24"/>
                <w:lang w:eastAsia="lt-LT"/>
              </w:rPr>
              <w:t>keturbalėje</w:t>
            </w:r>
            <w:proofErr w:type="spellEnd"/>
            <w:r>
              <w:rPr>
                <w:rFonts w:ascii="Times New Roman" w:hAnsi="Times New Roman"/>
                <w:sz w:val="24"/>
                <w:szCs w:val="24"/>
                <w:lang w:eastAsia="lt-LT"/>
              </w:rPr>
              <w:t xml:space="preserve"> sistemoje. Mūsų siūlymas kilo dėl to, kad kai kurios (ne visos) ekspertų grupės pastebėjo, kad buvo keli atvejai, kai ekspertų nuomonės kardinaliai išsiskyrė, dėl įverčio buvo balsuojama, sprendimas buvo priimamas vieno balso persvara ar tik grupės pirmininko balsu, o tokių situacijų ekspertai visada stengiasi išvengti. Todėl siūlome, kad pusinis įvertis būtų įmanomas tik esant ekspertų bendram sutarimui – išimties tvarka.</w:t>
            </w:r>
          </w:p>
        </w:tc>
      </w:tr>
      <w:tr w:rsidR="00CF1622" w:rsidRPr="0034004E" w:rsidTr="00273323">
        <w:tc>
          <w:tcPr>
            <w:tcW w:w="2221" w:type="dxa"/>
            <w:tcBorders>
              <w:top w:val="nil"/>
            </w:tcBorders>
          </w:tcPr>
          <w:p w:rsidR="00CF1622" w:rsidRPr="0034004E" w:rsidRDefault="00CF1622" w:rsidP="00CF1622">
            <w:pPr>
              <w:spacing w:after="0" w:line="240" w:lineRule="auto"/>
              <w:rPr>
                <w:rFonts w:ascii="Times New Roman" w:hAnsi="Times New Roman"/>
                <w:sz w:val="2"/>
                <w:szCs w:val="2"/>
              </w:rPr>
            </w:pPr>
          </w:p>
        </w:tc>
        <w:tc>
          <w:tcPr>
            <w:tcW w:w="5571" w:type="dxa"/>
            <w:tcBorders>
              <w:top w:val="nil"/>
              <w:right w:val="single" w:sz="4" w:space="0" w:color="auto"/>
            </w:tcBorders>
          </w:tcPr>
          <w:p w:rsidR="00CF1622" w:rsidRPr="0034004E" w:rsidRDefault="00CF1622" w:rsidP="00CF1622">
            <w:pPr>
              <w:spacing w:after="0" w:line="240" w:lineRule="auto"/>
              <w:ind w:left="125" w:right="72"/>
              <w:rPr>
                <w:rFonts w:ascii="Times New Roman" w:hAnsi="Times New Roman"/>
                <w:sz w:val="2"/>
                <w:szCs w:val="2"/>
              </w:rPr>
            </w:pPr>
          </w:p>
        </w:tc>
        <w:tc>
          <w:tcPr>
            <w:tcW w:w="6520" w:type="dxa"/>
            <w:tcBorders>
              <w:top w:val="nil"/>
              <w:left w:val="single" w:sz="4" w:space="0" w:color="auto"/>
              <w:bottom w:val="single" w:sz="4" w:space="0" w:color="auto"/>
              <w:right w:val="single" w:sz="4" w:space="0" w:color="auto"/>
            </w:tcBorders>
          </w:tcPr>
          <w:p w:rsidR="00CF1622" w:rsidRPr="0034004E" w:rsidRDefault="00CF1622" w:rsidP="00CF1622">
            <w:pPr>
              <w:spacing w:after="0" w:line="240" w:lineRule="auto"/>
              <w:rPr>
                <w:rFonts w:ascii="Times New Roman" w:hAnsi="Times New Roman"/>
                <w:sz w:val="2"/>
                <w:szCs w:val="2"/>
              </w:rPr>
            </w:pPr>
          </w:p>
        </w:tc>
      </w:tr>
    </w:tbl>
    <w:p w:rsidR="00BC048C" w:rsidRPr="00CF1622" w:rsidRDefault="00CF1622" w:rsidP="00CF1622">
      <w:pPr>
        <w:spacing w:after="0"/>
        <w:jc w:val="center"/>
        <w:rPr>
          <w:rFonts w:ascii="Times New Roman" w:hAnsi="Times New Roman" w:cs="Times New Roman"/>
          <w:sz w:val="24"/>
          <w:szCs w:val="24"/>
        </w:rPr>
      </w:pPr>
      <w:r w:rsidRPr="00462BBC">
        <w:rPr>
          <w:rFonts w:ascii="Times New Roman" w:hAnsi="Times New Roman"/>
          <w:sz w:val="24"/>
          <w:szCs w:val="24"/>
        </w:rPr>
        <w:t>_______________________________</w:t>
      </w:r>
    </w:p>
    <w:sectPr w:rsidR="00BC048C" w:rsidRPr="00CF1622" w:rsidSect="00CF1622">
      <w:pgSz w:w="16838" w:h="11906" w:orient="landscape"/>
      <w:pgMar w:top="1134"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22"/>
    <w:rsid w:val="000174D6"/>
    <w:rsid w:val="00083FF2"/>
    <w:rsid w:val="00196CED"/>
    <w:rsid w:val="00273323"/>
    <w:rsid w:val="004A773C"/>
    <w:rsid w:val="00917980"/>
    <w:rsid w:val="00BC048C"/>
    <w:rsid w:val="00CF1622"/>
    <w:rsid w:val="00D56E37"/>
    <w:rsid w:val="00F41662"/>
    <w:rsid w:val="00F7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7EEB"/>
  <w15:docId w15:val="{944CF4A3-2BE6-4E79-A752-13391449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A773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7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 Id="rId6" Target="../customXml/item1.xml"
                 Type="http://schemas.openxmlformats.org/officeDocument/2006/relationships/customXml"/>
   <Relationship Id="rId7" Target="../customXml/item2.xml"
                 Type="http://schemas.openxmlformats.org/officeDocument/2006/relationships/customXml"/>
   <Relationship Id="rId8" Target="../customXml/item3.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CA534-B388-4487-A5B4-DAF90F7C2AA7}"/>
</file>

<file path=customXml/itemProps2.xml><?xml version="1.0" encoding="utf-8"?>
<ds:datastoreItem xmlns:ds="http://schemas.openxmlformats.org/officeDocument/2006/customXml" ds:itemID="{7CB34508-683B-4248-B0C2-2AD4243F2C04}"/>
</file>

<file path=customXml/itemProps3.xml><?xml version="1.0" encoding="utf-8"?>
<ds:datastoreItem xmlns:ds="http://schemas.openxmlformats.org/officeDocument/2006/customXml" ds:itemID="{8BBB5F7C-D995-41DC-AE14-8EB87823E52C}"/>
</file>

<file path=docProps/app.xml><?xml version="1.0" encoding="utf-8"?>
<Properties xmlns="http://schemas.openxmlformats.org/officeDocument/2006/extended-properties" xmlns:vt="http://schemas.openxmlformats.org/officeDocument/2006/docPropsVTypes">
  <Template>Normal</Template>
  <TotalTime>2</TotalTime>
  <Pages>2</Pages>
  <Words>3029</Words>
  <Characters>1727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2020-05-20T10:02:00Z</dcterms:created>
  <dc:creator>Žurauskas Stanislovas</dc:creator>
  <cp:lastModifiedBy>Žurauskas Stanislovas</cp:lastModifiedBy>
  <dcterms:modified xsi:type="dcterms:W3CDTF">2020-05-20T13:07:00Z</dcterms:modified>
  <cp:revision>5</cp:revision>
  <dc:title>bb2dbbe2-5caa-4e6b-88f5-6735ae2915a9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