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dda32832394e4219ae228357e3dbec40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ind w:left="7371" w:firstLine="1020"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b/>
              <w:caps/>
              <w:sz w:val="28"/>
              <w:szCs w:val="28"/>
              <w:lang w:eastAsia="lt-LT"/>
            </w:rPr>
          </w:pPr>
          <w:r>
            <w:rPr>
              <w:b/>
              <w:caps/>
              <w:sz w:val="28"/>
              <w:szCs w:val="28"/>
              <w:lang w:eastAsia="lt-LT"/>
            </w:rPr>
            <w:t>Lietuvos Respublikos Vyriausybė</w:t>
          </w:r>
        </w:p>
        <w:p>
          <w:pPr>
            <w:jc w:val="center"/>
            <w:rPr>
              <w:rFonts w:ascii="Arial" w:hAnsi="Arial" w:cs="Arial"/>
              <w:caps/>
              <w:sz w:val="28"/>
              <w:szCs w:val="28"/>
              <w:lang w:eastAsia="lt-LT"/>
            </w:rPr>
          </w:pPr>
        </w:p>
        <w:p>
          <w:pPr>
            <w:jc w:val="center"/>
            <w:rPr>
              <w:rFonts w:ascii="Arial" w:hAnsi="Arial" w:cs="Arial"/>
              <w:caps/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keepNext/>
            <w:jc w:val="center"/>
            <w:outlineLvl w:val="1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DĖL LIETUVOS MOKSLO TARYBOS KOMITETŲ NARIŲ PATVIRTINIMO</w:t>
          </w:r>
        </w:p>
        <w:p>
          <w:pPr>
            <w:rPr>
              <w:szCs w:val="24"/>
              <w:lang w:val="en-US"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2018 m.                          d. Nr. 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  <w:lang w:eastAsia="lt-LT"/>
            </w:rPr>
          </w:pPr>
        </w:p>
        <w:p>
          <w:pPr>
            <w:ind w:firstLine="709"/>
            <w:jc w:val="both"/>
            <w:rPr>
              <w:color w:val="000000"/>
              <w:szCs w:val="24"/>
              <w:lang w:eastAsia="lt-LT"/>
            </w:rPr>
          </w:pPr>
        </w:p>
        <w:sdt>
          <w:sdtPr>
            <w:alias w:val="preambule"/>
            <w:tag w:val="part_251d9277048b47b3b53501ed0710e608"/>
            <w:lock w:val="sdtLocked"/>
            <w:richText/>
          </w:sdtPr>
          <w:sdtContent>
            <w:p>
              <w:pPr>
                <w:ind w:firstLine="567"/>
                <w:jc w:val="both"/>
                <w:rPr>
                  <w:spacing w:val="1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Vadovaudamasi Lietuvos Respublikos mokslo ir studijų įstatymo 15 straipsnio 1 dalimi, Lietuvos mokslo tarybos nuostatų, patvirtintų Lietuvos Respublikos Seimo 2017 m. birželio 22 d. nutarimu Nr. XIII-499 „Dėl Lietuvos mokslo tarybos nuostatų patvirtinimo“, 11,13, 15–18 punktais </w:t>
              </w: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80"/>
                  <w:szCs w:val="24"/>
                  <w:lang w:eastAsia="lt-LT"/>
                </w:rPr>
                <w:t xml:space="preserve"> </w:t>
              </w:r>
              <w:r>
                <w:rPr>
                  <w:spacing w:val="100"/>
                  <w:szCs w:val="24"/>
                  <w:lang w:eastAsia="lt-LT"/>
                </w:rPr>
                <w:t>nutaria:</w:t>
              </w:r>
            </w:p>
            <w:p>
              <w:pPr>
                <w:rPr>
                  <w:sz w:val="2"/>
                  <w:szCs w:val="2"/>
                </w:rPr>
              </w:pPr>
            </w:p>
          </w:sdtContent>
        </w:sdt>
        <w:sdt>
          <w:sdtPr>
            <w:alias w:val="1 p."/>
            <w:tag w:val="part_9d01d4b4e1dd41ef880d7450ef36658c"/>
            <w:lock w:val="sdtLocked"/>
            <w:richText/>
          </w:sdtPr>
          <w:sdtContent>
            <w:p>
              <w:pPr>
                <w:ind w:firstLine="567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9d01d4b4e1dd41ef880d7450ef36658c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1</w:t>
                  </w:r>
                </w:sdtContent>
              </w:sdt>
              <w:r>
                <w:rPr>
                  <w:lang w:eastAsia="lt-LT"/>
                </w:rPr>
                <w:t>. Patvirtinti Lietuvos mokslo tarybos Humanitarinių ir socialinių mokslų komiteto nariais penkerių metų kadencijai:</w:t>
              </w:r>
            </w:p>
            <w:p>
              <w:pPr>
                <w:rPr>
                  <w:sz w:val="2"/>
                  <w:szCs w:val="2"/>
                </w:rPr>
              </w:pPr>
            </w:p>
            <w:sdt>
              <w:sdtPr>
                <w:alias w:val="1.1 pp."/>
                <w:tag w:val="part_c2ecea0444bd4ff68b8f89f79b2651c7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c2ecea0444bd4ff68b8f89f79b2651c7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1.1</w:t>
                      </w:r>
                    </w:sdtContent>
                  </w:sdt>
                  <w:r>
                    <w:rPr>
                      <w:szCs w:val="24"/>
                    </w:rPr>
                    <w:t xml:space="preserve">. Tamarą Bairašauskaitę, Lietuvos istorijos instituto XIX amžiaus istorijos skyriaus vyriausiąją mokslo darbuotoją; 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1.2 pp."/>
                <w:tag w:val="part_bbfc879e2939482bbc8cae06c123f8b2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bfc879e2939482bbc8cae06c123f8b2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1.2</w:t>
                      </w:r>
                    </w:sdtContent>
                  </w:sdt>
                  <w:r>
                    <w:rPr>
                      <w:szCs w:val="24"/>
                    </w:rPr>
                    <w:t xml:space="preserve">. Mintautą Gutauską, Vilniaus universiteto Filosofijos fakulteto Filosofijos instituto  vyresnįjį mokslo darbuotoją;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1.3 pp."/>
                <w:tag w:val="part_b8a81a028de2487ab5d2a0de30e780c5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8a81a028de2487ab5d2a0de30e780c5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1.3</w:t>
                      </w:r>
                    </w:sdtContent>
                  </w:sdt>
                  <w:r>
                    <w:rPr>
                      <w:szCs w:val="24"/>
                    </w:rPr>
                    <w:t xml:space="preserve">. Giedrę Mickūnaitę, Vilniaus dailės akademijos Dailės istorijos ir teorijos katedros profesorę; 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1.4 pp."/>
                <w:tag w:val="part_a0661b4ae33a40b99dbd22eea45aa9a1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a0661b4ae33a40b99dbd22eea45aa9a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1.4</w:t>
                      </w:r>
                    </w:sdtContent>
                  </w:sdt>
                  <w:r>
                    <w:rPr>
                      <w:szCs w:val="24"/>
                    </w:rPr>
                    <w:t>. Aidą Perminą, Vytauto Didžiojo universiteto Socialinių mokslų fakulteto Psichologijos katedros profesorių;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1.5 pp."/>
                <w:tag w:val="part_bb860805bb6c442fb404d7b74351482c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b860805bb6c442fb404d7b74351482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1.5</w:t>
                      </w:r>
                    </w:sdtContent>
                  </w:sdt>
                  <w:r>
                    <w:rPr>
                      <w:szCs w:val="24"/>
                    </w:rPr>
                    <w:t xml:space="preserve">. Jeleną Stankevičienę, Vilniaus Gedimino technikos universiteto Verslo vadybos fakulteto Finansų inžinerijos katedros profesorę; 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1.6 pp."/>
                <w:tag w:val="part_a12ac124d5df4735860b9f7f5f248d41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a12ac124d5df4735860b9f7f5f248d4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1.6</w:t>
                      </w:r>
                    </w:sdtContent>
                  </w:sdt>
                  <w:r>
                    <w:rPr>
                      <w:szCs w:val="24"/>
                    </w:rPr>
                    <w:t>. Jolantą Šinkūnienę, Vilniaus universiteto Filologijos fakulteto Anglistikos, romanistikos ir klasikinių studijų instituto docentę.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</w:sdtContent>
        </w:sdt>
        <w:sdt>
          <w:sdtPr>
            <w:alias w:val="2 p."/>
            <w:tag w:val="part_2f6985d2e7f044ea8d372e07b4a9896d"/>
            <w:lock w:val="sdtLocked"/>
            <w:richText/>
          </w:sdtPr>
          <w:sdtContent>
            <w:p>
              <w:pPr>
                <w:ind w:firstLine="567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2f6985d2e7f044ea8d372e07b4a9896d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2</w:t>
                  </w:r>
                </w:sdtContent>
              </w:sdt>
              <w:r>
                <w:rPr>
                  <w:lang w:eastAsia="lt-LT"/>
                </w:rPr>
                <w:t>. Patvirtinti Lietuvos mokslo tarybos Gamtos ir technikos mokslų komiteto nariais penkerių metų kadencijai:</w:t>
              </w:r>
            </w:p>
            <w:p>
              <w:pPr>
                <w:rPr>
                  <w:sz w:val="2"/>
                  <w:szCs w:val="2"/>
                </w:rPr>
              </w:pPr>
            </w:p>
            <w:sdt>
              <w:sdtPr>
                <w:alias w:val="2.1 pp."/>
                <w:tag w:val="part_3a40424f0653419c80f7dc4ddc44117c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3a40424f0653419c80f7dc4ddc44117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2.1</w:t>
                      </w:r>
                    </w:sdtContent>
                  </w:sdt>
                  <w:r>
                    <w:rPr>
                      <w:szCs w:val="24"/>
                    </w:rPr>
                    <w:t>. Vilmantę Borutaitę, Lietuvos sveikatos mokslų universiteto Neuromokslų instituto Biochemijos laboratorijos vyriausiąją mokslo darbuotoją;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2.2 pp."/>
                <w:tag w:val="part_2634291f72634ba288f534709b547575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2634291f72634ba288f534709b547575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2.2</w:t>
                      </w:r>
                    </w:sdtContent>
                  </w:sdt>
                  <w:r>
                    <w:rPr>
                      <w:szCs w:val="24"/>
                    </w:rPr>
                    <w:t>. Artūrą Kaklauską, Vilniaus Gedimino technikos universiteto Statybos fakulteto Statybos valdymo ir nekilnojamojo turto katedros vedėją;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2.3 pp."/>
                <w:tag w:val="part_12f09184247647ffbb10c8a098500e85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12f09184247647ffbb10c8a098500e85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2.3</w:t>
                      </w:r>
                    </w:sdtContent>
                  </w:sdt>
                  <w:r>
                    <w:rPr>
                      <w:szCs w:val="24"/>
                    </w:rPr>
                    <w:t>. Valdą Sirutkaitį, Vilniaus universiteto Lazerinių tyrimų centro profesorių;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2.4 pp."/>
                <w:tag w:val="part_f0c851e2822f4073a8f5fc709ffe1a65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f0c851e2822f4073a8f5fc709ffe1a65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2.4</w:t>
                      </w:r>
                    </w:sdtContent>
                  </w:sdt>
                  <w:r>
                    <w:rPr>
                      <w:szCs w:val="24"/>
                    </w:rPr>
                    <w:t xml:space="preserve">. Editą Sužiedėlienę, Vilniaus universiteto Gyvybės mokslų centro Biomokslų instituto profesorę; 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  <w:sdt>
              <w:sdtPr>
                <w:alias w:val="2.5 pp."/>
                <w:tag w:val="part_dd8f47814aa341cbb6cc78d360534754"/>
                <w:lock w:val="sdtLocked"/>
                <w:richText/>
              </w:sdtPr>
              <w:sdtContent>
                <w:p>
                  <w:pPr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dd8f47814aa341cbb6cc78d360534754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2.5</w:t>
                      </w:r>
                    </w:sdtContent>
                  </w:sdt>
                  <w:r>
                    <w:rPr>
                      <w:szCs w:val="24"/>
                    </w:rPr>
                    <w:t xml:space="preserve">. Vladą Vansevičių, Vilniaus universiteto Fizikos fakulteto Teorinės fizikos ir astronomijos instituto profesorių.  </w:t>
                  </w:r>
                </w:p>
                <w:p>
                  <w:pPr>
                    <w:rPr>
                      <w:sz w:val="2"/>
                      <w:szCs w:val="2"/>
                    </w:rPr>
                  </w:pPr>
                </w:p>
              </w:sdtContent>
            </w:sdt>
          </w:sdtContent>
        </w:sdt>
        <w:sdt>
          <w:sdtPr>
            <w:alias w:val="3 p."/>
            <w:tag w:val="part_68519d41856c4e6faff81d8661febe86"/>
            <w:lock w:val="sdtLocked"/>
            <w:richText/>
          </w:sdtPr>
          <w:sdtContent>
            <w:p>
              <w:pPr>
                <w:ind w:firstLine="567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8519d41856c4e6faff81d8661febe86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Nustatyti, kad šis nutarimas įsigalioja 2018 m. birželio 28 d.    </w:t>
              </w:r>
            </w:p>
            <w:p>
              <w:pPr>
                <w:rPr>
                  <w:sz w:val="2"/>
                  <w:szCs w:val="2"/>
                </w:rPr>
              </w:pPr>
            </w:p>
            <w:p>
              <w:pPr>
                <w:ind w:left="993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b0aa1abadccd490aae50b1a175df9478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left" w:pos="6237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Švietimo ir mokslo ministras</w:t>
              </w:r>
            </w:p>
          </w:sdtContent>
        </w:sdt>
      </w:sdtContent>
    </w:sdt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80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19" Target="../customXml/item5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arts xmlns="http://lrs.lt/TAIS/DocParts">
  <Part Type="pagrindine" DocPartId="63f1dc72f6654299b7e5d76e9f916919" PartId="dda32832394e4219ae228357e3dbec40">
    <Part Type="preambule" DocPartId="7388133617f74cd1b483d4312eff7486" PartId="251d9277048b47b3b53501ed0710e608"/>
    <Part Type="punktas" Nr="1" Abbr="1 p." DocPartId="b4e5114fe224468e942344151b5f732b" PartId="9d01d4b4e1dd41ef880d7450ef36658c">
      <Part Type="papunktis" Nr="1.1" Abbr="1.1 pp." DocPartId="2cdcbefd2c9e45b89eddcee0e56e9a7b" PartId="c2ecea0444bd4ff68b8f89f79b2651c7"/>
      <Part Type="papunktis" Nr="1.2" Abbr="1.2 pp." DocPartId="ace1b484f73346d7afcf84788bd0fe15" PartId="bbfc879e2939482bbc8cae06c123f8b2"/>
      <Part Type="papunktis" Nr="1.3" Abbr="1.3 pp." DocPartId="579a5f51cf904aefb359c06f234b448b" PartId="b8a81a028de2487ab5d2a0de30e780c5"/>
      <Part Type="papunktis" Nr="1.4" Abbr="1.4 pp." DocPartId="681ace37100045a59f8a9b428138c1cb" PartId="a0661b4ae33a40b99dbd22eea45aa9a1"/>
      <Part Type="papunktis" Nr="1.5" Abbr="1.5 pp." DocPartId="0bdd7a2fb23641f385e4f23109642e00" PartId="bb860805bb6c442fb404d7b74351482c"/>
      <Part Type="papunktis" Nr="1.6" Abbr="1.6 pp." DocPartId="1076620b79cc4625b2f3ab3758c47a9c" PartId="a12ac124d5df4735860b9f7f5f248d41"/>
    </Part>
    <Part Type="punktas" Nr="2" Abbr="2 p." DocPartId="e7217c989f20447f8c95da519e1ad4ab" PartId="2f6985d2e7f044ea8d372e07b4a9896d">
      <Part Type="papunktis" Nr="2.1" Abbr="2.1 pp." DocPartId="e2ef8484169b42e08e40c011713df059" PartId="3a40424f0653419c80f7dc4ddc44117c"/>
      <Part Type="papunktis" Nr="2.2" Abbr="2.2 pp." DocPartId="998486606deb4297b699e1a6b2ed14c8" PartId="2634291f72634ba288f534709b547575"/>
      <Part Type="papunktis" Nr="2.3" Abbr="2.3 pp." DocPartId="e82787137feb4aab97910fdaed3c8696" PartId="12f09184247647ffbb10c8a098500e85"/>
      <Part Type="papunktis" Nr="2.4" Abbr="2.4 pp." DocPartId="ae33c84f7c1e48a69866e392cde25a69" PartId="f0c851e2822f4073a8f5fc709ffe1a65"/>
      <Part Type="papunktis" Nr="2.5" Abbr="2.5 pp." DocPartId="9bf2bfdcf285406cb844d80485697430" PartId="dd8f47814aa341cbb6cc78d360534754"/>
    </Part>
    <Part Type="punktas" Nr="3" Abbr="3 p." DocPartId="00dd53246ac241a0adaf3e893a088ded" PartId="68519d41856c4e6faff81d8661febe86"/>
    <Part Type="signatura" DocPartId="53226263351f4b32bc5f2037d6752b81" PartId="b0aa1abadccd490aae50b1a175df9478"/>
  </Part>
</Parts>
</file>

<file path=customXml/itemProps1.xml><?xml version="1.0" encoding="utf-8"?>
<ds:datastoreItem xmlns:ds="http://schemas.openxmlformats.org/officeDocument/2006/customXml" ds:itemID="{8BAA0D92-42A7-428E-926C-4EB8D1038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38F32-D7B7-4C17-8E5C-7FA1E4ECD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DD1BA-3E65-4689-AD0F-A6B29E2A9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5F003-8775-4BBA-997F-1BA70D3EB6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38D103-EF6E-4B4A-9B7A-A8F76B8AF21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1910</Characters>
  <Application>Microsoft Office Word</Application>
  <DocSecurity>4</DocSecurity>
  <Lines>51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2134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2018-06-08T07:45:00Z</dcterms:created>
  <dc:creator>lrvk</dc:creator>
  <cp:lastModifiedBy>Asseco</cp:lastModifiedBy>
  <cp:lastPrinted>2018-05-24T06:17:00Z</cp:lastPrinted>
  <dcterms:modified xsi:type="dcterms:W3CDTF">2018-06-08T07:45:00Z</dcterms:modified>
  <cp:revision>2</cp:revision>
  <dc:title>96db80f7-7e3a-48c7-a262-9530920f1b4d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