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632DB1" w:rsidRPr="00632DB1" w:rsidTr="006553F4">
        <w:trPr>
          <w:cantSplit/>
          <w:trHeight w:val="347"/>
        </w:trPr>
        <w:tc>
          <w:tcPr>
            <w:tcW w:w="5268" w:type="dxa"/>
            <w:vMerge w:val="restart"/>
          </w:tcPr>
          <w:p w:rsidR="00807532" w:rsidRPr="00632DB1" w:rsidRDefault="00807532" w:rsidP="00F87B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Vyriausybei</w:t>
            </w:r>
          </w:p>
        </w:tc>
        <w:tc>
          <w:tcPr>
            <w:tcW w:w="2040" w:type="dxa"/>
          </w:tcPr>
          <w:p w:rsidR="00807532" w:rsidRPr="00632DB1" w:rsidRDefault="00E65991" w:rsidP="00F87B60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6906CA"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906CA"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807532"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520" w:type="dxa"/>
          </w:tcPr>
          <w:p w:rsidR="00807532" w:rsidRPr="00632DB1" w:rsidRDefault="00807532" w:rsidP="00F87B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:rsidR="00632DB1" w:rsidRPr="00632DB1" w:rsidTr="006553F4">
        <w:trPr>
          <w:cantSplit/>
          <w:trHeight w:val="851"/>
        </w:trPr>
        <w:tc>
          <w:tcPr>
            <w:tcW w:w="5268" w:type="dxa"/>
            <w:vMerge/>
          </w:tcPr>
          <w:p w:rsidR="00807532" w:rsidRPr="00632DB1" w:rsidRDefault="00807532" w:rsidP="00F87B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807532" w:rsidRPr="00632DB1" w:rsidRDefault="00807532" w:rsidP="00F87B60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07532" w:rsidRPr="00632DB1" w:rsidRDefault="00807532" w:rsidP="00F87B6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91A" w:rsidRPr="00632DB1" w:rsidRDefault="009A191A" w:rsidP="00F87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F8553B" w:rsidRPr="00632DB1">
        <w:rPr>
          <w:rFonts w:ascii="Times New Roman" w:eastAsia="Times New Roman" w:hAnsi="Times New Roman" w:cs="Times New Roman"/>
          <w:b/>
          <w:sz w:val="24"/>
          <w:szCs w:val="24"/>
        </w:rPr>
        <w:t>VYRIAUSYBĖS NUTARIMO PROJEKTO</w:t>
      </w:r>
    </w:p>
    <w:p w:rsidR="009A191A" w:rsidRPr="00632DB1" w:rsidRDefault="009A191A" w:rsidP="00F87B60">
      <w:pPr>
        <w:pStyle w:val="CommentTex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532" w:rsidRPr="00632DB1" w:rsidRDefault="00807532" w:rsidP="00F87B60">
      <w:pPr>
        <w:spacing w:after="0" w:line="36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Teikiamas </w:t>
      </w:r>
      <w:r w:rsidR="00F8553B" w:rsidRPr="00632DB1">
        <w:rPr>
          <w:rFonts w:ascii="Times New Roman" w:eastAsia="Times New Roman" w:hAnsi="Times New Roman" w:cs="Times New Roman"/>
          <w:sz w:val="24"/>
          <w:szCs w:val="24"/>
        </w:rPr>
        <w:t>svarstyti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53B" w:rsidRPr="00632DB1">
        <w:rPr>
          <w:rFonts w:ascii="Times New Roman" w:eastAsia="Times New Roman" w:hAnsi="Times New Roman" w:cs="Times New Roman"/>
          <w:sz w:val="24"/>
          <w:szCs w:val="24"/>
        </w:rPr>
        <w:t xml:space="preserve">Vyriausybės nutarimo </w:t>
      </w:r>
      <w:r w:rsidR="00B74393" w:rsidRPr="00632DB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74393" w:rsidRPr="00632DB1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E40838" w:rsidRPr="00632DB1">
        <w:rPr>
          <w:rFonts w:ascii="Times New Roman" w:hAnsi="Times New Roman" w:cs="Times New Roman"/>
          <w:bCs/>
          <w:sz w:val="24"/>
          <w:szCs w:val="24"/>
        </w:rPr>
        <w:t xml:space="preserve">visuomenės informavimo įgyvendinant Lietuvos Respublikos Seimo 2019 m. sausio 11 d. nutarimą </w:t>
      </w:r>
      <w:r w:rsidR="005B3A39" w:rsidRPr="00632DB1">
        <w:rPr>
          <w:rFonts w:ascii="Times New Roman" w:hAnsi="Times New Roman" w:cs="Times New Roman"/>
          <w:bCs/>
          <w:sz w:val="24"/>
          <w:szCs w:val="24"/>
        </w:rPr>
        <w:t xml:space="preserve">Nr. XIII-1947“ 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>projektas (toliau –</w:t>
      </w:r>
      <w:r w:rsidR="006906CA" w:rsidRPr="00632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668" w:rsidRPr="00632DB1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>projektas).</w:t>
      </w:r>
    </w:p>
    <w:p w:rsidR="005B3A39" w:rsidRPr="00632DB1" w:rsidRDefault="00B74393" w:rsidP="00F87B6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T</w:t>
      </w:r>
      <w:r w:rsidR="00807532" w:rsidRPr="00632DB1">
        <w:rPr>
          <w:rFonts w:ascii="Times New Roman" w:eastAsia="Times New Roman" w:hAnsi="Times New Roman" w:cs="Times New Roman"/>
          <w:sz w:val="24"/>
          <w:szCs w:val="24"/>
        </w:rPr>
        <w:t xml:space="preserve">eikiamo 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6906CA" w:rsidRPr="00632DB1">
        <w:rPr>
          <w:rFonts w:ascii="Times New Roman" w:eastAsia="Times New Roman" w:hAnsi="Times New Roman" w:cs="Times New Roman"/>
          <w:sz w:val="24"/>
          <w:szCs w:val="24"/>
        </w:rPr>
        <w:t>projekto</w:t>
      </w:r>
      <w:r w:rsidR="00807532" w:rsidRPr="00632DB1">
        <w:rPr>
          <w:rFonts w:ascii="Times New Roman" w:eastAsia="Times New Roman" w:hAnsi="Times New Roman" w:cs="Times New Roman"/>
          <w:sz w:val="24"/>
          <w:szCs w:val="24"/>
        </w:rPr>
        <w:t xml:space="preserve"> tikslas – </w:t>
      </w:r>
      <w:r w:rsidR="005B3A39" w:rsidRPr="00632DB1">
        <w:rPr>
          <w:rFonts w:ascii="Times New Roman" w:hAnsi="Times New Roman" w:cs="Times New Roman"/>
          <w:sz w:val="24"/>
          <w:szCs w:val="24"/>
        </w:rPr>
        <w:t xml:space="preserve">vadovaujantis 2019 m. sausio 11 d. Lietuvos Respublikos Seimo nutarimu Nr. XIII-1947 „Dėl pavedimo Lietuvos Respublikos Vyriausybei privalomojo referendumo dėl Lietuvos Respublikos Konstitucijos 12 straipsnio pakeitimo agitacijos laikotarpiu informuoti visuomenę apie spręsti šiuo referendumu teikiamo klausimo svarbą </w:t>
      </w:r>
      <w:r w:rsidR="001819E2" w:rsidRPr="00632DB1">
        <w:rPr>
          <w:rFonts w:ascii="Times New Roman" w:hAnsi="Times New Roman" w:cs="Times New Roman"/>
          <w:sz w:val="24"/>
          <w:szCs w:val="24"/>
        </w:rPr>
        <w:t>V</w:t>
      </w:r>
      <w:r w:rsidR="005B3A39" w:rsidRPr="00632DB1">
        <w:rPr>
          <w:rFonts w:ascii="Times New Roman" w:hAnsi="Times New Roman" w:cs="Times New Roman"/>
          <w:sz w:val="24"/>
          <w:szCs w:val="24"/>
        </w:rPr>
        <w:t xml:space="preserve">alstybės ir </w:t>
      </w:r>
      <w:r w:rsidR="001819E2" w:rsidRPr="00632DB1">
        <w:rPr>
          <w:rFonts w:ascii="Times New Roman" w:hAnsi="Times New Roman" w:cs="Times New Roman"/>
          <w:sz w:val="24"/>
          <w:szCs w:val="24"/>
        </w:rPr>
        <w:t>T</w:t>
      </w:r>
      <w:r w:rsidR="005B3A39" w:rsidRPr="00632DB1">
        <w:rPr>
          <w:rFonts w:ascii="Times New Roman" w:hAnsi="Times New Roman" w:cs="Times New Roman"/>
          <w:sz w:val="24"/>
          <w:szCs w:val="24"/>
        </w:rPr>
        <w:t>autos gyvenimui arba įgalioti tai atlikti kitas institucijas“</w:t>
      </w:r>
      <w:r w:rsidR="009F0668" w:rsidRPr="00632DB1">
        <w:rPr>
          <w:rFonts w:ascii="Times New Roman" w:hAnsi="Times New Roman" w:cs="Times New Roman"/>
          <w:sz w:val="24"/>
          <w:szCs w:val="24"/>
        </w:rPr>
        <w:t xml:space="preserve"> (toliau – Seimo nutarimas)</w:t>
      </w:r>
      <w:r w:rsidR="005B3A39" w:rsidRPr="00632DB1">
        <w:rPr>
          <w:rFonts w:ascii="Times New Roman" w:hAnsi="Times New Roman" w:cs="Times New Roman"/>
          <w:sz w:val="24"/>
          <w:szCs w:val="24"/>
          <w:lang w:eastAsia="lt-LT"/>
        </w:rPr>
        <w:t>, į</w:t>
      </w:r>
      <w:r w:rsidR="005B3A39" w:rsidRPr="00632DB1">
        <w:rPr>
          <w:rFonts w:ascii="Times New Roman" w:hAnsi="Times New Roman" w:cs="Times New Roman"/>
          <w:bCs/>
          <w:sz w:val="24"/>
          <w:szCs w:val="24"/>
        </w:rPr>
        <w:t xml:space="preserve">galioti Lietuvos Respublikos Vyriausybės kanceliariją valstybės biudžeto lėšomis </w:t>
      </w:r>
      <w:r w:rsidR="005B3A39" w:rsidRPr="00632DB1">
        <w:rPr>
          <w:rFonts w:ascii="Times New Roman" w:hAnsi="Times New Roman" w:cs="Times New Roman"/>
          <w:sz w:val="24"/>
          <w:szCs w:val="24"/>
        </w:rPr>
        <w:t>informuoti visuomenę apie privalomuoju referendumu dėl Lietuvos Respublikos Konstitucijos 12 straipsnio pakeitimo teikiamo spręsti klausimo svarbą Valstybės ir Tautos gyvenimui</w:t>
      </w:r>
      <w:r w:rsidR="009F0668" w:rsidRPr="00632DB1">
        <w:rPr>
          <w:rFonts w:ascii="Times New Roman" w:hAnsi="Times New Roman" w:cs="Times New Roman"/>
          <w:sz w:val="24"/>
          <w:szCs w:val="24"/>
        </w:rPr>
        <w:t xml:space="preserve"> (toliau – referendumas dėl pilietybės</w:t>
      </w:r>
      <w:r w:rsidR="00443FA7" w:rsidRPr="00632DB1">
        <w:rPr>
          <w:rFonts w:ascii="Times New Roman" w:hAnsi="Times New Roman" w:cs="Times New Roman"/>
          <w:sz w:val="24"/>
          <w:szCs w:val="24"/>
        </w:rPr>
        <w:t xml:space="preserve"> išsaugojimo</w:t>
      </w:r>
      <w:r w:rsidR="009F0668" w:rsidRPr="00632DB1">
        <w:rPr>
          <w:rFonts w:ascii="Times New Roman" w:hAnsi="Times New Roman" w:cs="Times New Roman"/>
          <w:sz w:val="24"/>
          <w:szCs w:val="24"/>
        </w:rPr>
        <w:t>)</w:t>
      </w:r>
      <w:r w:rsidR="005B3A39" w:rsidRPr="00632DB1">
        <w:rPr>
          <w:rFonts w:ascii="Times New Roman" w:hAnsi="Times New Roman" w:cs="Times New Roman"/>
          <w:sz w:val="24"/>
          <w:szCs w:val="24"/>
        </w:rPr>
        <w:t>.</w:t>
      </w:r>
    </w:p>
    <w:p w:rsidR="00593AA4" w:rsidRPr="00632DB1" w:rsidRDefault="00593AA4" w:rsidP="00632DB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Vadovaujantis 2018 m. spalio 18 d. Lietuvos Respublikos Seimo nutarimu Nr. XIII-1537 „Dėl privalomojo referendumo dėl Lietuvos Respublikos Konstitucijos 12 straipsnio pakeitimo paskelbimo“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 referendumu būtų </w:t>
      </w:r>
      <w:r w:rsidRPr="00632DB1">
        <w:rPr>
          <w:rFonts w:ascii="Times New Roman" w:hAnsi="Times New Roman" w:cs="Times New Roman"/>
          <w:bCs/>
          <w:sz w:val="24"/>
          <w:szCs w:val="24"/>
        </w:rPr>
        <w:t xml:space="preserve">sprendžiama, ar </w:t>
      </w:r>
      <w:r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pilietis pagal kilmę, įgijęs 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onstitucinio įstatymo nustatytus Lietuvos Respublikos pasirinktos europinės ir transatlantinės integracijos kriterijus atitinkančios valstybės pilietybę, išlaiko teisę į Lietuvos Respublikos pilietybę. </w:t>
      </w:r>
    </w:p>
    <w:p w:rsidR="00A6511D" w:rsidRPr="00632DB1" w:rsidRDefault="009F06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Priėmus nutarim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3A39" w:rsidRPr="00632DB1">
        <w:rPr>
          <w:rFonts w:ascii="Times New Roman" w:eastAsia="Times New Roman" w:hAnsi="Times New Roman" w:cs="Times New Roman"/>
          <w:sz w:val="24"/>
          <w:szCs w:val="24"/>
        </w:rPr>
        <w:t>Vyriausybės kanceliarij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3A39" w:rsidRPr="00632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C64" w:rsidRPr="00632DB1">
        <w:rPr>
          <w:rFonts w:ascii="Times New Roman" w:eastAsia="Times New Roman" w:hAnsi="Times New Roman" w:cs="Times New Roman"/>
          <w:sz w:val="24"/>
          <w:szCs w:val="24"/>
        </w:rPr>
        <w:t xml:space="preserve">valstybės biudžeto lėšomis 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informuotų visuomenę apie referendumo dėl pilietybės </w:t>
      </w:r>
      <w:r w:rsidR="00A6511D" w:rsidRPr="00632DB1">
        <w:rPr>
          <w:rFonts w:ascii="Times New Roman" w:eastAsia="Times New Roman" w:hAnsi="Times New Roman" w:cs="Times New Roman"/>
          <w:sz w:val="24"/>
          <w:szCs w:val="24"/>
        </w:rPr>
        <w:t xml:space="preserve">išsaugojimo 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>tikslus, esmę, svarbą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pasekmes </w:t>
      </w:r>
      <w:r w:rsidR="005B3A39" w:rsidRPr="00632DB1">
        <w:rPr>
          <w:rFonts w:ascii="Times New Roman" w:eastAsia="Times New Roman" w:hAnsi="Times New Roman" w:cs="Times New Roman"/>
          <w:sz w:val="24"/>
          <w:szCs w:val="24"/>
        </w:rPr>
        <w:t>Valstybės ir Tautos gyvenimui. Priėmus nutarimą</w:t>
      </w:r>
      <w:r w:rsidR="00E65991" w:rsidRPr="00632DB1">
        <w:rPr>
          <w:rFonts w:ascii="Times New Roman" w:eastAsia="Times New Roman" w:hAnsi="Times New Roman" w:cs="Times New Roman"/>
          <w:sz w:val="24"/>
          <w:szCs w:val="24"/>
        </w:rPr>
        <w:t xml:space="preserve"> projektą</w:t>
      </w:r>
      <w:r w:rsidR="005B3A39" w:rsidRPr="00632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7C64" w:rsidRPr="00632DB1">
        <w:rPr>
          <w:rFonts w:ascii="Times New Roman" w:eastAsia="Times New Roman" w:hAnsi="Times New Roman" w:cs="Times New Roman"/>
          <w:sz w:val="24"/>
          <w:szCs w:val="24"/>
        </w:rPr>
        <w:t>planuoj</w:t>
      </w:r>
      <w:r w:rsidR="00443FA7" w:rsidRPr="00632DB1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7C64" w:rsidRPr="00632DB1">
        <w:rPr>
          <w:rFonts w:ascii="Times New Roman" w:eastAsia="Times New Roman" w:hAnsi="Times New Roman" w:cs="Times New Roman"/>
          <w:sz w:val="24"/>
          <w:szCs w:val="24"/>
        </w:rPr>
        <w:t>ma sudaryti</w:t>
      </w:r>
      <w:r w:rsidR="005B3A39" w:rsidRPr="00632DB1">
        <w:rPr>
          <w:rFonts w:ascii="Times New Roman" w:eastAsia="Times New Roman" w:hAnsi="Times New Roman" w:cs="Times New Roman"/>
          <w:sz w:val="24"/>
          <w:szCs w:val="24"/>
        </w:rPr>
        <w:t xml:space="preserve"> Lietuvos Respublikos Vyriausybės </w:t>
      </w:r>
      <w:r w:rsidR="00593AA4" w:rsidRPr="00632DB1">
        <w:rPr>
          <w:rFonts w:ascii="Times New Roman" w:eastAsia="Times New Roman" w:hAnsi="Times New Roman" w:cs="Times New Roman"/>
          <w:sz w:val="24"/>
          <w:szCs w:val="24"/>
        </w:rPr>
        <w:t xml:space="preserve">kanclerio </w:t>
      </w:r>
      <w:r w:rsidR="00B74393" w:rsidRPr="00632DB1">
        <w:rPr>
          <w:rFonts w:ascii="Times New Roman" w:hAnsi="Times New Roman" w:cs="Times New Roman"/>
          <w:bCs/>
          <w:sz w:val="24"/>
          <w:szCs w:val="24"/>
        </w:rPr>
        <w:t xml:space="preserve">darbo </w:t>
      </w:r>
      <w:r w:rsidR="00C07C64" w:rsidRPr="00632DB1">
        <w:rPr>
          <w:rFonts w:ascii="Times New Roman" w:hAnsi="Times New Roman" w:cs="Times New Roman"/>
          <w:bCs/>
          <w:sz w:val="24"/>
          <w:szCs w:val="24"/>
        </w:rPr>
        <w:t xml:space="preserve">grupę </w:t>
      </w:r>
      <w:r w:rsidR="00E65991" w:rsidRPr="00632DB1">
        <w:rPr>
          <w:rFonts w:ascii="Times New Roman" w:hAnsi="Times New Roman" w:cs="Times New Roman"/>
          <w:bCs/>
          <w:sz w:val="24"/>
          <w:szCs w:val="24"/>
        </w:rPr>
        <w:t xml:space="preserve">Seimo </w:t>
      </w:r>
      <w:r w:rsidR="00593AA4" w:rsidRPr="00632DB1">
        <w:rPr>
          <w:rFonts w:ascii="Times New Roman" w:hAnsi="Times New Roman" w:cs="Times New Roman"/>
          <w:bCs/>
          <w:sz w:val="24"/>
          <w:szCs w:val="24"/>
        </w:rPr>
        <w:t>nutarimui</w:t>
      </w:r>
      <w:r w:rsidR="00F87B60" w:rsidRPr="00632DB1">
        <w:rPr>
          <w:rFonts w:ascii="Times New Roman" w:hAnsi="Times New Roman" w:cs="Times New Roman"/>
          <w:bCs/>
          <w:sz w:val="24"/>
          <w:szCs w:val="24"/>
        </w:rPr>
        <w:t xml:space="preserve"> tinkamai įgyvendinti </w:t>
      </w:r>
      <w:r w:rsidR="00E65991" w:rsidRPr="00632DB1">
        <w:rPr>
          <w:rFonts w:ascii="Times New Roman" w:hAnsi="Times New Roman" w:cs="Times New Roman"/>
          <w:bCs/>
          <w:sz w:val="24"/>
          <w:szCs w:val="24"/>
        </w:rPr>
        <w:t xml:space="preserve">ir veiklos </w:t>
      </w:r>
      <w:r w:rsidR="00F87B60" w:rsidRPr="00632DB1">
        <w:rPr>
          <w:rFonts w:ascii="Times New Roman" w:hAnsi="Times New Roman" w:cs="Times New Roman"/>
          <w:bCs/>
          <w:sz w:val="24"/>
          <w:szCs w:val="24"/>
        </w:rPr>
        <w:t>koordinacijai užtikrinti</w:t>
      </w:r>
      <w:r w:rsidR="00B74393" w:rsidRPr="00632DB1">
        <w:rPr>
          <w:rFonts w:ascii="Times New Roman" w:hAnsi="Times New Roman" w:cs="Times New Roman"/>
          <w:bCs/>
          <w:sz w:val="24"/>
          <w:szCs w:val="24"/>
        </w:rPr>
        <w:t>.</w:t>
      </w:r>
      <w:r w:rsidR="00443FA7" w:rsidRPr="00632D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3AA4" w:rsidRPr="00632DB1" w:rsidRDefault="00593AA4" w:rsidP="00632DB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Nutarimo projektas įgyvendina Septynioliktosios Lietuvos Respublikos Vyriausybės programos, kuriai pritarta </w:t>
      </w:r>
      <w:r w:rsidR="0096538E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Seimo </w:t>
      </w:r>
      <w:r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2016 m. gruodžio 13 d. </w:t>
      </w:r>
      <w:r w:rsidR="0096538E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>nutarimu Nr. XIII-82 „Dėl Lietuvos Respublikos Vyriausybės programos“</w:t>
      </w:r>
      <w:r w:rsidR="001819E2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6538E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226.4 papunktį, numatantį, kad </w:t>
      </w:r>
      <w:r w:rsidR="0096538E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r w:rsidR="0096538E" w:rsidRPr="00632DB1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Respublikos Vyriausybė sieks įteisinti dvigubą pilietybę, kad būtų išlaikytas ryšys su išvykusiais tautiečiais. </w:t>
      </w:r>
      <w:r w:rsidRPr="00632DB1">
        <w:rPr>
          <w:rFonts w:ascii="Times New Roman" w:hAnsi="Times New Roman" w:cs="Times New Roman"/>
          <w:bCs/>
          <w:sz w:val="24"/>
          <w:szCs w:val="24"/>
        </w:rPr>
        <w:t xml:space="preserve">Nutarimo projektas tiesiogiai prisidės prie </w:t>
      </w:r>
      <w:r w:rsidRPr="00632DB1">
        <w:rPr>
          <w:rFonts w:ascii="Times New Roman" w:hAnsi="Times New Roman" w:cs="Times New Roman"/>
          <w:sz w:val="24"/>
          <w:szCs w:val="24"/>
        </w:rPr>
        <w:t>Lietuvos Respublikos Vyriausybės programos įgyvendinimo plano, patvirtinto Lietuvos Respublikos Vyriausybės 2017 m. kovo 13 d. nutarimu Nr. 167 „Dėl Lietuvos Respublikos Vyriausybės programos įgyvendinimo plano patvirtinimo“</w:t>
      </w:r>
      <w:r w:rsidR="001819E2" w:rsidRPr="00632DB1">
        <w:rPr>
          <w:rFonts w:ascii="Times New Roman" w:hAnsi="Times New Roman" w:cs="Times New Roman"/>
          <w:sz w:val="24"/>
          <w:szCs w:val="24"/>
        </w:rPr>
        <w:t>,</w:t>
      </w:r>
      <w:r w:rsidRPr="00632DB1">
        <w:rPr>
          <w:rFonts w:ascii="Times New Roman" w:hAnsi="Times New Roman" w:cs="Times New Roman"/>
          <w:sz w:val="24"/>
          <w:szCs w:val="24"/>
        </w:rPr>
        <w:t xml:space="preserve"> </w:t>
      </w:r>
      <w:r w:rsidRPr="00632DB1">
        <w:rPr>
          <w:rFonts w:ascii="Times New Roman" w:hAnsi="Times New Roman" w:cs="Times New Roman"/>
          <w:bCs/>
          <w:sz w:val="24"/>
          <w:szCs w:val="24"/>
        </w:rPr>
        <w:t>5.3.3. darbo „Lietuvybės užsienyje ir užsienio lietuvių ryšių su Lietuva stiprinimas“ įgyvendinimo.</w:t>
      </w:r>
    </w:p>
    <w:p w:rsidR="00E65991" w:rsidRPr="00632DB1" w:rsidRDefault="00E659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749">
        <w:rPr>
          <w:rFonts w:ascii="Times New Roman" w:hAnsi="Times New Roman" w:cs="Times New Roman"/>
          <w:sz w:val="24"/>
          <w:szCs w:val="24"/>
        </w:rPr>
        <w:t xml:space="preserve">Nutarimo projektas </w:t>
      </w:r>
      <w:r w:rsidR="00C07C64" w:rsidRPr="003A2749">
        <w:rPr>
          <w:rFonts w:ascii="Times New Roman" w:hAnsi="Times New Roman" w:cs="Times New Roman"/>
          <w:sz w:val="24"/>
          <w:szCs w:val="24"/>
        </w:rPr>
        <w:t xml:space="preserve">darbo tvarka </w:t>
      </w:r>
      <w:r w:rsidR="001819E2" w:rsidRPr="003A2749">
        <w:rPr>
          <w:rFonts w:ascii="Times New Roman" w:hAnsi="Times New Roman" w:cs="Times New Roman"/>
          <w:sz w:val="24"/>
          <w:szCs w:val="24"/>
        </w:rPr>
        <w:t>su</w:t>
      </w:r>
      <w:r w:rsidRPr="003A2749">
        <w:rPr>
          <w:rFonts w:ascii="Times New Roman" w:hAnsi="Times New Roman" w:cs="Times New Roman"/>
          <w:sz w:val="24"/>
          <w:szCs w:val="24"/>
        </w:rPr>
        <w:t>derintas su Lietuvos Respublikos teisingumo ministerija.</w:t>
      </w:r>
      <w:r w:rsidRPr="00632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64" w:rsidRPr="00632DB1" w:rsidRDefault="00C07C64" w:rsidP="00593A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Atsižvelgiant į Numatomo teisinio reguliavimo poveikio vertinimo metodikos, patvirtintos Lietuvos Respublikos Vyriausybės 2003 m. vasario 26 d. nutarimu Nr. 27</w:t>
      </w:r>
      <w:bookmarkStart w:id="0" w:name="_GoBack"/>
      <w:bookmarkEnd w:id="0"/>
      <w:r w:rsidRPr="00632DB1">
        <w:rPr>
          <w:rFonts w:ascii="Times New Roman" w:eastAsia="Times New Roman" w:hAnsi="Times New Roman" w:cs="Times New Roman"/>
          <w:sz w:val="24"/>
          <w:szCs w:val="24"/>
        </w:rPr>
        <w:t xml:space="preserve">6 ,,Dėl Numatomo teisinio reguliavimo poveikio vertinimo metodikos patvirtinimo“, 4 punktą, numatomo teisinio reguliavimo poveikio vertinimo pažyma nerengiama. </w:t>
      </w:r>
    </w:p>
    <w:p w:rsidR="00C07C64" w:rsidRPr="00632DB1" w:rsidRDefault="00C07C64" w:rsidP="00C07C6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Projektas neprieštarauja Lietuvos Respublikos Vyriausybės programai, neperkelia ir neįgyvendina Europos Sąjungos teisės aktų. Projekte naujos sąvokos neįvedamos, todėl jis nevertintinas Lietuvos Respublikos terminų banko įstatymo nustatyta tvarka.</w:t>
      </w:r>
    </w:p>
    <w:p w:rsidR="00C07C64" w:rsidRPr="00632DB1" w:rsidRDefault="00C07C64" w:rsidP="00C07C6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Neigiamų pasekmių dėl projekto priėmimo nenumatoma.</w:t>
      </w:r>
    </w:p>
    <w:p w:rsidR="00E65991" w:rsidRPr="00632DB1" w:rsidRDefault="00E65991" w:rsidP="00F87B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DB1">
        <w:rPr>
          <w:rFonts w:ascii="Times New Roman" w:hAnsi="Times New Roman" w:cs="Times New Roman"/>
          <w:sz w:val="24"/>
          <w:szCs w:val="24"/>
        </w:rPr>
        <w:t xml:space="preserve">Teikiamą projektą parengė Vyriausybės kanceliarijos Tarptautinių santykių ir Europos Sąjungos grupės </w:t>
      </w:r>
      <w:r w:rsidR="00C07C64" w:rsidRPr="00632DB1">
        <w:rPr>
          <w:rFonts w:ascii="Times New Roman" w:hAnsi="Times New Roman" w:cs="Times New Roman"/>
          <w:sz w:val="24"/>
          <w:szCs w:val="24"/>
        </w:rPr>
        <w:t>(vadovas Andrius Kalindra, tel.</w:t>
      </w:r>
      <w:r w:rsidR="0096538E" w:rsidRPr="00632DB1">
        <w:rPr>
          <w:rFonts w:ascii="Times New Roman" w:hAnsi="Times New Roman" w:cs="Times New Roman"/>
          <w:sz w:val="24"/>
          <w:szCs w:val="24"/>
        </w:rPr>
        <w:t xml:space="preserve"> 8 706 63835</w:t>
      </w:r>
      <w:r w:rsidR="00C07C64" w:rsidRPr="00632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7C64" w:rsidRPr="00632DB1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="0096538E" w:rsidRPr="00632DB1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96538E" w:rsidRPr="00632DB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andrius.kalindra</w:t>
        </w:r>
        <w:r w:rsidR="0096538E" w:rsidRPr="00632DB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@lrv.lt</w:t>
        </w:r>
      </w:hyperlink>
      <w:r w:rsidR="00C07C64" w:rsidRPr="00632DB1">
        <w:rPr>
          <w:rFonts w:ascii="Times New Roman" w:hAnsi="Times New Roman" w:cs="Times New Roman"/>
          <w:sz w:val="24"/>
          <w:szCs w:val="24"/>
        </w:rPr>
        <w:t xml:space="preserve">) </w:t>
      </w:r>
      <w:r w:rsidRPr="00632DB1">
        <w:rPr>
          <w:rFonts w:ascii="Times New Roman" w:hAnsi="Times New Roman" w:cs="Times New Roman"/>
          <w:sz w:val="24"/>
          <w:szCs w:val="24"/>
        </w:rPr>
        <w:t>vyresnysis</w:t>
      </w:r>
      <w:r w:rsidR="0096538E" w:rsidRPr="00632DB1">
        <w:rPr>
          <w:rFonts w:ascii="Times New Roman" w:hAnsi="Times New Roman" w:cs="Times New Roman"/>
          <w:sz w:val="24"/>
          <w:szCs w:val="24"/>
        </w:rPr>
        <w:t xml:space="preserve"> </w:t>
      </w:r>
      <w:r w:rsidRPr="00632DB1">
        <w:rPr>
          <w:rFonts w:ascii="Times New Roman" w:hAnsi="Times New Roman" w:cs="Times New Roman"/>
          <w:sz w:val="24"/>
          <w:szCs w:val="24"/>
        </w:rPr>
        <w:t xml:space="preserve">patarėjas Mindaugas Žičkus (telefonas 8 706 63819, el. p. </w:t>
      </w:r>
      <w:hyperlink r:id="rId9" w:history="1">
        <w:r w:rsidRPr="00632DB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mindaugas.zickus@lrv.lt</w:t>
        </w:r>
      </w:hyperlink>
      <w:r w:rsidRPr="00632DB1">
        <w:rPr>
          <w:rFonts w:ascii="Times New Roman" w:hAnsi="Times New Roman" w:cs="Times New Roman"/>
          <w:sz w:val="24"/>
          <w:szCs w:val="24"/>
        </w:rPr>
        <w:t>)</w:t>
      </w:r>
    </w:p>
    <w:p w:rsidR="00E65991" w:rsidRPr="00632DB1" w:rsidRDefault="00E65991" w:rsidP="00F87B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A2578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>Ministr</w:t>
      </w:r>
      <w:r w:rsidR="00CD329E" w:rsidRPr="00632DB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07532" w:rsidRPr="00632DB1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CD329E" w:rsidRPr="00632DB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07532" w:rsidRPr="00632DB1">
        <w:rPr>
          <w:rFonts w:ascii="Times New Roman" w:eastAsia="Times New Roman" w:hAnsi="Times New Roman" w:cs="Times New Roman"/>
          <w:sz w:val="24"/>
          <w:szCs w:val="24"/>
        </w:rPr>
        <w:tab/>
      </w:r>
      <w:r w:rsidR="00F14F2C" w:rsidRPr="00632DB1">
        <w:rPr>
          <w:rFonts w:ascii="Times New Roman" w:eastAsia="Times New Roman" w:hAnsi="Times New Roman" w:cs="Times New Roman"/>
          <w:sz w:val="24"/>
          <w:szCs w:val="24"/>
        </w:rPr>
        <w:t>Saulius Skvernelis</w:t>
      </w: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C64" w:rsidRPr="00632DB1" w:rsidRDefault="00C07C64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532" w:rsidRPr="00632DB1" w:rsidRDefault="00807532" w:rsidP="00F87B60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6D80" w:rsidRPr="00632DB1" w:rsidRDefault="00F87B60" w:rsidP="00F87B60">
      <w:pPr>
        <w:tabs>
          <w:tab w:val="left" w:pos="8573"/>
        </w:tabs>
        <w:rPr>
          <w:rFonts w:ascii="Times New Roman" w:hAnsi="Times New Roman" w:cs="Times New Roman"/>
          <w:sz w:val="24"/>
          <w:szCs w:val="24"/>
        </w:rPr>
      </w:pPr>
      <w:r w:rsidRPr="00632DB1">
        <w:rPr>
          <w:rFonts w:ascii="Times New Roman" w:hAnsi="Times New Roman" w:cs="Times New Roman"/>
          <w:sz w:val="24"/>
          <w:szCs w:val="24"/>
        </w:rPr>
        <w:t xml:space="preserve">Mindaugas Žičkus, tel. 8 706 63819, el. p. </w:t>
      </w:r>
      <w:hyperlink r:id="rId10" w:history="1">
        <w:r w:rsidRPr="00632DB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mindaugas.zickus@lrv.lt</w:t>
        </w:r>
      </w:hyperlink>
    </w:p>
    <w:sectPr w:rsidR="00CB6D80" w:rsidRPr="00632DB1" w:rsidSect="006906C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B9C" w:rsidRDefault="00FA5B9C">
      <w:pPr>
        <w:spacing w:after="0" w:line="240" w:lineRule="auto"/>
      </w:pPr>
      <w:r>
        <w:separator/>
      </w:r>
    </w:p>
  </w:endnote>
  <w:endnote w:type="continuationSeparator" w:id="0">
    <w:p w:rsidR="00FA5B9C" w:rsidRDefault="00FA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48" w:rsidRDefault="00FA5B9C" w:rsidP="0027764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F5" w:rsidRDefault="00FA5B9C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B9C" w:rsidRDefault="00FA5B9C">
      <w:pPr>
        <w:spacing w:after="0" w:line="240" w:lineRule="auto"/>
      </w:pPr>
      <w:r>
        <w:separator/>
      </w:r>
    </w:p>
  </w:footnote>
  <w:footnote w:type="continuationSeparator" w:id="0">
    <w:p w:rsidR="00FA5B9C" w:rsidRDefault="00FA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706C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AB8" w:rsidRDefault="00FA5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706C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F7E">
      <w:rPr>
        <w:rStyle w:val="PageNumber"/>
        <w:noProof/>
      </w:rPr>
      <w:t>3</w:t>
    </w:r>
    <w:r>
      <w:rPr>
        <w:rStyle w:val="PageNumber"/>
      </w:rPr>
      <w:fldChar w:fldCharType="end"/>
    </w:r>
  </w:p>
  <w:p w:rsidR="004F4AB8" w:rsidRDefault="00FA5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:rsidTr="00784661">
      <w:trPr>
        <w:trHeight w:hRule="exact" w:val="709"/>
      </w:trPr>
      <w:tc>
        <w:tcPr>
          <w:tcW w:w="9606" w:type="dxa"/>
        </w:tcPr>
        <w:p w:rsidR="004F4AB8" w:rsidRDefault="00FA5B9C" w:rsidP="00BC1E7A">
          <w:pPr>
            <w:pStyle w:val="Header"/>
            <w:jc w:val="center"/>
          </w:pPr>
        </w:p>
      </w:tc>
    </w:tr>
    <w:tr w:rsidR="004F4AB8">
      <w:trPr>
        <w:trHeight w:val="860"/>
      </w:trPr>
      <w:tc>
        <w:tcPr>
          <w:tcW w:w="9606" w:type="dxa"/>
        </w:tcPr>
        <w:p w:rsidR="004F4AB8" w:rsidRPr="00784661" w:rsidRDefault="00706C3E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784661">
            <w:rPr>
              <w:rFonts w:ascii="Times New Roman" w:hAnsi="Times New Roman" w:cs="Times New Roman"/>
              <w:noProof/>
              <w:lang w:eastAsia="lt-LT"/>
            </w:rPr>
            <w:drawing>
              <wp:inline distT="0" distB="0" distL="0" distR="0" wp14:anchorId="6D1FAE04" wp14:editId="7363BC05">
                <wp:extent cx="552450" cy="5619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4AB8" w:rsidRPr="00784661" w:rsidRDefault="00FA5B9C">
          <w:pPr>
            <w:pStyle w:val="Header"/>
            <w:jc w:val="center"/>
            <w:rPr>
              <w:rFonts w:ascii="Times New Roman" w:hAnsi="Times New Roman" w:cs="Times New Roman"/>
              <w:sz w:val="18"/>
            </w:rPr>
          </w:pPr>
        </w:p>
        <w:p w:rsidR="004F4AB8" w:rsidRPr="00784661" w:rsidRDefault="00706C3E" w:rsidP="00916E0B">
          <w:pPr>
            <w:pStyle w:val="Header"/>
            <w:spacing w:after="200"/>
            <w:jc w:val="center"/>
            <w:rPr>
              <w:rFonts w:ascii="Times New Roman" w:hAnsi="Times New Roman" w:cs="Times New Roman"/>
              <w:b/>
            </w:rPr>
          </w:pPr>
          <w:r w:rsidRPr="00784661">
            <w:rPr>
              <w:rFonts w:ascii="Times New Roman" w:hAnsi="Times New Roman" w:cs="Times New Roman"/>
              <w:b/>
              <w:sz w:val="26"/>
            </w:rPr>
            <w:t>LIETUVOS RESPUBLIKOS MINISTRAS PIRMININKAS</w:t>
          </w:r>
        </w:p>
      </w:tc>
    </w:tr>
    <w:tr w:rsidR="004F4AB8">
      <w:tc>
        <w:tcPr>
          <w:tcW w:w="9606" w:type="dxa"/>
          <w:tcBorders>
            <w:bottom w:val="single" w:sz="6" w:space="0" w:color="000000"/>
          </w:tcBorders>
        </w:tcPr>
        <w:p w:rsidR="004F4AB8" w:rsidRPr="00784661" w:rsidRDefault="00706C3E" w:rsidP="00EF6C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4661">
            <w:rPr>
              <w:rFonts w:ascii="Times New Roman" w:hAnsi="Times New Roman" w:cs="Times New Roman"/>
              <w:sz w:val="18"/>
              <w:szCs w:val="18"/>
            </w:rPr>
            <w:t xml:space="preserve">Gedimino pr. 11, LT-01103, Vilnius, tel. 8 706 63851, faks. 8 706 63877, el. p.  </w:t>
          </w:r>
          <w:hyperlink r:id="rId2" w:history="1">
            <w:r w:rsidRPr="00784661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>MinistrasPirmininkas@lrv.lt</w:t>
            </w:r>
          </w:hyperlink>
        </w:p>
        <w:p w:rsidR="00EF6C45" w:rsidRPr="00784661" w:rsidRDefault="00FA5B9C" w:rsidP="00EF6C45">
          <w:pPr>
            <w:pStyle w:val="Head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4F4AB8" w:rsidRDefault="00FA5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AEF"/>
    <w:multiLevelType w:val="hybridMultilevel"/>
    <w:tmpl w:val="35E4B776"/>
    <w:lvl w:ilvl="0" w:tplc="1284CF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32"/>
    <w:rsid w:val="00063F8C"/>
    <w:rsid w:val="00065B10"/>
    <w:rsid w:val="00131A79"/>
    <w:rsid w:val="001635CC"/>
    <w:rsid w:val="001819E2"/>
    <w:rsid w:val="00197225"/>
    <w:rsid w:val="001F0045"/>
    <w:rsid w:val="00237710"/>
    <w:rsid w:val="0025119A"/>
    <w:rsid w:val="002C67D9"/>
    <w:rsid w:val="002F5DDE"/>
    <w:rsid w:val="00312E0C"/>
    <w:rsid w:val="00327068"/>
    <w:rsid w:val="00341883"/>
    <w:rsid w:val="003901AC"/>
    <w:rsid w:val="003A2749"/>
    <w:rsid w:val="00415718"/>
    <w:rsid w:val="00443FA7"/>
    <w:rsid w:val="0048738E"/>
    <w:rsid w:val="0052263E"/>
    <w:rsid w:val="00586530"/>
    <w:rsid w:val="00593AA4"/>
    <w:rsid w:val="005B3A39"/>
    <w:rsid w:val="00603EF2"/>
    <w:rsid w:val="00606E0E"/>
    <w:rsid w:val="00632DB1"/>
    <w:rsid w:val="00645CB7"/>
    <w:rsid w:val="00676246"/>
    <w:rsid w:val="006906CA"/>
    <w:rsid w:val="006F6999"/>
    <w:rsid w:val="00706C3E"/>
    <w:rsid w:val="007E3861"/>
    <w:rsid w:val="00801F69"/>
    <w:rsid w:val="00807532"/>
    <w:rsid w:val="008670A4"/>
    <w:rsid w:val="008C753A"/>
    <w:rsid w:val="008D2995"/>
    <w:rsid w:val="0094158A"/>
    <w:rsid w:val="0096538E"/>
    <w:rsid w:val="00990FA4"/>
    <w:rsid w:val="009A191A"/>
    <w:rsid w:val="009A50C6"/>
    <w:rsid w:val="009A729E"/>
    <w:rsid w:val="009F0668"/>
    <w:rsid w:val="00A4177F"/>
    <w:rsid w:val="00A510C5"/>
    <w:rsid w:val="00A6511D"/>
    <w:rsid w:val="00AD1C32"/>
    <w:rsid w:val="00AE48A1"/>
    <w:rsid w:val="00B24C41"/>
    <w:rsid w:val="00B74393"/>
    <w:rsid w:val="00BE7890"/>
    <w:rsid w:val="00C031F9"/>
    <w:rsid w:val="00C07C64"/>
    <w:rsid w:val="00C84D45"/>
    <w:rsid w:val="00C90BB0"/>
    <w:rsid w:val="00C97777"/>
    <w:rsid w:val="00CA2578"/>
    <w:rsid w:val="00CB6D80"/>
    <w:rsid w:val="00CD329E"/>
    <w:rsid w:val="00D4155E"/>
    <w:rsid w:val="00D92F7E"/>
    <w:rsid w:val="00E002AF"/>
    <w:rsid w:val="00E40838"/>
    <w:rsid w:val="00E42FC5"/>
    <w:rsid w:val="00E65991"/>
    <w:rsid w:val="00EB05F4"/>
    <w:rsid w:val="00F0174A"/>
    <w:rsid w:val="00F10352"/>
    <w:rsid w:val="00F14F1D"/>
    <w:rsid w:val="00F14F2C"/>
    <w:rsid w:val="00F8553B"/>
    <w:rsid w:val="00F87B60"/>
    <w:rsid w:val="00FA5B9C"/>
    <w:rsid w:val="00FD3119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31A7-6D69-4E33-9FD8-69DCB11D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532"/>
  </w:style>
  <w:style w:type="paragraph" w:styleId="Footer">
    <w:name w:val="footer"/>
    <w:basedOn w:val="Normal"/>
    <w:link w:val="FooterChar"/>
    <w:uiPriority w:val="99"/>
    <w:unhideWhenUsed/>
    <w:rsid w:val="0080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532"/>
  </w:style>
  <w:style w:type="character" w:styleId="PageNumber">
    <w:name w:val="page number"/>
    <w:basedOn w:val="DefaultParagraphFont"/>
    <w:rsid w:val="00807532"/>
  </w:style>
  <w:style w:type="character" w:styleId="Hyperlink">
    <w:name w:val="Hyperlink"/>
    <w:rsid w:val="00807532"/>
    <w:rPr>
      <w:color w:val="0000FF"/>
      <w:u w:val="single"/>
    </w:rPr>
  </w:style>
  <w:style w:type="table" w:styleId="TableGrid">
    <w:name w:val="Table Grid"/>
    <w:basedOn w:val="TableNormal"/>
    <w:uiPriority w:val="59"/>
    <w:rsid w:val="00807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06CA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901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90B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0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0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mindaugas.zickus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drius.kalindra@lrv.lt" TargetMode="External"
                 Type="http://schemas.openxmlformats.org/officeDocument/2006/relationships/hyperlink"/>
   <Relationship Id="rId9" Target="mailto:mindaugas.zickus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64CD-6583-49AA-8ED2-D06CF2A1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2019-01-16T08:58:00Z</dcterms:created>
  <dc:creator>Sofija Selvestravičienė</dc:creator>
  <cp:lastModifiedBy>Ingrida Kutkienė</cp:lastModifiedBy>
  <cp:lastPrinted>2018-07-11T05:27:00Z</cp:lastPrinted>
  <dcterms:modified xsi:type="dcterms:W3CDTF">2019-01-16T08:58:00Z</dcterms:modified>
  <cp:revision>3</cp:revision>
</cp:coreProperties>
</file>