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E3" w:rsidRPr="003903E3" w:rsidRDefault="003903E3" w:rsidP="00BC0EF2">
      <w:pPr>
        <w:jc w:val="center"/>
        <w:rPr>
          <w:b/>
          <w:bCs/>
          <w:szCs w:val="24"/>
          <w:lang w:eastAsia="en-US"/>
        </w:rPr>
      </w:pPr>
      <w:r w:rsidRPr="003903E3">
        <w:rPr>
          <w:b/>
          <w:bCs/>
          <w:szCs w:val="24"/>
          <w:lang w:eastAsia="en-US"/>
        </w:rPr>
        <w:t xml:space="preserve">LIETUVOS RESPUBLIKOS </w:t>
      </w:r>
    </w:p>
    <w:p w:rsidR="00EE4F2C" w:rsidRPr="003903E3" w:rsidRDefault="003903E3" w:rsidP="00BC0EF2">
      <w:pPr>
        <w:jc w:val="center"/>
        <w:rPr>
          <w:b/>
          <w:bCs/>
          <w:szCs w:val="24"/>
          <w:lang w:eastAsia="en-US"/>
        </w:rPr>
      </w:pPr>
      <w:r w:rsidRPr="003903E3">
        <w:rPr>
          <w:b/>
          <w:bCs/>
          <w:szCs w:val="24"/>
          <w:lang w:eastAsia="en-US"/>
        </w:rPr>
        <w:t>CIVILINIO KODEKSO 3.51, 3.52, 3.53, 3.61, 3.66, 3.67, 3.73, 3.77, 3.79, 3.85, 3.103 IR 5.7 STRAIPSNIŲ PAKEITIMO, KODEKSO PAPILDYMO 3.54</w:t>
      </w:r>
      <w:r w:rsidRPr="003903E3">
        <w:rPr>
          <w:b/>
          <w:bCs/>
          <w:szCs w:val="24"/>
          <w:vertAlign w:val="superscript"/>
          <w:lang w:eastAsia="en-US"/>
        </w:rPr>
        <w:t>1</w:t>
      </w:r>
      <w:r w:rsidRPr="003903E3">
        <w:rPr>
          <w:b/>
          <w:bCs/>
          <w:szCs w:val="24"/>
          <w:lang w:eastAsia="en-US"/>
        </w:rPr>
        <w:t>, 3.76</w:t>
      </w:r>
      <w:r w:rsidRPr="003903E3">
        <w:rPr>
          <w:b/>
          <w:bCs/>
          <w:szCs w:val="24"/>
          <w:vertAlign w:val="superscript"/>
          <w:lang w:eastAsia="en-US"/>
        </w:rPr>
        <w:t>1</w:t>
      </w:r>
      <w:r>
        <w:rPr>
          <w:b/>
          <w:bCs/>
          <w:szCs w:val="24"/>
          <w:lang w:eastAsia="en-US"/>
        </w:rPr>
        <w:t xml:space="preserve"> STRAIPSNIAIS ĮSTATYMO</w:t>
      </w:r>
      <w:r w:rsidRPr="003903E3">
        <w:rPr>
          <w:b/>
          <w:bCs/>
          <w:szCs w:val="24"/>
          <w:lang w:eastAsia="en-US"/>
        </w:rPr>
        <w:t>, LIETUVOS RESPUBLIKOS CIVILINIO PROCESO KODEKSO 27, 35, 80, 82, 86, 115, 162</w:t>
      </w:r>
      <w:r w:rsidRPr="003903E3">
        <w:rPr>
          <w:b/>
          <w:bCs/>
          <w:szCs w:val="24"/>
          <w:vertAlign w:val="superscript"/>
          <w:lang w:eastAsia="en-US"/>
        </w:rPr>
        <w:t>2</w:t>
      </w:r>
      <w:r w:rsidRPr="003903E3">
        <w:rPr>
          <w:b/>
          <w:bCs/>
          <w:szCs w:val="24"/>
          <w:lang w:eastAsia="en-US"/>
        </w:rPr>
        <w:t>, 199, 284, 515, 577 IR 582 STRAIPSNIŲ PAKEITIMO</w:t>
      </w:r>
      <w:r>
        <w:rPr>
          <w:b/>
          <w:bCs/>
          <w:szCs w:val="24"/>
          <w:lang w:eastAsia="en-US"/>
        </w:rPr>
        <w:t xml:space="preserve"> ĮSTATYMO IR </w:t>
      </w:r>
      <w:r w:rsidRPr="003903E3">
        <w:rPr>
          <w:b/>
          <w:bCs/>
          <w:szCs w:val="24"/>
          <w:lang w:eastAsia="en-US"/>
        </w:rPr>
        <w:t>LIETUVOS RESPUBLIKOS ADMINISTRACINIŲ BYLŲ TEISENOS ĮSTATYMO NR. VIII-1029 35 STRAIPSNIO PAKEITIMO ĮSTATYMO PROJEKTŲ</w:t>
      </w:r>
    </w:p>
    <w:p w:rsidR="00A318D4" w:rsidRDefault="00A318D4" w:rsidP="00BC0EF2">
      <w:pPr>
        <w:jc w:val="center"/>
      </w:pPr>
      <w:r w:rsidRPr="00A31CEF">
        <w:rPr>
          <w:b/>
        </w:rPr>
        <w:t>DERINIMO PAŽYMA</w:t>
      </w:r>
    </w:p>
    <w:p w:rsidR="00A318D4" w:rsidRDefault="00A318D4" w:rsidP="00BC0EF2"/>
    <w:p w:rsidR="00A31CEF" w:rsidRDefault="00A31CEF" w:rsidP="00BC0EF2"/>
    <w:tbl>
      <w:tblPr>
        <w:tblStyle w:val="Lentelstinklelis"/>
        <w:tblW w:w="14992" w:type="dxa"/>
        <w:tblLook w:val="04A0" w:firstRow="1" w:lastRow="0" w:firstColumn="1" w:lastColumn="0" w:noHBand="0" w:noVBand="1"/>
      </w:tblPr>
      <w:tblGrid>
        <w:gridCol w:w="2547"/>
        <w:gridCol w:w="6520"/>
        <w:gridCol w:w="5925"/>
      </w:tblGrid>
      <w:tr w:rsidR="00A318D4" w:rsidTr="00BC0EF2">
        <w:tc>
          <w:tcPr>
            <w:tcW w:w="2547" w:type="dxa"/>
            <w:tcBorders>
              <w:bottom w:val="single" w:sz="4" w:space="0" w:color="auto"/>
            </w:tcBorders>
          </w:tcPr>
          <w:p w:rsidR="00A318D4" w:rsidRPr="00E20D86" w:rsidRDefault="00A318D4" w:rsidP="00BC0EF2">
            <w:pPr>
              <w:jc w:val="center"/>
              <w:rPr>
                <w:b/>
                <w:szCs w:val="24"/>
              </w:rPr>
            </w:pPr>
            <w:r w:rsidRPr="00E20D86">
              <w:rPr>
                <w:b/>
                <w:szCs w:val="24"/>
              </w:rPr>
              <w:t>Institucija</w:t>
            </w:r>
          </w:p>
        </w:tc>
        <w:tc>
          <w:tcPr>
            <w:tcW w:w="6520" w:type="dxa"/>
          </w:tcPr>
          <w:p w:rsidR="00A318D4" w:rsidRPr="00E20D86" w:rsidRDefault="00A318D4" w:rsidP="00BC0EF2">
            <w:pPr>
              <w:jc w:val="center"/>
              <w:rPr>
                <w:b/>
                <w:szCs w:val="24"/>
              </w:rPr>
            </w:pPr>
            <w:r w:rsidRPr="00E20D86">
              <w:rPr>
                <w:b/>
                <w:szCs w:val="24"/>
              </w:rPr>
              <w:t>Pastabos</w:t>
            </w:r>
          </w:p>
        </w:tc>
        <w:tc>
          <w:tcPr>
            <w:tcW w:w="5925" w:type="dxa"/>
          </w:tcPr>
          <w:p w:rsidR="00A318D4" w:rsidRPr="00E20D86" w:rsidRDefault="00A318D4" w:rsidP="00BC0EF2">
            <w:pPr>
              <w:jc w:val="center"/>
              <w:rPr>
                <w:b/>
                <w:szCs w:val="24"/>
              </w:rPr>
            </w:pPr>
            <w:r w:rsidRPr="00E20D86">
              <w:rPr>
                <w:b/>
                <w:szCs w:val="24"/>
              </w:rPr>
              <w:t>Įvertinimas</w:t>
            </w:r>
          </w:p>
        </w:tc>
      </w:tr>
      <w:tr w:rsidR="00864AD0" w:rsidTr="00BC0EF2">
        <w:trPr>
          <w:trHeight w:val="1607"/>
        </w:trPr>
        <w:tc>
          <w:tcPr>
            <w:tcW w:w="2547" w:type="dxa"/>
            <w:vMerge w:val="restart"/>
            <w:tcBorders>
              <w:bottom w:val="single" w:sz="4" w:space="0" w:color="auto"/>
            </w:tcBorders>
          </w:tcPr>
          <w:p w:rsidR="00EE4F2C" w:rsidRDefault="003903E3" w:rsidP="00BC0EF2">
            <w:pPr>
              <w:rPr>
                <w:szCs w:val="24"/>
              </w:rPr>
            </w:pPr>
            <w:r>
              <w:rPr>
                <w:szCs w:val="24"/>
              </w:rPr>
              <w:t xml:space="preserve">Lietuvos Respublikos Vyriausybės kanceliarijos Teisės grupės </w:t>
            </w:r>
            <w:r w:rsidRPr="003903E3">
              <w:rPr>
                <w:szCs w:val="24"/>
              </w:rPr>
              <w:t xml:space="preserve">2020-06-19 </w:t>
            </w:r>
            <w:r>
              <w:rPr>
                <w:szCs w:val="24"/>
              </w:rPr>
              <w:t xml:space="preserve">išvada </w:t>
            </w:r>
            <w:r w:rsidRPr="003903E3">
              <w:rPr>
                <w:szCs w:val="24"/>
              </w:rPr>
              <w:t>Nr. NV-1703</w:t>
            </w:r>
          </w:p>
          <w:p w:rsidR="00BC0EF2" w:rsidRPr="007B2667" w:rsidRDefault="00BC0EF2" w:rsidP="00BC0EF2">
            <w:pPr>
              <w:rPr>
                <w:szCs w:val="24"/>
              </w:rPr>
            </w:pPr>
          </w:p>
        </w:tc>
        <w:tc>
          <w:tcPr>
            <w:tcW w:w="6520" w:type="dxa"/>
            <w:tcBorders>
              <w:bottom w:val="single" w:sz="4" w:space="0" w:color="auto"/>
            </w:tcBorders>
          </w:tcPr>
          <w:p w:rsidR="00E20D86" w:rsidRDefault="003903E3" w:rsidP="00BC0EF2">
            <w:pPr>
              <w:tabs>
                <w:tab w:val="left" w:pos="709"/>
              </w:tabs>
              <w:jc w:val="both"/>
              <w:rPr>
                <w:rFonts w:eastAsia="MS Mincho"/>
                <w:lang w:eastAsia="en-US"/>
              </w:rPr>
            </w:pPr>
            <w:r>
              <w:rPr>
                <w:rFonts w:eastAsia="MS Mincho"/>
                <w:lang w:eastAsia="en-US"/>
              </w:rPr>
              <w:t xml:space="preserve">2. </w:t>
            </w:r>
            <w:r w:rsidRPr="003903E3">
              <w:rPr>
                <w:rFonts w:eastAsia="MS Mincho"/>
                <w:lang w:eastAsia="en-US"/>
              </w:rPr>
              <w:t>Tuo atveju, jeigu pareiškėjas atsisakytų primokėti trūkstamą žyminio mokesčio dalį, reikalinga išspręsti sumokėtos žyminio mokesčio dalies grąžinimo klausimą, t. y. tokiu atveju reikalinga papildyti Administracinių bylų teisenos įstatymo 38 straipsnio 1 dalį. Ši pastaba reikšminga ir dėl Lietuvos Respublikos civilinio proceso kodekso 87 straipsnio 1 dalies tikslinimo ir CPK projekto papildymo.</w:t>
            </w:r>
            <w:r>
              <w:rPr>
                <w:rFonts w:eastAsia="MS Mincho"/>
                <w:lang w:eastAsia="en-US"/>
              </w:rPr>
              <w:t xml:space="preserve"> </w:t>
            </w:r>
          </w:p>
          <w:p w:rsidR="003903E3" w:rsidRPr="00E20D86" w:rsidRDefault="003903E3" w:rsidP="00BC0EF2">
            <w:pPr>
              <w:tabs>
                <w:tab w:val="left" w:pos="709"/>
              </w:tabs>
              <w:jc w:val="both"/>
            </w:pPr>
          </w:p>
        </w:tc>
        <w:tc>
          <w:tcPr>
            <w:tcW w:w="5925" w:type="dxa"/>
          </w:tcPr>
          <w:p w:rsidR="00864AD0" w:rsidRDefault="00A361B8" w:rsidP="00BC0EF2">
            <w:pPr>
              <w:jc w:val="both"/>
              <w:rPr>
                <w:b/>
                <w:szCs w:val="24"/>
              </w:rPr>
            </w:pPr>
            <w:r>
              <w:rPr>
                <w:b/>
                <w:szCs w:val="24"/>
              </w:rPr>
              <w:t>Atsižvelgta iš dalies</w:t>
            </w:r>
            <w:r w:rsidR="00864AD0" w:rsidRPr="007B2667">
              <w:rPr>
                <w:b/>
                <w:szCs w:val="24"/>
              </w:rPr>
              <w:t>.</w:t>
            </w:r>
          </w:p>
          <w:p w:rsidR="009E650C" w:rsidRDefault="00A361B8" w:rsidP="00BC0EF2">
            <w:pPr>
              <w:jc w:val="both"/>
              <w:rPr>
                <w:szCs w:val="24"/>
              </w:rPr>
            </w:pPr>
            <w:r w:rsidRPr="00A361B8">
              <w:rPr>
                <w:szCs w:val="24"/>
              </w:rPr>
              <w:t xml:space="preserve">Vyriausybės teikiamas atitinkamais Administracinių bylų teisenos įstatymo 38 straipsnio 1 dalies pakeitimais papildytas Administracinių bylų teisenos įstatymo projektas. </w:t>
            </w:r>
          </w:p>
          <w:p w:rsidR="0042090E" w:rsidRPr="00A361B8" w:rsidRDefault="0042090E" w:rsidP="00BC0EF2">
            <w:pPr>
              <w:jc w:val="both"/>
              <w:rPr>
                <w:szCs w:val="24"/>
              </w:rPr>
            </w:pPr>
            <w:r>
              <w:rPr>
                <w:szCs w:val="24"/>
              </w:rPr>
              <w:t xml:space="preserve">Kadangi galiojančio Civilinio proceso kodekso (toliau – CPK) 87 straipsnio 1 dalies 5 punktas numato sumokėto žyminio mokesčio ar jo dalies grąžinimą suinteresuoto asmens pareiškimu ir tais atvejais, kai šalis neprimokėjo žyminio mokesčio, siūlomi CPK 87 straipsnio 1 dalies papildymai netikslingi. </w:t>
            </w:r>
          </w:p>
          <w:p w:rsidR="00A5028D" w:rsidRPr="007B2667" w:rsidRDefault="00A5028D" w:rsidP="00BC0EF2">
            <w:pPr>
              <w:jc w:val="both"/>
              <w:rPr>
                <w:szCs w:val="24"/>
              </w:rPr>
            </w:pPr>
          </w:p>
        </w:tc>
      </w:tr>
      <w:tr w:rsidR="008F5A3A" w:rsidTr="00BC0EF2">
        <w:trPr>
          <w:trHeight w:val="1607"/>
        </w:trPr>
        <w:tc>
          <w:tcPr>
            <w:tcW w:w="2547" w:type="dxa"/>
            <w:vMerge/>
            <w:tcBorders>
              <w:bottom w:val="single" w:sz="4" w:space="0" w:color="auto"/>
            </w:tcBorders>
          </w:tcPr>
          <w:p w:rsidR="008F5A3A" w:rsidRPr="007B2667" w:rsidRDefault="008F5A3A" w:rsidP="00BC0EF2">
            <w:pPr>
              <w:rPr>
                <w:szCs w:val="24"/>
              </w:rPr>
            </w:pPr>
          </w:p>
        </w:tc>
        <w:tc>
          <w:tcPr>
            <w:tcW w:w="6520" w:type="dxa"/>
            <w:tcBorders>
              <w:bottom w:val="single" w:sz="4" w:space="0" w:color="auto"/>
            </w:tcBorders>
          </w:tcPr>
          <w:p w:rsidR="00216473" w:rsidRDefault="003903E3" w:rsidP="00BC0EF2">
            <w:pPr>
              <w:widowControl w:val="0"/>
              <w:tabs>
                <w:tab w:val="left" w:pos="1134"/>
              </w:tabs>
              <w:jc w:val="both"/>
              <w:rPr>
                <w:szCs w:val="24"/>
              </w:rPr>
            </w:pPr>
            <w:r>
              <w:rPr>
                <w:szCs w:val="24"/>
              </w:rPr>
              <w:t xml:space="preserve">3. </w:t>
            </w:r>
            <w:r w:rsidRPr="003903E3">
              <w:rPr>
                <w:szCs w:val="24"/>
              </w:rPr>
              <w:t>Sistemiškai vertindami CPK projekto 1 straipsnio nuostatas, visų pirma atkreipiame dėmesį į tai, kad Projektų aiškinamajame rašte nėra atskleista kuo remiantis nustatoma 1,5 karto didesnė ieškinio suma apygardų teismuose nagrinėjamiems ginčams. Šiame kontekste, reikalinga įvertinti, ar šie siūlomi pakeitimai turės įtakos labiausiai ekonomiškai išsivysčiusio Vilniaus regiono teritorijoje veikiančio Vilniaus apygardos teismo darbo krūviui ir kaip tai atsilieps mažiau ekonomiškai išsivysčiusiuose regionuose veikiančių apygardų ir apylinkių teismų krūviams. Įvertindami netolygų Lietuvos regionų ekonominį išsivystymą ir kylančių ginčų teisinių santykių pobūdį, pažymime, kad ginčo ieškinio suma visapusiškai neatskleidžia tikrojo teisme nagrinėjamo ginčo sudėtingumo.</w:t>
            </w:r>
          </w:p>
          <w:p w:rsidR="003903E3" w:rsidRPr="007B2667" w:rsidRDefault="003903E3" w:rsidP="00BC0EF2">
            <w:pPr>
              <w:widowControl w:val="0"/>
              <w:tabs>
                <w:tab w:val="left" w:pos="1134"/>
              </w:tabs>
              <w:jc w:val="both"/>
              <w:rPr>
                <w:szCs w:val="24"/>
              </w:rPr>
            </w:pPr>
          </w:p>
        </w:tc>
        <w:tc>
          <w:tcPr>
            <w:tcW w:w="5925" w:type="dxa"/>
          </w:tcPr>
          <w:p w:rsidR="008F1B64" w:rsidRDefault="008F1B64" w:rsidP="00BC0EF2">
            <w:pPr>
              <w:jc w:val="both"/>
              <w:rPr>
                <w:b/>
                <w:szCs w:val="24"/>
              </w:rPr>
            </w:pPr>
            <w:r w:rsidRPr="007B2667">
              <w:rPr>
                <w:b/>
                <w:szCs w:val="24"/>
              </w:rPr>
              <w:t>Neatsižvelgta.</w:t>
            </w:r>
          </w:p>
          <w:p w:rsidR="00E26E94" w:rsidRPr="00E26E94" w:rsidRDefault="00E26E94" w:rsidP="00BC0EF2">
            <w:pPr>
              <w:jc w:val="both"/>
              <w:rPr>
                <w:szCs w:val="24"/>
              </w:rPr>
            </w:pPr>
            <w:r>
              <w:rPr>
                <w:szCs w:val="24"/>
              </w:rPr>
              <w:t>A</w:t>
            </w:r>
            <w:r w:rsidRPr="00E26E94">
              <w:rPr>
                <w:szCs w:val="24"/>
              </w:rPr>
              <w:t>rgumentai dėl siūlomos sumos, taip pat siūlomų pakeitimų įtaka apylinkių ir apygardų teismų darbo krūviams pateikta Įstatymų projektų aiškinamajame rašte. Kartu pastebėtina, kad labiausiai ekonomiškai išsivysčiusio Vilniaus regiono teritorijoje veikiančio Vilniaus apygardos teismo darbo krūvis mažėtų dar labiau – apie 12 proc.  Nors, kaip ir nurodyta išvadoje, ginčo ieškinio suma visapusiškai neatskleidžia tikrojo teisme nagrinėjamo ginčo sudėtingumo, pastebėtina, kad, kaip nurodė teismų atstovai, praktikoje bylinėjimasis dėl didesnių ieškinio sumų būna ilgesnis ir sudėtingesnis, nes šalys linkusi</w:t>
            </w:r>
            <w:r>
              <w:rPr>
                <w:szCs w:val="24"/>
              </w:rPr>
              <w:t xml:space="preserve">os aktyviau ginti savo poziciją. </w:t>
            </w:r>
          </w:p>
          <w:p w:rsidR="008F5A3A" w:rsidRPr="007B2667" w:rsidRDefault="008F5A3A" w:rsidP="00BC0EF2">
            <w:pPr>
              <w:jc w:val="both"/>
              <w:rPr>
                <w:szCs w:val="24"/>
              </w:rPr>
            </w:pPr>
          </w:p>
        </w:tc>
      </w:tr>
      <w:tr w:rsidR="003903E3" w:rsidTr="00BC0EF2">
        <w:trPr>
          <w:trHeight w:val="1607"/>
        </w:trPr>
        <w:tc>
          <w:tcPr>
            <w:tcW w:w="2547" w:type="dxa"/>
            <w:tcBorders>
              <w:top w:val="single" w:sz="4" w:space="0" w:color="auto"/>
              <w:bottom w:val="nil"/>
            </w:tcBorders>
          </w:tcPr>
          <w:p w:rsidR="003903E3" w:rsidRPr="007B2667" w:rsidRDefault="003903E3" w:rsidP="00BC0EF2">
            <w:pPr>
              <w:rPr>
                <w:szCs w:val="24"/>
              </w:rPr>
            </w:pPr>
          </w:p>
        </w:tc>
        <w:tc>
          <w:tcPr>
            <w:tcW w:w="6520" w:type="dxa"/>
            <w:tcBorders>
              <w:top w:val="single" w:sz="4" w:space="0" w:color="auto"/>
            </w:tcBorders>
          </w:tcPr>
          <w:p w:rsidR="00E26E94" w:rsidRPr="00E26E94" w:rsidRDefault="00E26E94" w:rsidP="00BC0EF2">
            <w:pPr>
              <w:rPr>
                <w:szCs w:val="24"/>
              </w:rPr>
            </w:pPr>
            <w:r w:rsidRPr="00E26E94">
              <w:rPr>
                <w:szCs w:val="24"/>
              </w:rPr>
              <w:t>4. Nėra aišku, apie kokias įrodymų kategorijas yra kalbama CPK projekto 8 straipsnyje. Pažymime, kad Civilinio proceso kodekse žodis „kategorija“ vartojamas tik apibrėžiant bylų tip</w:t>
            </w:r>
            <w:r>
              <w:rPr>
                <w:szCs w:val="24"/>
              </w:rPr>
              <w:t>us.</w:t>
            </w:r>
          </w:p>
        </w:tc>
        <w:tc>
          <w:tcPr>
            <w:tcW w:w="5925" w:type="dxa"/>
          </w:tcPr>
          <w:p w:rsidR="003903E3" w:rsidRDefault="00E26E94" w:rsidP="00BC0EF2">
            <w:pPr>
              <w:jc w:val="both"/>
              <w:rPr>
                <w:b/>
                <w:szCs w:val="24"/>
              </w:rPr>
            </w:pPr>
            <w:r w:rsidRPr="00E26E94">
              <w:rPr>
                <w:b/>
                <w:szCs w:val="24"/>
              </w:rPr>
              <w:t>Neatsižvelgta.</w:t>
            </w:r>
          </w:p>
          <w:p w:rsidR="00E26E94" w:rsidRPr="00496ABE" w:rsidRDefault="00496ABE" w:rsidP="00BC0EF2">
            <w:pPr>
              <w:jc w:val="both"/>
              <w:rPr>
                <w:szCs w:val="24"/>
              </w:rPr>
            </w:pPr>
            <w:r w:rsidRPr="00496ABE">
              <w:rPr>
                <w:szCs w:val="24"/>
              </w:rPr>
              <w:t>Žodis „kategorija“ šiame kontekste vartojamas siekiant apibendrinti vienarūšius įrodymus, kuriuos prašoma išreikalauti (pavyzdžiui, prašoma pateikti finansinės atskaitomybės dokumentus).</w:t>
            </w:r>
          </w:p>
        </w:tc>
      </w:tr>
      <w:tr w:rsidR="003903E3" w:rsidTr="00BC0EF2">
        <w:trPr>
          <w:trHeight w:val="1607"/>
        </w:trPr>
        <w:tc>
          <w:tcPr>
            <w:tcW w:w="2547" w:type="dxa"/>
            <w:tcBorders>
              <w:top w:val="nil"/>
              <w:bottom w:val="nil"/>
            </w:tcBorders>
          </w:tcPr>
          <w:p w:rsidR="003903E3" w:rsidRPr="007B2667" w:rsidRDefault="003903E3" w:rsidP="00BC0EF2">
            <w:pPr>
              <w:rPr>
                <w:szCs w:val="24"/>
              </w:rPr>
            </w:pPr>
          </w:p>
        </w:tc>
        <w:tc>
          <w:tcPr>
            <w:tcW w:w="6520" w:type="dxa"/>
            <w:tcBorders>
              <w:bottom w:val="single" w:sz="4" w:space="0" w:color="auto"/>
            </w:tcBorders>
          </w:tcPr>
          <w:p w:rsidR="003903E3" w:rsidRDefault="003903E3" w:rsidP="00BC0EF2">
            <w:pPr>
              <w:widowControl w:val="0"/>
              <w:tabs>
                <w:tab w:val="left" w:pos="175"/>
                <w:tab w:val="left" w:pos="1134"/>
              </w:tabs>
              <w:jc w:val="both"/>
              <w:rPr>
                <w:szCs w:val="24"/>
              </w:rPr>
            </w:pPr>
            <w:r>
              <w:rPr>
                <w:szCs w:val="24"/>
              </w:rPr>
              <w:t xml:space="preserve">5. </w:t>
            </w:r>
            <w:r w:rsidRPr="003903E3">
              <w:rPr>
                <w:szCs w:val="24"/>
              </w:rPr>
              <w:t>Siekiant užtikrinti teisinio reguliavimo nuoseklumą, atkreipiame dėmesį į tai, kad civilinėje teisėje daikto teisinį statusą ir jo valdymą apibrėžia teisės, todėl CK projekto 6 straipsniu keičiamo Lietuvos Respublikos civilinio kodekso 3.66 straipsnio 3 dalyje žodis „galimybės“ keistinas žodžiu „teisės“. Sistemiškai vertinant, Civiliniame kodekse žodis „galimybė“ siejamas su objektyviu galimumu, o ne teise ar jos įgyvendinimu.</w:t>
            </w:r>
          </w:p>
          <w:p w:rsidR="003903E3" w:rsidRDefault="003903E3" w:rsidP="00BC0EF2">
            <w:pPr>
              <w:widowControl w:val="0"/>
              <w:tabs>
                <w:tab w:val="left" w:pos="1134"/>
              </w:tabs>
              <w:jc w:val="both"/>
              <w:rPr>
                <w:szCs w:val="24"/>
              </w:rPr>
            </w:pPr>
          </w:p>
        </w:tc>
        <w:tc>
          <w:tcPr>
            <w:tcW w:w="5925" w:type="dxa"/>
            <w:tcBorders>
              <w:bottom w:val="single" w:sz="4" w:space="0" w:color="auto"/>
            </w:tcBorders>
          </w:tcPr>
          <w:p w:rsidR="003903E3" w:rsidRDefault="007E3074" w:rsidP="00BC0EF2">
            <w:pPr>
              <w:jc w:val="both"/>
              <w:rPr>
                <w:b/>
                <w:szCs w:val="24"/>
              </w:rPr>
            </w:pPr>
            <w:r>
              <w:rPr>
                <w:b/>
                <w:szCs w:val="24"/>
              </w:rPr>
              <w:t xml:space="preserve">Neatsižvelgta. </w:t>
            </w:r>
          </w:p>
          <w:p w:rsidR="007E3074" w:rsidRPr="007E3074" w:rsidRDefault="007E3074" w:rsidP="00BC0EF2">
            <w:pPr>
              <w:jc w:val="both"/>
              <w:rPr>
                <w:szCs w:val="24"/>
              </w:rPr>
            </w:pPr>
            <w:r w:rsidRPr="007E3074">
              <w:rPr>
                <w:szCs w:val="24"/>
              </w:rPr>
              <w:t xml:space="preserve">Kadangi iš esmės analogiškos formuluotės vartojamos galiojančio CPK 275 straipsnio 2 dalyje, manytina, </w:t>
            </w:r>
            <w:r>
              <w:rPr>
                <w:szCs w:val="24"/>
              </w:rPr>
              <w:t xml:space="preserve">kad </w:t>
            </w:r>
            <w:r w:rsidRPr="007E3074">
              <w:rPr>
                <w:szCs w:val="24"/>
              </w:rPr>
              <w:t>ši</w:t>
            </w:r>
            <w:r>
              <w:rPr>
                <w:szCs w:val="24"/>
              </w:rPr>
              <w:t xml:space="preserve"> sąvoka galėtų būti vartojama ir Civilinio kodekso</w:t>
            </w:r>
            <w:r w:rsidR="007A5AEF">
              <w:rPr>
                <w:szCs w:val="24"/>
              </w:rPr>
              <w:t xml:space="preserve"> (toliau – CK)</w:t>
            </w:r>
            <w:r>
              <w:rPr>
                <w:szCs w:val="24"/>
              </w:rPr>
              <w:t xml:space="preserve"> 3.66 straipsnio 3 dalyje</w:t>
            </w:r>
            <w:r w:rsidRPr="007E3074">
              <w:rPr>
                <w:szCs w:val="24"/>
              </w:rPr>
              <w:t xml:space="preserve"> nesukeliant teisinių neaiškumų dėl jos turinio</w:t>
            </w:r>
            <w:r>
              <w:rPr>
                <w:szCs w:val="24"/>
              </w:rPr>
              <w:t xml:space="preserve">. </w:t>
            </w:r>
          </w:p>
        </w:tc>
      </w:tr>
      <w:tr w:rsidR="006173A8" w:rsidTr="00127DA6">
        <w:trPr>
          <w:trHeight w:val="1607"/>
        </w:trPr>
        <w:tc>
          <w:tcPr>
            <w:tcW w:w="2547" w:type="dxa"/>
            <w:vMerge w:val="restart"/>
            <w:tcBorders>
              <w:top w:val="nil"/>
            </w:tcBorders>
          </w:tcPr>
          <w:p w:rsidR="006173A8" w:rsidRPr="007B2667" w:rsidRDefault="006173A8" w:rsidP="00BC0EF2">
            <w:pPr>
              <w:rPr>
                <w:szCs w:val="24"/>
              </w:rPr>
            </w:pPr>
          </w:p>
        </w:tc>
        <w:tc>
          <w:tcPr>
            <w:tcW w:w="6520" w:type="dxa"/>
            <w:tcBorders>
              <w:top w:val="single" w:sz="4" w:space="0" w:color="auto"/>
            </w:tcBorders>
          </w:tcPr>
          <w:p w:rsidR="006173A8" w:rsidRDefault="006173A8" w:rsidP="00BC0EF2">
            <w:pPr>
              <w:widowControl w:val="0"/>
              <w:tabs>
                <w:tab w:val="left" w:pos="1134"/>
              </w:tabs>
              <w:jc w:val="both"/>
              <w:rPr>
                <w:szCs w:val="24"/>
              </w:rPr>
            </w:pPr>
            <w:r>
              <w:rPr>
                <w:szCs w:val="24"/>
              </w:rPr>
              <w:t xml:space="preserve">6. </w:t>
            </w:r>
            <w:r w:rsidRPr="003903E3">
              <w:rPr>
                <w:szCs w:val="24"/>
              </w:rPr>
              <w:t>Atsižvelgiant į tai, kad</w:t>
            </w:r>
            <w:r>
              <w:rPr>
                <w:szCs w:val="24"/>
              </w:rPr>
              <w:t xml:space="preserve"> siūloma Civilinio kodekso 3.76</w:t>
            </w:r>
            <w:r>
              <w:rPr>
                <w:szCs w:val="24"/>
                <w:vertAlign w:val="superscript"/>
              </w:rPr>
              <w:t>1</w:t>
            </w:r>
            <w:r w:rsidRPr="003903E3">
              <w:rPr>
                <w:szCs w:val="24"/>
              </w:rPr>
              <w:t xml:space="preserve"> straipsnio 2 dalyje nustatyti, jog notaro tvirtinamoje sutartyje dėl gyvenimo skyrium pasekmių turi būti aptartas sutuoktinių vienas kito išlaikymo klausimas, siūlytume įvertinti, ar nebūtų tikslinga šiais aspektais patikslinti ir Civilinio kodekso 3.78 straipsnį „Sutuoktinių tarpusavio išlaikymas“.</w:t>
            </w:r>
          </w:p>
          <w:p w:rsidR="006173A8" w:rsidRDefault="006173A8" w:rsidP="00BC0EF2">
            <w:pPr>
              <w:widowControl w:val="0"/>
              <w:tabs>
                <w:tab w:val="left" w:pos="1134"/>
              </w:tabs>
              <w:jc w:val="both"/>
              <w:rPr>
                <w:szCs w:val="24"/>
              </w:rPr>
            </w:pPr>
          </w:p>
        </w:tc>
        <w:tc>
          <w:tcPr>
            <w:tcW w:w="5925" w:type="dxa"/>
            <w:tcBorders>
              <w:top w:val="single" w:sz="4" w:space="0" w:color="auto"/>
              <w:bottom w:val="single" w:sz="4" w:space="0" w:color="auto"/>
            </w:tcBorders>
          </w:tcPr>
          <w:p w:rsidR="006173A8" w:rsidRDefault="006173A8" w:rsidP="00BC0EF2">
            <w:pPr>
              <w:jc w:val="both"/>
              <w:rPr>
                <w:b/>
                <w:szCs w:val="24"/>
              </w:rPr>
            </w:pPr>
            <w:r>
              <w:rPr>
                <w:b/>
                <w:szCs w:val="24"/>
              </w:rPr>
              <w:t xml:space="preserve">Neatsižvelgta. </w:t>
            </w:r>
          </w:p>
          <w:p w:rsidR="006173A8" w:rsidRDefault="006173A8" w:rsidP="00BC0EF2">
            <w:pPr>
              <w:jc w:val="both"/>
              <w:rPr>
                <w:szCs w:val="24"/>
              </w:rPr>
            </w:pPr>
            <w:r>
              <w:rPr>
                <w:szCs w:val="24"/>
              </w:rPr>
              <w:t>G</w:t>
            </w:r>
            <w:r w:rsidRPr="00EA755D">
              <w:rPr>
                <w:szCs w:val="24"/>
              </w:rPr>
              <w:t xml:space="preserve">aliojančios CK 3.78 straipsnio nuostatos dėl sutuoktinių tarpusavio išlaikymo </w:t>
            </w:r>
            <w:r>
              <w:rPr>
                <w:szCs w:val="24"/>
              </w:rPr>
              <w:t xml:space="preserve">tvirtinant gyvenimą skyrium </w:t>
            </w:r>
            <w:r w:rsidRPr="00EA755D">
              <w:rPr>
                <w:szCs w:val="24"/>
              </w:rPr>
              <w:t xml:space="preserve">taikomos tik tokiais atvejais, kai išlaikymo klausimai nenustatyti sutuoktinių sudarytoje sutartyje (žr. šio straipsnio 1 dalį). </w:t>
            </w:r>
            <w:r>
              <w:rPr>
                <w:szCs w:val="24"/>
              </w:rPr>
              <w:t xml:space="preserve">Pagal Teisingumo ministerijos siūlomas naujas </w:t>
            </w:r>
            <w:r w:rsidRPr="00EA755D">
              <w:rPr>
                <w:szCs w:val="24"/>
              </w:rPr>
              <w:t xml:space="preserve">CK </w:t>
            </w:r>
            <w:r>
              <w:rPr>
                <w:szCs w:val="24"/>
              </w:rPr>
              <w:t>3.76</w:t>
            </w:r>
            <w:r>
              <w:rPr>
                <w:szCs w:val="24"/>
                <w:vertAlign w:val="superscript"/>
              </w:rPr>
              <w:t>1</w:t>
            </w:r>
            <w:r>
              <w:rPr>
                <w:szCs w:val="24"/>
              </w:rPr>
              <w:t xml:space="preserve"> straipsnio nuostatas</w:t>
            </w:r>
            <w:r w:rsidRPr="00EA755D">
              <w:rPr>
                <w:szCs w:val="24"/>
              </w:rPr>
              <w:t xml:space="preserve"> sutuoktiniai </w:t>
            </w:r>
            <w:proofErr w:type="spellStart"/>
            <w:r w:rsidRPr="00EA755D">
              <w:rPr>
                <w:szCs w:val="24"/>
              </w:rPr>
              <w:t>separacijos</w:t>
            </w:r>
            <w:proofErr w:type="spellEnd"/>
            <w:r w:rsidRPr="00EA755D">
              <w:rPr>
                <w:szCs w:val="24"/>
              </w:rPr>
              <w:t xml:space="preserve"> bendru sutarimu atveju tarpusavio išlaikymo klausimus aptars sutartyje dėl gyvenimo skyrium pasekmių, kurią tvirtindamas notaras, be kita ko, </w:t>
            </w:r>
            <w:r>
              <w:rPr>
                <w:szCs w:val="24"/>
              </w:rPr>
              <w:t xml:space="preserve">turės įvertinti </w:t>
            </w:r>
            <w:r w:rsidRPr="00EA755D">
              <w:rPr>
                <w:szCs w:val="24"/>
              </w:rPr>
              <w:t xml:space="preserve">ir tai, ar tokios sutarties nuostatos dėl sutuoktinių tarpusavio išlaikymo iš esmės nepažeidžia vieno iš sutuoktinių teisių ir (ar) teisėtų interesų. Atsižvelgiant į tai, laikomės nuomonės, kad CK 3.78 straipsnio tikslinimas įtraukiant </w:t>
            </w:r>
            <w:r>
              <w:rPr>
                <w:szCs w:val="24"/>
              </w:rPr>
              <w:t xml:space="preserve">čia ir tokius atvejus, kai gyvenimas skyriumi tvirtinamas notarine tvarka, netikslingas. </w:t>
            </w:r>
          </w:p>
          <w:p w:rsidR="006173A8" w:rsidRPr="00EA755D" w:rsidRDefault="006173A8" w:rsidP="00BC0EF2">
            <w:pPr>
              <w:jc w:val="both"/>
              <w:rPr>
                <w:szCs w:val="24"/>
              </w:rPr>
            </w:pPr>
          </w:p>
        </w:tc>
      </w:tr>
      <w:tr w:rsidR="006173A8" w:rsidTr="00127DA6">
        <w:trPr>
          <w:trHeight w:val="1133"/>
        </w:trPr>
        <w:tc>
          <w:tcPr>
            <w:tcW w:w="2547" w:type="dxa"/>
            <w:vMerge/>
            <w:tcBorders>
              <w:bottom w:val="single" w:sz="4" w:space="0" w:color="auto"/>
            </w:tcBorders>
          </w:tcPr>
          <w:p w:rsidR="006173A8" w:rsidRPr="007B2667" w:rsidRDefault="006173A8" w:rsidP="00BC0EF2">
            <w:pPr>
              <w:rPr>
                <w:szCs w:val="24"/>
              </w:rPr>
            </w:pPr>
          </w:p>
        </w:tc>
        <w:tc>
          <w:tcPr>
            <w:tcW w:w="6520" w:type="dxa"/>
          </w:tcPr>
          <w:p w:rsidR="006173A8" w:rsidRPr="003903E3" w:rsidRDefault="006173A8" w:rsidP="00BC0EF2">
            <w:pPr>
              <w:widowControl w:val="0"/>
              <w:tabs>
                <w:tab w:val="left" w:pos="1134"/>
              </w:tabs>
              <w:jc w:val="both"/>
              <w:rPr>
                <w:i/>
                <w:szCs w:val="24"/>
              </w:rPr>
            </w:pPr>
            <w:r w:rsidRPr="003903E3">
              <w:rPr>
                <w:i/>
                <w:szCs w:val="24"/>
              </w:rPr>
              <w:t xml:space="preserve">Dėl susijusių aspektų: </w:t>
            </w:r>
          </w:p>
          <w:p w:rsidR="006173A8" w:rsidRDefault="006173A8" w:rsidP="00BC0EF2">
            <w:pPr>
              <w:widowControl w:val="0"/>
              <w:tabs>
                <w:tab w:val="left" w:pos="1134"/>
              </w:tabs>
              <w:jc w:val="both"/>
              <w:rPr>
                <w:szCs w:val="24"/>
              </w:rPr>
            </w:pPr>
            <w:r>
              <w:rPr>
                <w:szCs w:val="24"/>
              </w:rPr>
              <w:t xml:space="preserve">1. </w:t>
            </w:r>
            <w:r w:rsidRPr="003903E3">
              <w:rPr>
                <w:szCs w:val="24"/>
              </w:rPr>
              <w:t xml:space="preserve">Atkreipiame dėmesį į tai, kad nei teikime Vyriausybei, nei Projektų aiškinamajame rašte nėra pateikiama informacijos apie notarams pavedamų naujų funkcijų apmokėjimą ir galimas šių </w:t>
            </w:r>
            <w:r w:rsidRPr="003903E3">
              <w:rPr>
                <w:szCs w:val="24"/>
              </w:rPr>
              <w:lastRenderedPageBreak/>
              <w:t>notarinių veiksmų atlikimo kainas. Šiuo metu galiojantis teisinis reglamentavimas nenumato žyminio mokesčio už santuokos nutraukimo pasekmių sutarties ar gyvenimo skyrium patvirtinimą, leidimo dėl nekilnojamojo daikto, kuris yra šeimos turtas, sandorių sudarymo išdavimą. Šiuo aspektu būtina įvertinti pažeidžiamų socialinių grupių asmenų galimybes atlikti teisinius veiksmus (pvz., smurto artimoje aplinkoje aukos, socialiai remtini asmenys ir pan.).</w:t>
            </w:r>
          </w:p>
          <w:p w:rsidR="006173A8" w:rsidRDefault="006173A8" w:rsidP="00BC0EF2">
            <w:pPr>
              <w:widowControl w:val="0"/>
              <w:tabs>
                <w:tab w:val="left" w:pos="1134"/>
              </w:tabs>
              <w:jc w:val="both"/>
              <w:rPr>
                <w:szCs w:val="24"/>
              </w:rPr>
            </w:pPr>
          </w:p>
        </w:tc>
        <w:tc>
          <w:tcPr>
            <w:tcW w:w="5925" w:type="dxa"/>
            <w:tcBorders>
              <w:top w:val="single" w:sz="4" w:space="0" w:color="auto"/>
              <w:bottom w:val="single" w:sz="4" w:space="0" w:color="auto"/>
            </w:tcBorders>
          </w:tcPr>
          <w:p w:rsidR="006173A8" w:rsidRDefault="006173A8" w:rsidP="00BC0EF2">
            <w:pPr>
              <w:jc w:val="both"/>
              <w:rPr>
                <w:b/>
                <w:szCs w:val="24"/>
              </w:rPr>
            </w:pPr>
            <w:r>
              <w:rPr>
                <w:b/>
                <w:szCs w:val="24"/>
              </w:rPr>
              <w:lastRenderedPageBreak/>
              <w:t xml:space="preserve">Atsižvelgta iš dalies. </w:t>
            </w:r>
          </w:p>
          <w:p w:rsidR="006173A8" w:rsidRPr="004A4C3D" w:rsidRDefault="006173A8" w:rsidP="00BC0EF2">
            <w:pPr>
              <w:jc w:val="both"/>
              <w:rPr>
                <w:szCs w:val="24"/>
              </w:rPr>
            </w:pPr>
            <w:r w:rsidRPr="004A4C3D">
              <w:rPr>
                <w:szCs w:val="24"/>
              </w:rPr>
              <w:t>Notarams perdavus santuokos nutraukimo abiejų sutuoktinių bendru sutikimu tvirtinimą, už sandorio dėl santuoko</w:t>
            </w:r>
            <w:r>
              <w:rPr>
                <w:szCs w:val="24"/>
              </w:rPr>
              <w:t>s nutraukimo pasekmių tvirtinimą</w:t>
            </w:r>
            <w:r w:rsidRPr="004A4C3D">
              <w:rPr>
                <w:szCs w:val="24"/>
              </w:rPr>
              <w:t xml:space="preserve"> bus imamas </w:t>
            </w:r>
            <w:r w:rsidRPr="004A4C3D">
              <w:rPr>
                <w:szCs w:val="24"/>
              </w:rPr>
              <w:lastRenderedPageBreak/>
              <w:t>notarinis atlyginimas. Konkretų atlyginimo dydį, vadovaujantis Notariato įstatymo 19 straipsniu, atsižvelgdamas į šio įstatymo 19</w:t>
            </w:r>
            <w:r w:rsidRPr="004A4C3D">
              <w:rPr>
                <w:szCs w:val="24"/>
                <w:vertAlign w:val="superscript"/>
              </w:rPr>
              <w:t>1</w:t>
            </w:r>
            <w:r w:rsidRPr="004A4C3D">
              <w:rPr>
                <w:szCs w:val="24"/>
              </w:rPr>
              <w:t xml:space="preserve"> straipsnyje nurodytus notarų atlyginimo dydžių (įkainių) nustatymo kriterijus ir suderinęs su finansų ministru, tvirtins teisingumo ministras. Konkretūs įkainiai bus tvirtinami, kai bus pritarta siūlomiems CK pakeitimams. Bet kuriuo atveju planuojama, kad tai bus fiksuota, nuo dalijamo sutuoktinių turto vertės nepriklausanti suma, kurios dydis leis užtikrinti šios paslaugos prieinamumą visiems asmenims. Prireikus atskiroms asmenų grupėms, pavyzdžiui, neįgaliems asmenims, bus numatytos notarinių įkainių nuolaidos, kurių taikymo galimybė yra numatyta jau dabar. Be to, </w:t>
            </w:r>
            <w:r w:rsidR="009A1FD7">
              <w:rPr>
                <w:szCs w:val="24"/>
              </w:rPr>
              <w:t xml:space="preserve">2020 m. birželio 26 d. Seimas pritarė Teisingumo ministerijos inicijuotiems </w:t>
            </w:r>
            <w:r w:rsidRPr="004A4C3D">
              <w:rPr>
                <w:szCs w:val="24"/>
              </w:rPr>
              <w:t>Valstybės garantuojamos teis</w:t>
            </w:r>
            <w:r w:rsidR="009A1FD7">
              <w:rPr>
                <w:szCs w:val="24"/>
              </w:rPr>
              <w:t>inės pagalbos įstatymo pakeitimams</w:t>
            </w:r>
            <w:r w:rsidRPr="004A4C3D">
              <w:rPr>
                <w:szCs w:val="24"/>
              </w:rPr>
              <w:t xml:space="preserve">, </w:t>
            </w:r>
            <w:r w:rsidR="009A1FD7">
              <w:rPr>
                <w:szCs w:val="24"/>
              </w:rPr>
              <w:t xml:space="preserve">pagal kuriuos </w:t>
            </w:r>
            <w:r w:rsidRPr="004A4C3D">
              <w:rPr>
                <w:szCs w:val="24"/>
              </w:rPr>
              <w:t>rengiant sutartį dėl santuokos nutraukimo pasekmių sutuoktiniai galės pasinaudoti pirmine valstybės garantuojama teisine pagalba.</w:t>
            </w:r>
            <w:r>
              <w:rPr>
                <w:szCs w:val="24"/>
              </w:rPr>
              <w:t xml:space="preserve"> Kartu pastebėtina, kad santuokos nutraukimą abiejų sutuoktinių bendru sutikimu perkėlus iš teismų pas notarus, skyrybų procesas bus mažiau formalizuotas, paprastesnis, lankstesnis, todėl atitinkamai galimai mažės teisinio atstovavimo šioje srityje poreikis, o tai leis atpiginti skyrybų procesą. </w:t>
            </w:r>
          </w:p>
          <w:p w:rsidR="006173A8" w:rsidRPr="007B2667" w:rsidRDefault="006173A8" w:rsidP="00BC0EF2">
            <w:pPr>
              <w:jc w:val="both"/>
              <w:rPr>
                <w:b/>
                <w:szCs w:val="24"/>
              </w:rPr>
            </w:pPr>
          </w:p>
        </w:tc>
      </w:tr>
      <w:tr w:rsidR="00E20D86" w:rsidTr="00BC0EF2">
        <w:trPr>
          <w:trHeight w:val="991"/>
        </w:trPr>
        <w:tc>
          <w:tcPr>
            <w:tcW w:w="2547" w:type="dxa"/>
            <w:tcBorders>
              <w:top w:val="single" w:sz="4" w:space="0" w:color="auto"/>
            </w:tcBorders>
          </w:tcPr>
          <w:p w:rsidR="00E20D86" w:rsidRPr="007B2667" w:rsidRDefault="00E20D86" w:rsidP="00BC0EF2">
            <w:pPr>
              <w:jc w:val="both"/>
              <w:rPr>
                <w:szCs w:val="24"/>
              </w:rPr>
            </w:pPr>
          </w:p>
        </w:tc>
        <w:tc>
          <w:tcPr>
            <w:tcW w:w="6520" w:type="dxa"/>
          </w:tcPr>
          <w:p w:rsidR="00E20D86" w:rsidRDefault="003903E3" w:rsidP="00BC0EF2">
            <w:pPr>
              <w:tabs>
                <w:tab w:val="left" w:pos="142"/>
              </w:tabs>
              <w:jc w:val="both"/>
            </w:pPr>
            <w:r>
              <w:t xml:space="preserve">2. </w:t>
            </w:r>
            <w:r w:rsidRPr="00E1153A">
              <w:t>Lietuvos Respublikos teisėkūros pagrindų įstatymo 3 straipsnio 1 dalyje nustatyta, kad t</w:t>
            </w:r>
            <w:r w:rsidRPr="003903E3">
              <w:rPr>
                <w:color w:val="000000"/>
              </w:rPr>
              <w:t xml:space="preserve">eisėkūros principai išreiškia tam tikrus </w:t>
            </w:r>
            <w:r w:rsidRPr="003903E3">
              <w:rPr>
                <w:i/>
                <w:iCs/>
                <w:color w:val="000000"/>
              </w:rPr>
              <w:t>imperatyvius reikalavimus, keliamus teisėkūroje dalyvaujantiems subjektams</w:t>
            </w:r>
            <w:r w:rsidRPr="003903E3">
              <w:rPr>
                <w:color w:val="000000"/>
              </w:rPr>
              <w:t xml:space="preserve">, siekiant sukurti vientisą, nuoseklią, darnią ir veiksmingą teisės sistemą. Šio įstatymo 3 straipsnio 2 dalies 4, 5 ir 6 punktuose nustatyta, kad </w:t>
            </w:r>
            <w:bookmarkStart w:id="0" w:name="part_7f61339c4979412fb48cc70ed1057d60"/>
            <w:bookmarkEnd w:id="0"/>
            <w:r w:rsidRPr="003903E3">
              <w:rPr>
                <w:color w:val="000000"/>
              </w:rPr>
              <w:t xml:space="preserve">teisėkūroje vadovaujamasi </w:t>
            </w:r>
            <w:bookmarkStart w:id="1" w:name="part_32f5c5a4d23644ce9d67f6213e65fb49"/>
            <w:bookmarkEnd w:id="1"/>
            <w:r w:rsidRPr="003903E3">
              <w:rPr>
                <w:color w:val="000000"/>
              </w:rPr>
              <w:t xml:space="preserve">– atvirumo ir skaidrumo principu, reiškiančiu, kad teisėkūra turi būti vieša, su bendraisiais interesais susiję teisėkūros sprendimai negali būti priimami </w:t>
            </w:r>
            <w:r w:rsidRPr="003903E3">
              <w:rPr>
                <w:i/>
                <w:iCs/>
                <w:color w:val="000000"/>
              </w:rPr>
              <w:t>visuomenei nežinant ir</w:t>
            </w:r>
            <w:r w:rsidRPr="003903E3">
              <w:rPr>
                <w:color w:val="000000"/>
              </w:rPr>
              <w:t xml:space="preserve"> </w:t>
            </w:r>
            <w:r w:rsidRPr="003903E3">
              <w:rPr>
                <w:i/>
                <w:iCs/>
                <w:color w:val="000000"/>
              </w:rPr>
              <w:t>neturint galimybių dalyvauti</w:t>
            </w:r>
            <w:r w:rsidRPr="003903E3">
              <w:rPr>
                <w:color w:val="000000"/>
              </w:rPr>
              <w:t xml:space="preserve">, valstybės politikos tikslai, teisinio reguliavimo poreikis </w:t>
            </w:r>
            <w:r w:rsidRPr="003903E3">
              <w:rPr>
                <w:color w:val="000000"/>
              </w:rPr>
              <w:lastRenderedPageBreak/>
              <w:t xml:space="preserve">ir teisėkūroje dalyvaujantys subjektai turi būti žinomi, </w:t>
            </w:r>
            <w:r w:rsidRPr="003903E3">
              <w:rPr>
                <w:i/>
                <w:iCs/>
                <w:color w:val="000000"/>
              </w:rPr>
              <w:t>visuomenei ir interesų grupėms sudarytos sąlygos teikti pasiūlymus dėl teisinio reguliavimo visose teisėkūros stadijose</w:t>
            </w:r>
            <w:r w:rsidRPr="003903E3">
              <w:rPr>
                <w:color w:val="000000"/>
              </w:rPr>
              <w:t xml:space="preserve">, taip pat turi būti žinomi teisės aktų projektų rengimą inicijavę, teisės aktų projektus parengę, numatomo teisinio reguliavimo poveikio vertinimą atlikę subjektai ir teisinio reguliavimo stebėseną atliekantys subjektai; efektyvumo principu, reiškiančiu, kad rengiant teisės akto projektą turi būti </w:t>
            </w:r>
            <w:r w:rsidRPr="003903E3">
              <w:rPr>
                <w:i/>
                <w:iCs/>
                <w:color w:val="000000"/>
              </w:rPr>
              <w:t>įvertinamos visos galimos teisinio reguliavimo alternatyvos ir pasirenkama geriausia iš jų</w:t>
            </w:r>
            <w:r w:rsidRPr="003903E3">
              <w:rPr>
                <w:color w:val="000000"/>
              </w:rPr>
              <w:t>, teisės akte turi būti įtvirtinamos veiksmingiausiai ir ekonomiškiausiai teisinio reguliavimo tikslą leisiančios pasiekti priemonės, turi būti skelbiami ir įvertinami dėl teisinio reguliavimo gauti pasiūlymai, o teisėkūros veiksmai atliekami per protingus terminus;</w:t>
            </w:r>
            <w:bookmarkStart w:id="2" w:name="part_7f2b20e03ea4461ebb927b92de13883a"/>
            <w:bookmarkEnd w:id="2"/>
            <w:r w:rsidRPr="003903E3">
              <w:rPr>
                <w:color w:val="000000"/>
              </w:rPr>
              <w:t xml:space="preserve"> </w:t>
            </w:r>
            <w:bookmarkStart w:id="3" w:name="part_49d94abd2478439299ee4f6b7778b517"/>
            <w:bookmarkEnd w:id="3"/>
            <w:r w:rsidRPr="003903E3">
              <w:rPr>
                <w:color w:val="000000"/>
              </w:rPr>
              <w:t xml:space="preserve">aiškumo principu, reiškiančiu, kad teisės aktuose nustatytas teisinis reguliavimas turi būti logiškas, nuoseklus, glaustas, suprantamas, tikslus, aiškus ir nedviprasmiškas. Nagrinėjamu atveju, Projektų rengėjams nepateikus derinimo pažymoje atsakymų į Kauno apylinkės teismo Kauno rūmų teisėjų ir Apylinkių teismų teisėjų sąjungos raštuose pateiktus argumentus būtų pažeisti minėti teisėkūros principai. </w:t>
            </w:r>
          </w:p>
          <w:p w:rsidR="00BC0EF2" w:rsidRPr="00BC0EF2" w:rsidRDefault="00BC0EF2" w:rsidP="00BC0EF2">
            <w:pPr>
              <w:tabs>
                <w:tab w:val="left" w:pos="142"/>
              </w:tabs>
              <w:jc w:val="both"/>
            </w:pPr>
          </w:p>
        </w:tc>
        <w:tc>
          <w:tcPr>
            <w:tcW w:w="5925" w:type="dxa"/>
            <w:tcBorders>
              <w:top w:val="single" w:sz="4" w:space="0" w:color="auto"/>
            </w:tcBorders>
          </w:tcPr>
          <w:p w:rsidR="00E20D86" w:rsidRDefault="00E20D86" w:rsidP="00BC0EF2">
            <w:pPr>
              <w:jc w:val="both"/>
              <w:rPr>
                <w:b/>
                <w:szCs w:val="24"/>
              </w:rPr>
            </w:pPr>
            <w:r>
              <w:rPr>
                <w:b/>
                <w:szCs w:val="24"/>
              </w:rPr>
              <w:lastRenderedPageBreak/>
              <w:t xml:space="preserve">Neatsižvelgta. </w:t>
            </w:r>
          </w:p>
          <w:p w:rsidR="00F1434C" w:rsidRPr="00197595" w:rsidRDefault="00197595" w:rsidP="00BC0EF2">
            <w:pPr>
              <w:jc w:val="both"/>
              <w:rPr>
                <w:szCs w:val="24"/>
              </w:rPr>
            </w:pPr>
            <w:r w:rsidRPr="00197595">
              <w:rPr>
                <w:szCs w:val="24"/>
              </w:rPr>
              <w:t xml:space="preserve">Pažymėtina, kad </w:t>
            </w:r>
            <w:r w:rsidR="00F1434C" w:rsidRPr="00197595">
              <w:rPr>
                <w:szCs w:val="24"/>
              </w:rPr>
              <w:t>Kauno apylinkės teismo Kauno rūmų teisėjų ir Apylinkių teismų te</w:t>
            </w:r>
            <w:r w:rsidRPr="00197595">
              <w:rPr>
                <w:szCs w:val="24"/>
              </w:rPr>
              <w:t>isėjų sąjungos raštuose pateiktos pastabos</w:t>
            </w:r>
            <w:r w:rsidR="00F1434C" w:rsidRPr="00197595">
              <w:rPr>
                <w:szCs w:val="24"/>
              </w:rPr>
              <w:t xml:space="preserve"> buvo tinkamai įvertintos, jų pagrindu iš esmės peržiūrėtas ir patikslintas Įstatymų projektų aiškinamasis raštas, papildant jį naujais, statistiniais duomenimis pagrįstais argumentais dėl poreikio perskirstyti apylinkių ir apygard</w:t>
            </w:r>
            <w:r>
              <w:rPr>
                <w:szCs w:val="24"/>
              </w:rPr>
              <w:t xml:space="preserve">ų teismams tenkantį darbo krūvį, </w:t>
            </w:r>
            <w:r w:rsidRPr="00197595">
              <w:rPr>
                <w:szCs w:val="24"/>
              </w:rPr>
              <w:t>kartu įtraukiant detalesnius paskaičiavimus dėl labai nežymaus siūlomų pakeitimų poveikio apylinkių teismų darbo krūviui.</w:t>
            </w:r>
            <w:r w:rsidR="00F1434C" w:rsidRPr="00197595">
              <w:rPr>
                <w:szCs w:val="24"/>
              </w:rPr>
              <w:t xml:space="preserve"> </w:t>
            </w:r>
            <w:r w:rsidR="00F1434C" w:rsidRPr="00197595">
              <w:rPr>
                <w:szCs w:val="24"/>
              </w:rPr>
              <w:lastRenderedPageBreak/>
              <w:t xml:space="preserve">Atsižvelgiant į tai, atskiros derinimo pažymos teikimas dėl minėtų pastabų nebuvo ir </w:t>
            </w:r>
            <w:r w:rsidRPr="00197595">
              <w:rPr>
                <w:szCs w:val="24"/>
              </w:rPr>
              <w:t xml:space="preserve">šiame etape taip pat </w:t>
            </w:r>
            <w:r w:rsidR="00F1434C" w:rsidRPr="00197595">
              <w:rPr>
                <w:szCs w:val="24"/>
              </w:rPr>
              <w:t xml:space="preserve">nėra tikslingas. </w:t>
            </w:r>
            <w:r w:rsidRPr="00197595">
              <w:rPr>
                <w:szCs w:val="24"/>
              </w:rPr>
              <w:t>Be to, Įstatymų projektai suderinti su Teisėjų taryba, kuri yra vykdomoji visų grandžių t</w:t>
            </w:r>
            <w:r>
              <w:rPr>
                <w:szCs w:val="24"/>
              </w:rPr>
              <w:t xml:space="preserve">eismų savivaldos institucija. </w:t>
            </w:r>
            <w:r w:rsidRPr="00197595">
              <w:rPr>
                <w:szCs w:val="24"/>
              </w:rPr>
              <w:t>Kartu pastebėtina</w:t>
            </w:r>
            <w:r w:rsidR="00F1434C" w:rsidRPr="00197595">
              <w:rPr>
                <w:szCs w:val="24"/>
              </w:rPr>
              <w:t xml:space="preserve">, kad Įstatymų projektai </w:t>
            </w:r>
            <w:r w:rsidRPr="00197595">
              <w:rPr>
                <w:szCs w:val="24"/>
              </w:rPr>
              <w:t xml:space="preserve">nustatyta tvarka </w:t>
            </w:r>
            <w:r w:rsidR="00F1434C" w:rsidRPr="00197595">
              <w:rPr>
                <w:szCs w:val="24"/>
              </w:rPr>
              <w:t xml:space="preserve">buvo viešai derinami su visomis suinteresuotomis institucijomis, todėl išvadoje nurodyti teisėkūros principai nebuvo pažeisti. </w:t>
            </w:r>
          </w:p>
          <w:p w:rsidR="005B4ADD" w:rsidRPr="00197595" w:rsidRDefault="005B4ADD" w:rsidP="00BC0EF2">
            <w:pPr>
              <w:jc w:val="both"/>
              <w:rPr>
                <w:szCs w:val="24"/>
              </w:rPr>
            </w:pPr>
          </w:p>
          <w:p w:rsidR="00E20D86" w:rsidRPr="00E20D86" w:rsidRDefault="00E20D86" w:rsidP="00BC0EF2">
            <w:pPr>
              <w:jc w:val="both"/>
              <w:rPr>
                <w:szCs w:val="24"/>
              </w:rPr>
            </w:pPr>
          </w:p>
        </w:tc>
      </w:tr>
      <w:tr w:rsidR="003903E3" w:rsidTr="002F7520">
        <w:trPr>
          <w:trHeight w:val="1607"/>
        </w:trPr>
        <w:tc>
          <w:tcPr>
            <w:tcW w:w="2547" w:type="dxa"/>
          </w:tcPr>
          <w:p w:rsidR="003903E3" w:rsidRPr="007B2667" w:rsidRDefault="003903E3" w:rsidP="00BC0EF2">
            <w:pPr>
              <w:jc w:val="both"/>
              <w:rPr>
                <w:szCs w:val="24"/>
              </w:rPr>
            </w:pPr>
            <w:r>
              <w:rPr>
                <w:szCs w:val="24"/>
              </w:rPr>
              <w:lastRenderedPageBreak/>
              <w:t xml:space="preserve">Lietuvos Respublikos Vyriausybės kanceliarijos </w:t>
            </w:r>
            <w:bookmarkStart w:id="4" w:name="_GoBack"/>
            <w:r>
              <w:rPr>
                <w:szCs w:val="24"/>
              </w:rPr>
              <w:t xml:space="preserve">Viešojo valdymo grupės </w:t>
            </w:r>
            <w:r w:rsidRPr="003903E3">
              <w:rPr>
                <w:szCs w:val="24"/>
              </w:rPr>
              <w:t xml:space="preserve">2020-06-18 </w:t>
            </w:r>
            <w:r>
              <w:rPr>
                <w:szCs w:val="24"/>
              </w:rPr>
              <w:t xml:space="preserve">pažyma </w:t>
            </w:r>
            <w:r w:rsidRPr="003903E3">
              <w:rPr>
                <w:szCs w:val="24"/>
              </w:rPr>
              <w:t>Nr. NV-1697</w:t>
            </w:r>
            <w:bookmarkEnd w:id="4"/>
          </w:p>
        </w:tc>
        <w:tc>
          <w:tcPr>
            <w:tcW w:w="6520" w:type="dxa"/>
          </w:tcPr>
          <w:p w:rsidR="003903E3" w:rsidRDefault="00141B70" w:rsidP="00BC0EF2">
            <w:pPr>
              <w:jc w:val="both"/>
              <w:rPr>
                <w:szCs w:val="24"/>
                <w:lang w:eastAsia="ru-RU"/>
              </w:rPr>
            </w:pPr>
            <w:r w:rsidRPr="00141B70">
              <w:rPr>
                <w:szCs w:val="24"/>
                <w:lang w:eastAsia="ru-RU"/>
              </w:rPr>
              <w:t>Įvertinę projektus pagal kompetenciją, atkreipiame dėmesį į tai, kad, kaip yra siūloma, perduodant notarams dalį apylinkių teismų funkcijų (pvz. santuokos nutraukimą atitinkamais atvejais ir kt.) turėtų būti įvertintas (pagrįstas aiškinamajame rašte) asmenų patiriamas dėl šio įstatymų pakeitimo finansinis poveikis. Pvz. pagal galiojančias CPK normas už prašymus nutraukti santuoką bendru sutikimu žyminis mokestis nėra imamas, tačiau, perdavus šią funkciją notarams, atsiras poreikis atitinkamais atvejais apmokėti notaro paslaugas. Analogiškai reikėtų įvertinti ir kitų siūlomų perduoti notarams funkc</w:t>
            </w:r>
            <w:r w:rsidR="00197595">
              <w:rPr>
                <w:szCs w:val="24"/>
                <w:lang w:eastAsia="ru-RU"/>
              </w:rPr>
              <w:t>ijų finansinį poveikį asmenims.</w:t>
            </w:r>
          </w:p>
          <w:p w:rsidR="00197595" w:rsidRPr="00197595" w:rsidRDefault="00197595" w:rsidP="00BC0EF2">
            <w:pPr>
              <w:jc w:val="both"/>
              <w:rPr>
                <w:szCs w:val="24"/>
                <w:lang w:eastAsia="ru-RU"/>
              </w:rPr>
            </w:pPr>
          </w:p>
        </w:tc>
        <w:tc>
          <w:tcPr>
            <w:tcW w:w="5925" w:type="dxa"/>
          </w:tcPr>
          <w:p w:rsidR="003903E3" w:rsidRDefault="00197595" w:rsidP="00BC0EF2">
            <w:pPr>
              <w:jc w:val="both"/>
              <w:rPr>
                <w:b/>
                <w:szCs w:val="24"/>
              </w:rPr>
            </w:pPr>
            <w:r w:rsidRPr="00197595">
              <w:rPr>
                <w:b/>
                <w:szCs w:val="24"/>
              </w:rPr>
              <w:t>Atsižvelgta iš dalies.</w:t>
            </w:r>
          </w:p>
          <w:p w:rsidR="00197595" w:rsidRPr="00197595" w:rsidRDefault="00BC0EF2" w:rsidP="00BC0EF2">
            <w:pPr>
              <w:jc w:val="both"/>
              <w:rPr>
                <w:szCs w:val="24"/>
              </w:rPr>
            </w:pPr>
            <w:r>
              <w:rPr>
                <w:szCs w:val="24"/>
              </w:rPr>
              <w:t>Žr. dėl iš esmės analogiškų T</w:t>
            </w:r>
            <w:r w:rsidR="00197595" w:rsidRPr="00197595">
              <w:rPr>
                <w:szCs w:val="24"/>
              </w:rPr>
              <w:t xml:space="preserve">eisės grupės pastabų šioje lentelėje pateiktus paaiškinimus.  </w:t>
            </w:r>
          </w:p>
        </w:tc>
      </w:tr>
    </w:tbl>
    <w:p w:rsidR="00864AD0" w:rsidRDefault="00864AD0" w:rsidP="00BC0EF2">
      <w:pPr>
        <w:jc w:val="center"/>
      </w:pPr>
      <w:r>
        <w:t>__________________</w:t>
      </w:r>
    </w:p>
    <w:p w:rsidR="00BC0EF2" w:rsidRDefault="00BC0EF2">
      <w:pPr>
        <w:jc w:val="center"/>
      </w:pPr>
    </w:p>
    <w:sectPr w:rsidR="00BC0EF2" w:rsidSect="00030161">
      <w:headerReference w:type="default" r:id="rId8"/>
      <w:pgSz w:w="16838" w:h="11906" w:orient="landscape"/>
      <w:pgMar w:top="1418" w:right="1103"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DFB" w:rsidRDefault="00B82DFB" w:rsidP="00E20D86">
      <w:r>
        <w:separator/>
      </w:r>
    </w:p>
  </w:endnote>
  <w:endnote w:type="continuationSeparator" w:id="0">
    <w:p w:rsidR="00B82DFB" w:rsidRDefault="00B82DFB" w:rsidP="00E2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DFB" w:rsidRDefault="00B82DFB" w:rsidP="00E20D86">
      <w:r>
        <w:separator/>
      </w:r>
    </w:p>
  </w:footnote>
  <w:footnote w:type="continuationSeparator" w:id="0">
    <w:p w:rsidR="00B82DFB" w:rsidRDefault="00B82DFB" w:rsidP="00E2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772476"/>
      <w:docPartObj>
        <w:docPartGallery w:val="Page Numbers (Top of Page)"/>
        <w:docPartUnique/>
      </w:docPartObj>
    </w:sdtPr>
    <w:sdtContent>
      <w:p w:rsidR="00030161" w:rsidRDefault="00030161">
        <w:pPr>
          <w:pStyle w:val="Antrats"/>
          <w:jc w:val="center"/>
        </w:pPr>
        <w:r>
          <w:fldChar w:fldCharType="begin"/>
        </w:r>
        <w:r>
          <w:instrText>PAGE   \* MERGEFORMAT</w:instrText>
        </w:r>
        <w:r>
          <w:fldChar w:fldCharType="separate"/>
        </w:r>
        <w:r>
          <w:rPr>
            <w:noProof/>
          </w:rPr>
          <w:t>4</w:t>
        </w:r>
        <w:r>
          <w:fldChar w:fldCharType="end"/>
        </w:r>
      </w:p>
    </w:sdtContent>
  </w:sdt>
  <w:p w:rsidR="00030161" w:rsidRDefault="000301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9EC"/>
    <w:multiLevelType w:val="hybridMultilevel"/>
    <w:tmpl w:val="3BC0A4B8"/>
    <w:lvl w:ilvl="0" w:tplc="7F487BC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F971167"/>
    <w:multiLevelType w:val="hybridMultilevel"/>
    <w:tmpl w:val="E0ACA66C"/>
    <w:lvl w:ilvl="0" w:tplc="0B6A65F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 w15:restartNumberingAfterBreak="0">
    <w:nsid w:val="2F56306A"/>
    <w:multiLevelType w:val="multilevel"/>
    <w:tmpl w:val="10F6E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8442F4"/>
    <w:multiLevelType w:val="multilevel"/>
    <w:tmpl w:val="76E21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3D5FD9"/>
    <w:multiLevelType w:val="multilevel"/>
    <w:tmpl w:val="8158B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371DBD"/>
    <w:multiLevelType w:val="hybridMultilevel"/>
    <w:tmpl w:val="22CC3708"/>
    <w:lvl w:ilvl="0" w:tplc="1E90F51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77176C4F"/>
    <w:multiLevelType w:val="hybridMultilevel"/>
    <w:tmpl w:val="62DC261E"/>
    <w:lvl w:ilvl="0" w:tplc="7D3039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F4F595B"/>
    <w:multiLevelType w:val="hybridMultilevel"/>
    <w:tmpl w:val="60CCEAA8"/>
    <w:lvl w:ilvl="0" w:tplc="884A232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85"/>
    <w:rsid w:val="00030161"/>
    <w:rsid w:val="00067C5D"/>
    <w:rsid w:val="00075D4F"/>
    <w:rsid w:val="00110C60"/>
    <w:rsid w:val="00116F8B"/>
    <w:rsid w:val="001266CD"/>
    <w:rsid w:val="00141B70"/>
    <w:rsid w:val="00165E71"/>
    <w:rsid w:val="00195FA9"/>
    <w:rsid w:val="00197595"/>
    <w:rsid w:val="001B2413"/>
    <w:rsid w:val="002162DC"/>
    <w:rsid w:val="00216473"/>
    <w:rsid w:val="002238F0"/>
    <w:rsid w:val="00252134"/>
    <w:rsid w:val="002B46A5"/>
    <w:rsid w:val="002D3C85"/>
    <w:rsid w:val="002F7520"/>
    <w:rsid w:val="003548BA"/>
    <w:rsid w:val="0036565A"/>
    <w:rsid w:val="00373178"/>
    <w:rsid w:val="00383032"/>
    <w:rsid w:val="003903E3"/>
    <w:rsid w:val="00414424"/>
    <w:rsid w:val="0042090E"/>
    <w:rsid w:val="0043008F"/>
    <w:rsid w:val="00451C5B"/>
    <w:rsid w:val="004906A1"/>
    <w:rsid w:val="00496ABE"/>
    <w:rsid w:val="004A4C3D"/>
    <w:rsid w:val="00501733"/>
    <w:rsid w:val="0053745F"/>
    <w:rsid w:val="00571EAA"/>
    <w:rsid w:val="005B4ADD"/>
    <w:rsid w:val="005E5EF1"/>
    <w:rsid w:val="00603402"/>
    <w:rsid w:val="006173A8"/>
    <w:rsid w:val="00746151"/>
    <w:rsid w:val="00760AE5"/>
    <w:rsid w:val="00786B69"/>
    <w:rsid w:val="00790822"/>
    <w:rsid w:val="007A5AEF"/>
    <w:rsid w:val="007B2667"/>
    <w:rsid w:val="007E3074"/>
    <w:rsid w:val="00840D87"/>
    <w:rsid w:val="00856F88"/>
    <w:rsid w:val="00864AD0"/>
    <w:rsid w:val="00866192"/>
    <w:rsid w:val="00870F0D"/>
    <w:rsid w:val="008E6539"/>
    <w:rsid w:val="008F1B64"/>
    <w:rsid w:val="008F5A3A"/>
    <w:rsid w:val="00952536"/>
    <w:rsid w:val="00955C2D"/>
    <w:rsid w:val="009768A1"/>
    <w:rsid w:val="0098575A"/>
    <w:rsid w:val="009A1FD7"/>
    <w:rsid w:val="009E650C"/>
    <w:rsid w:val="00A04DB9"/>
    <w:rsid w:val="00A318D4"/>
    <w:rsid w:val="00A31CEF"/>
    <w:rsid w:val="00A361B8"/>
    <w:rsid w:val="00A5028D"/>
    <w:rsid w:val="00AB68DB"/>
    <w:rsid w:val="00B11EEF"/>
    <w:rsid w:val="00B31A0F"/>
    <w:rsid w:val="00B70C4A"/>
    <w:rsid w:val="00B82DFB"/>
    <w:rsid w:val="00BC0EF2"/>
    <w:rsid w:val="00C41330"/>
    <w:rsid w:val="00C90FAE"/>
    <w:rsid w:val="00CF10F4"/>
    <w:rsid w:val="00CF39DF"/>
    <w:rsid w:val="00DA2419"/>
    <w:rsid w:val="00DB588E"/>
    <w:rsid w:val="00E20D86"/>
    <w:rsid w:val="00E26E94"/>
    <w:rsid w:val="00E91539"/>
    <w:rsid w:val="00EA755D"/>
    <w:rsid w:val="00EB2B26"/>
    <w:rsid w:val="00EE4F2C"/>
    <w:rsid w:val="00F1282F"/>
    <w:rsid w:val="00F1434C"/>
    <w:rsid w:val="00F71256"/>
    <w:rsid w:val="00FA4E06"/>
    <w:rsid w:val="00FE064F"/>
    <w:rsid w:val="00FE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04FCF-8D7D-4291-AC02-826A37EA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3C8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B2B26"/>
    <w:pPr>
      <w:suppressAutoHyphens/>
      <w:ind w:left="720"/>
      <w:contextualSpacing/>
    </w:pPr>
    <w:rPr>
      <w:szCs w:val="24"/>
      <w:lang w:eastAsia="ar-SA"/>
    </w:rPr>
  </w:style>
  <w:style w:type="character" w:styleId="Hipersaitas">
    <w:name w:val="Hyperlink"/>
    <w:basedOn w:val="Numatytasispastraiposriftas"/>
    <w:uiPriority w:val="99"/>
    <w:semiHidden/>
    <w:unhideWhenUsed/>
    <w:rsid w:val="00075D4F"/>
    <w:rPr>
      <w:color w:val="0000FF"/>
      <w:u w:val="single"/>
    </w:rPr>
  </w:style>
  <w:style w:type="paragraph" w:styleId="Debesliotekstas">
    <w:name w:val="Balloon Text"/>
    <w:basedOn w:val="prastasis"/>
    <w:link w:val="DebesliotekstasDiagrama"/>
    <w:uiPriority w:val="99"/>
    <w:semiHidden/>
    <w:unhideWhenUsed/>
    <w:rsid w:val="002238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8F0"/>
    <w:rPr>
      <w:rFonts w:ascii="Segoe UI" w:eastAsia="Times New Roman" w:hAnsi="Segoe UI" w:cs="Segoe UI"/>
      <w:sz w:val="18"/>
      <w:szCs w:val="18"/>
      <w:lang w:eastAsia="lt-LT"/>
    </w:rPr>
  </w:style>
  <w:style w:type="paragraph" w:styleId="Puslapioinaostekstas">
    <w:name w:val="footnote text"/>
    <w:basedOn w:val="prastasis"/>
    <w:link w:val="PuslapioinaostekstasDiagrama"/>
    <w:uiPriority w:val="99"/>
    <w:semiHidden/>
    <w:unhideWhenUsed/>
    <w:rsid w:val="00E20D86"/>
    <w:rPr>
      <w:sz w:val="20"/>
    </w:rPr>
  </w:style>
  <w:style w:type="character" w:customStyle="1" w:styleId="PuslapioinaostekstasDiagrama">
    <w:name w:val="Puslapio išnašos tekstas Diagrama"/>
    <w:basedOn w:val="Numatytasispastraiposriftas"/>
    <w:link w:val="Puslapioinaostekstas"/>
    <w:uiPriority w:val="99"/>
    <w:semiHidden/>
    <w:rsid w:val="00E20D8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E20D86"/>
    <w:rPr>
      <w:vertAlign w:val="superscript"/>
    </w:rPr>
  </w:style>
  <w:style w:type="paragraph" w:styleId="Antrats">
    <w:name w:val="header"/>
    <w:basedOn w:val="prastasis"/>
    <w:link w:val="AntratsDiagrama"/>
    <w:uiPriority w:val="99"/>
    <w:unhideWhenUsed/>
    <w:rsid w:val="00030161"/>
    <w:pPr>
      <w:tabs>
        <w:tab w:val="center" w:pos="4513"/>
        <w:tab w:val="right" w:pos="9026"/>
      </w:tabs>
    </w:pPr>
  </w:style>
  <w:style w:type="character" w:customStyle="1" w:styleId="AntratsDiagrama">
    <w:name w:val="Antraštės Diagrama"/>
    <w:basedOn w:val="Numatytasispastraiposriftas"/>
    <w:link w:val="Antrats"/>
    <w:uiPriority w:val="99"/>
    <w:rsid w:val="00030161"/>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30161"/>
    <w:pPr>
      <w:tabs>
        <w:tab w:val="center" w:pos="4513"/>
        <w:tab w:val="right" w:pos="9026"/>
      </w:tabs>
    </w:pPr>
  </w:style>
  <w:style w:type="character" w:customStyle="1" w:styleId="PoratDiagrama">
    <w:name w:val="Poraštė Diagrama"/>
    <w:basedOn w:val="Numatytasispastraiposriftas"/>
    <w:link w:val="Porat"/>
    <w:uiPriority w:val="99"/>
    <w:rsid w:val="0003016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156">
      <w:bodyDiv w:val="1"/>
      <w:marLeft w:val="0"/>
      <w:marRight w:val="0"/>
      <w:marTop w:val="0"/>
      <w:marBottom w:val="0"/>
      <w:divBdr>
        <w:top w:val="none" w:sz="0" w:space="0" w:color="auto"/>
        <w:left w:val="none" w:sz="0" w:space="0" w:color="auto"/>
        <w:bottom w:val="none" w:sz="0" w:space="0" w:color="auto"/>
        <w:right w:val="none" w:sz="0" w:space="0" w:color="auto"/>
      </w:divBdr>
    </w:div>
    <w:div w:id="908416729">
      <w:bodyDiv w:val="1"/>
      <w:marLeft w:val="0"/>
      <w:marRight w:val="0"/>
      <w:marTop w:val="0"/>
      <w:marBottom w:val="0"/>
      <w:divBdr>
        <w:top w:val="none" w:sz="0" w:space="0" w:color="auto"/>
        <w:left w:val="none" w:sz="0" w:space="0" w:color="auto"/>
        <w:bottom w:val="none" w:sz="0" w:space="0" w:color="auto"/>
        <w:right w:val="none" w:sz="0" w:space="0" w:color="auto"/>
      </w:divBdr>
      <w:divsChild>
        <w:div w:id="1117874835">
          <w:marLeft w:val="0"/>
          <w:marRight w:val="0"/>
          <w:marTop w:val="0"/>
          <w:marBottom w:val="0"/>
          <w:divBdr>
            <w:top w:val="none" w:sz="0" w:space="0" w:color="auto"/>
            <w:left w:val="none" w:sz="0" w:space="0" w:color="auto"/>
            <w:bottom w:val="none" w:sz="0" w:space="0" w:color="auto"/>
            <w:right w:val="none" w:sz="0" w:space="0" w:color="auto"/>
          </w:divBdr>
          <w:divsChild>
            <w:div w:id="1358240301">
              <w:marLeft w:val="0"/>
              <w:marRight w:val="0"/>
              <w:marTop w:val="0"/>
              <w:marBottom w:val="0"/>
              <w:divBdr>
                <w:top w:val="none" w:sz="0" w:space="0" w:color="auto"/>
                <w:left w:val="none" w:sz="0" w:space="0" w:color="auto"/>
                <w:bottom w:val="none" w:sz="0" w:space="0" w:color="auto"/>
                <w:right w:val="none" w:sz="0" w:space="0" w:color="auto"/>
              </w:divBdr>
              <w:divsChild>
                <w:div w:id="446238580">
                  <w:marLeft w:val="0"/>
                  <w:marRight w:val="0"/>
                  <w:marTop w:val="0"/>
                  <w:marBottom w:val="0"/>
                  <w:divBdr>
                    <w:top w:val="none" w:sz="0" w:space="0" w:color="auto"/>
                    <w:left w:val="none" w:sz="0" w:space="0" w:color="auto"/>
                    <w:bottom w:val="none" w:sz="0" w:space="0" w:color="auto"/>
                    <w:right w:val="none" w:sz="0" w:space="0" w:color="auto"/>
                  </w:divBdr>
                  <w:divsChild>
                    <w:div w:id="654837271">
                      <w:marLeft w:val="0"/>
                      <w:marRight w:val="0"/>
                      <w:marTop w:val="0"/>
                      <w:marBottom w:val="0"/>
                      <w:divBdr>
                        <w:top w:val="none" w:sz="0" w:space="0" w:color="auto"/>
                        <w:left w:val="none" w:sz="0" w:space="0" w:color="auto"/>
                        <w:bottom w:val="none" w:sz="0" w:space="0" w:color="auto"/>
                        <w:right w:val="none" w:sz="0" w:space="0" w:color="auto"/>
                      </w:divBdr>
                      <w:divsChild>
                        <w:div w:id="448941280">
                          <w:marLeft w:val="0"/>
                          <w:marRight w:val="0"/>
                          <w:marTop w:val="0"/>
                          <w:marBottom w:val="0"/>
                          <w:divBdr>
                            <w:top w:val="none" w:sz="0" w:space="0" w:color="auto"/>
                            <w:left w:val="none" w:sz="0" w:space="0" w:color="auto"/>
                            <w:bottom w:val="none" w:sz="0" w:space="0" w:color="auto"/>
                            <w:right w:val="none" w:sz="0" w:space="0" w:color="auto"/>
                          </w:divBdr>
                        </w:div>
                        <w:div w:id="1156720802">
                          <w:marLeft w:val="0"/>
                          <w:marRight w:val="0"/>
                          <w:marTop w:val="0"/>
                          <w:marBottom w:val="0"/>
                          <w:divBdr>
                            <w:top w:val="none" w:sz="0" w:space="0" w:color="auto"/>
                            <w:left w:val="none" w:sz="0" w:space="0" w:color="auto"/>
                            <w:bottom w:val="none" w:sz="0" w:space="0" w:color="auto"/>
                            <w:right w:val="none" w:sz="0" w:space="0" w:color="auto"/>
                          </w:divBdr>
                        </w:div>
                        <w:div w:id="1454861333">
                          <w:marLeft w:val="0"/>
                          <w:marRight w:val="0"/>
                          <w:marTop w:val="0"/>
                          <w:marBottom w:val="0"/>
                          <w:divBdr>
                            <w:top w:val="none" w:sz="0" w:space="0" w:color="auto"/>
                            <w:left w:val="none" w:sz="0" w:space="0" w:color="auto"/>
                            <w:bottom w:val="none" w:sz="0" w:space="0" w:color="auto"/>
                            <w:right w:val="none" w:sz="0" w:space="0" w:color="auto"/>
                          </w:divBdr>
                        </w:div>
                        <w:div w:id="405959633">
                          <w:marLeft w:val="0"/>
                          <w:marRight w:val="0"/>
                          <w:marTop w:val="0"/>
                          <w:marBottom w:val="0"/>
                          <w:divBdr>
                            <w:top w:val="none" w:sz="0" w:space="0" w:color="auto"/>
                            <w:left w:val="none" w:sz="0" w:space="0" w:color="auto"/>
                            <w:bottom w:val="none" w:sz="0" w:space="0" w:color="auto"/>
                            <w:right w:val="none" w:sz="0" w:space="0" w:color="auto"/>
                          </w:divBdr>
                        </w:div>
                        <w:div w:id="12873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330">
      <w:bodyDiv w:val="1"/>
      <w:marLeft w:val="0"/>
      <w:marRight w:val="0"/>
      <w:marTop w:val="0"/>
      <w:marBottom w:val="0"/>
      <w:divBdr>
        <w:top w:val="none" w:sz="0" w:space="0" w:color="auto"/>
        <w:left w:val="none" w:sz="0" w:space="0" w:color="auto"/>
        <w:bottom w:val="none" w:sz="0" w:space="0" w:color="auto"/>
        <w:right w:val="none" w:sz="0" w:space="0" w:color="auto"/>
      </w:divBdr>
    </w:div>
    <w:div w:id="18106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3A04-4E44-494A-8193-1266C1CB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7038</Words>
  <Characters>4012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2020-06-10T11:11:00Z</dcterms:created>
  <dc:creator>Eglė Saudargaitė</dc:creator>
  <cp:lastModifiedBy>Jolita Šlikienė</cp:lastModifiedBy>
  <dcterms:modified xsi:type="dcterms:W3CDTF">2020-06-30T13:32:00Z</dcterms:modified>
  <cp:revision>24</cp:revision>
</cp:coreProperties>
</file>