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C7633" w14:textId="77777777" w:rsidR="002F1ABC" w:rsidRPr="002051C1" w:rsidRDefault="00E76296" w:rsidP="001315D9">
      <w:pPr>
        <w:jc w:val="center"/>
        <w:rPr>
          <w:b/>
          <w:lang w:eastAsia="lt-LT"/>
        </w:rPr>
      </w:pPr>
      <w:r w:rsidRPr="002051C1">
        <w:rPr>
          <w:b/>
          <w:caps/>
          <w:color w:val="000000"/>
        </w:rPr>
        <w:t xml:space="preserve">Lietuvos Respublikos Vyriausybės nutarimo </w:t>
      </w:r>
      <w:r w:rsidR="00457DF3" w:rsidRPr="002051C1">
        <w:rPr>
          <w:b/>
          <w:color w:val="000000"/>
        </w:rPr>
        <w:t>„</w:t>
      </w:r>
      <w:r w:rsidR="00AF37F3" w:rsidRPr="002051C1">
        <w:rPr>
          <w:b/>
        </w:rPr>
        <w:t xml:space="preserve">DĖL </w:t>
      </w:r>
      <w:r w:rsidR="00AF37F3" w:rsidRPr="002051C1">
        <w:rPr>
          <w:b/>
          <w:lang w:eastAsia="lt-LT"/>
        </w:rPr>
        <w:t xml:space="preserve">LIETUVOS RESPUBLIKOS MOKSLO IR STUDIJŲ ĮSTATYMO </w:t>
      </w:r>
    </w:p>
    <w:p w14:paraId="6E8F4EE0" w14:textId="16DC3AFE" w:rsidR="002F1ABC" w:rsidRPr="002051C1" w:rsidRDefault="00AF37F3" w:rsidP="001315D9">
      <w:pPr>
        <w:jc w:val="center"/>
        <w:rPr>
          <w:b/>
          <w:lang w:eastAsia="lt-LT"/>
        </w:rPr>
      </w:pPr>
      <w:r w:rsidRPr="002051C1">
        <w:rPr>
          <w:b/>
          <w:lang w:eastAsia="lt-LT"/>
        </w:rPr>
        <w:t xml:space="preserve">NR. XI-242 4, 27, </w:t>
      </w:r>
      <w:r w:rsidR="007C0CC5" w:rsidRPr="002051C1">
        <w:rPr>
          <w:b/>
          <w:lang w:eastAsia="lt-LT"/>
        </w:rPr>
        <w:t xml:space="preserve">28, </w:t>
      </w:r>
      <w:r w:rsidRPr="002051C1">
        <w:rPr>
          <w:b/>
          <w:lang w:eastAsia="lt-LT"/>
        </w:rPr>
        <w:t xml:space="preserve">38, 39, 43, </w:t>
      </w:r>
      <w:r w:rsidR="007C0CC5" w:rsidRPr="002051C1">
        <w:rPr>
          <w:b/>
          <w:lang w:eastAsia="lt-LT"/>
        </w:rPr>
        <w:t xml:space="preserve">44, </w:t>
      </w:r>
      <w:r w:rsidR="00C64ECA">
        <w:rPr>
          <w:b/>
          <w:lang w:eastAsia="lt-LT"/>
        </w:rPr>
        <w:t xml:space="preserve">49, </w:t>
      </w:r>
      <w:r w:rsidR="007C0CC5" w:rsidRPr="002051C1">
        <w:rPr>
          <w:b/>
          <w:lang w:eastAsia="lt-LT"/>
        </w:rPr>
        <w:t xml:space="preserve">50, </w:t>
      </w:r>
      <w:r w:rsidR="00174012" w:rsidRPr="002051C1">
        <w:rPr>
          <w:b/>
          <w:lang w:eastAsia="lt-LT"/>
        </w:rPr>
        <w:t>52, 5</w:t>
      </w:r>
      <w:r w:rsidRPr="002051C1">
        <w:rPr>
          <w:b/>
          <w:lang w:eastAsia="lt-LT"/>
        </w:rPr>
        <w:t xml:space="preserve">6, </w:t>
      </w:r>
      <w:r w:rsidR="00C64ECA">
        <w:rPr>
          <w:b/>
          <w:lang w:eastAsia="lt-LT"/>
        </w:rPr>
        <w:t xml:space="preserve">59, </w:t>
      </w:r>
      <w:r w:rsidR="007C0CC5" w:rsidRPr="002051C1">
        <w:rPr>
          <w:b/>
          <w:lang w:eastAsia="lt-LT"/>
        </w:rPr>
        <w:t xml:space="preserve">67, </w:t>
      </w:r>
      <w:r w:rsidRPr="002051C1">
        <w:rPr>
          <w:b/>
          <w:lang w:eastAsia="lt-LT"/>
        </w:rPr>
        <w:t>87 STRAIPSNIŲ</w:t>
      </w:r>
      <w:r w:rsidR="00174012" w:rsidRPr="002051C1">
        <w:rPr>
          <w:b/>
          <w:lang w:eastAsia="lt-LT"/>
        </w:rPr>
        <w:t xml:space="preserve"> </w:t>
      </w:r>
      <w:r w:rsidRPr="002051C1">
        <w:rPr>
          <w:b/>
          <w:lang w:eastAsia="lt-LT"/>
        </w:rPr>
        <w:t xml:space="preserve">PAKEITIMO IR </w:t>
      </w:r>
    </w:p>
    <w:p w14:paraId="0AD1EB1A" w14:textId="77777777" w:rsidR="002F1ABC" w:rsidRPr="002051C1" w:rsidRDefault="00AF37F3" w:rsidP="001315D9">
      <w:pPr>
        <w:jc w:val="center"/>
        <w:rPr>
          <w:b/>
          <w:bCs/>
          <w:color w:val="000000"/>
          <w:lang w:eastAsia="lt-LT"/>
        </w:rPr>
      </w:pPr>
      <w:r w:rsidRPr="002051C1">
        <w:rPr>
          <w:b/>
          <w:lang w:eastAsia="lt-LT"/>
        </w:rPr>
        <w:t>PAPILDYMO 25</w:t>
      </w:r>
      <w:r w:rsidRPr="002051C1">
        <w:rPr>
          <w:b/>
          <w:vertAlign w:val="superscript"/>
          <w:lang w:eastAsia="lt-LT"/>
        </w:rPr>
        <w:t>1</w:t>
      </w:r>
      <w:r w:rsidRPr="002051C1">
        <w:rPr>
          <w:b/>
          <w:lang w:eastAsia="lt-LT"/>
        </w:rPr>
        <w:t xml:space="preserve"> STRAIPSNIU ĮSTATYMO </w:t>
      </w:r>
      <w:r w:rsidRPr="002051C1">
        <w:rPr>
          <w:b/>
        </w:rPr>
        <w:t>PROJEKTO</w:t>
      </w:r>
      <w:r w:rsidR="007C0CC5" w:rsidRPr="002051C1">
        <w:rPr>
          <w:b/>
        </w:rPr>
        <w:t xml:space="preserve">, </w:t>
      </w:r>
      <w:r w:rsidRPr="002051C1">
        <w:rPr>
          <w:b/>
        </w:rPr>
        <w:t xml:space="preserve">LIETUVOS RESPUBLIKOS </w:t>
      </w:r>
      <w:r w:rsidR="007C0CC5" w:rsidRPr="002051C1">
        <w:rPr>
          <w:b/>
          <w:bCs/>
          <w:color w:val="000000"/>
          <w:lang w:eastAsia="lt-LT"/>
        </w:rPr>
        <w:t xml:space="preserve">VETERINARIJOS ĮSTATYMO </w:t>
      </w:r>
    </w:p>
    <w:p w14:paraId="32350483" w14:textId="77777777" w:rsidR="002F1ABC" w:rsidRPr="002051C1" w:rsidRDefault="007C0CC5" w:rsidP="001315D9">
      <w:pPr>
        <w:jc w:val="center"/>
        <w:rPr>
          <w:b/>
        </w:rPr>
      </w:pPr>
      <w:r w:rsidRPr="002051C1">
        <w:rPr>
          <w:b/>
          <w:bCs/>
          <w:color w:val="000000"/>
          <w:lang w:eastAsia="lt-LT"/>
        </w:rPr>
        <w:t>NR. I-2110 2, 13</w:t>
      </w:r>
      <w:r w:rsidRPr="002051C1">
        <w:rPr>
          <w:b/>
          <w:bCs/>
          <w:color w:val="000000"/>
          <w:vertAlign w:val="superscript"/>
          <w:lang w:eastAsia="lt-LT"/>
        </w:rPr>
        <w:t>1</w:t>
      </w:r>
      <w:r w:rsidRPr="002051C1">
        <w:rPr>
          <w:b/>
          <w:bCs/>
          <w:color w:val="000000"/>
          <w:lang w:eastAsia="lt-LT"/>
        </w:rPr>
        <w:t xml:space="preserve"> STRAIPSNIŲ IR TREČIOJO SKIRSNIO PAVADINIMO PAKEITIMO ĮSTATYMO PROJEKTO</w:t>
      </w:r>
      <w:r w:rsidRPr="002051C1">
        <w:rPr>
          <w:b/>
        </w:rPr>
        <w:t xml:space="preserve"> IR </w:t>
      </w:r>
    </w:p>
    <w:p w14:paraId="36FAD4AE" w14:textId="57F85272" w:rsidR="00A744E8" w:rsidRPr="002051C1" w:rsidRDefault="007C0CC5" w:rsidP="001315D9">
      <w:pPr>
        <w:jc w:val="center"/>
        <w:rPr>
          <w:b/>
          <w:lang w:eastAsia="lt-LT"/>
        </w:rPr>
      </w:pPr>
      <w:r w:rsidRPr="002051C1">
        <w:rPr>
          <w:b/>
        </w:rPr>
        <w:t xml:space="preserve">LIETUVOS RESPUBLIKOS </w:t>
      </w:r>
      <w:r w:rsidR="00C64ECA">
        <w:rPr>
          <w:b/>
        </w:rPr>
        <w:t xml:space="preserve">ŠVIETIMO </w:t>
      </w:r>
      <w:r w:rsidRPr="002051C1">
        <w:rPr>
          <w:b/>
        </w:rPr>
        <w:t xml:space="preserve"> ĮSTATYMO NR. </w:t>
      </w:r>
      <w:r w:rsidR="00C64ECA" w:rsidRPr="00450DAB">
        <w:rPr>
          <w:b/>
        </w:rPr>
        <w:t>I-1489</w:t>
      </w:r>
      <w:r w:rsidR="00C64ECA" w:rsidRPr="00450DAB">
        <w:rPr>
          <w:b/>
          <w:bCs/>
          <w:caps/>
          <w:color w:val="000000"/>
          <w:lang w:eastAsia="lt-LT"/>
        </w:rPr>
        <w:t xml:space="preserve">  11 </w:t>
      </w:r>
      <w:r w:rsidRPr="002051C1">
        <w:rPr>
          <w:b/>
        </w:rPr>
        <w:t>STRAIPSNIO PAKEITIMO ĮSTATYMO PROJEKTO</w:t>
      </w:r>
      <w:r w:rsidR="00A64FEB" w:rsidRPr="002051C1">
        <w:rPr>
          <w:b/>
          <w:bCs/>
          <w:color w:val="000000"/>
          <w:lang w:eastAsia="lt-LT"/>
        </w:rPr>
        <w:t xml:space="preserve"> </w:t>
      </w:r>
      <w:r w:rsidR="00AF37F3" w:rsidRPr="002051C1">
        <w:rPr>
          <w:b/>
          <w:bCs/>
          <w:caps/>
        </w:rPr>
        <w:t>PATEIKIMO LIETUVOS RESPUBLIKOS SEIMUI</w:t>
      </w:r>
      <w:r w:rsidR="00825722" w:rsidRPr="002051C1">
        <w:rPr>
          <w:b/>
          <w:lang w:eastAsia="lt-LT"/>
        </w:rPr>
        <w:t>“</w:t>
      </w:r>
      <w:r w:rsidRPr="002051C1">
        <w:rPr>
          <w:b/>
          <w:lang w:eastAsia="lt-LT"/>
        </w:rPr>
        <w:t xml:space="preserve"> </w:t>
      </w:r>
    </w:p>
    <w:p w14:paraId="4FBDEECD" w14:textId="77777777" w:rsidR="00833122" w:rsidRPr="002051C1" w:rsidRDefault="00E76296" w:rsidP="001315D9">
      <w:pPr>
        <w:jc w:val="center"/>
        <w:rPr>
          <w:b/>
          <w:caps/>
        </w:rPr>
      </w:pPr>
      <w:r w:rsidRPr="002051C1">
        <w:rPr>
          <w:b/>
          <w:caps/>
          <w:color w:val="000000"/>
        </w:rPr>
        <w:t>projekto</w:t>
      </w:r>
      <w:r w:rsidR="00825722" w:rsidRPr="002051C1">
        <w:rPr>
          <w:b/>
          <w:caps/>
          <w:color w:val="000000"/>
        </w:rPr>
        <w:t xml:space="preserve"> </w:t>
      </w:r>
      <w:r w:rsidR="00F2561F">
        <w:rPr>
          <w:b/>
          <w:caps/>
          <w:color w:val="000000"/>
        </w:rPr>
        <w:t xml:space="preserve">PATIKSLINTA </w:t>
      </w:r>
      <w:r w:rsidR="0068786C" w:rsidRPr="002051C1">
        <w:rPr>
          <w:b/>
          <w:caps/>
        </w:rPr>
        <w:t>DERINIMO PAŽYMA</w:t>
      </w:r>
    </w:p>
    <w:p w14:paraId="447F1546" w14:textId="77777777" w:rsidR="00480E52" w:rsidRPr="002051C1" w:rsidRDefault="00480E52" w:rsidP="001315D9">
      <w:pPr>
        <w:jc w:val="center"/>
        <w:rPr>
          <w:b/>
          <w:caps/>
        </w:rPr>
      </w:pP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6841"/>
        <w:gridCol w:w="5954"/>
      </w:tblGrid>
      <w:tr w:rsidR="00480E52" w:rsidRPr="002051C1" w14:paraId="5513D2D8" w14:textId="77777777" w:rsidTr="00491197">
        <w:tc>
          <w:tcPr>
            <w:tcW w:w="1523" w:type="dxa"/>
          </w:tcPr>
          <w:p w14:paraId="5A60005C" w14:textId="77777777" w:rsidR="00480E52" w:rsidRPr="002051C1" w:rsidRDefault="00480E52" w:rsidP="00A744E8">
            <w:pPr>
              <w:jc w:val="center"/>
              <w:rPr>
                <w:bCs/>
              </w:rPr>
            </w:pPr>
            <w:r w:rsidRPr="002051C1">
              <w:t>Minister</w:t>
            </w:r>
            <w:r w:rsidR="00A744E8" w:rsidRPr="002051C1">
              <w:t>ijos, Vyriausybės įstaigos ir kt.</w:t>
            </w:r>
            <w:r w:rsidRPr="002051C1">
              <w:t xml:space="preserve"> organizacijos</w:t>
            </w:r>
          </w:p>
        </w:tc>
        <w:tc>
          <w:tcPr>
            <w:tcW w:w="6841" w:type="dxa"/>
            <w:vAlign w:val="center"/>
          </w:tcPr>
          <w:p w14:paraId="2FFAB2C6" w14:textId="77777777" w:rsidR="00480E52" w:rsidRPr="002051C1" w:rsidRDefault="00480E52" w:rsidP="00A744E8">
            <w:pPr>
              <w:jc w:val="center"/>
              <w:rPr>
                <w:bCs/>
              </w:rPr>
            </w:pPr>
            <w:r w:rsidRPr="002051C1">
              <w:t>Pastabos ir pasiūlymai</w:t>
            </w:r>
          </w:p>
        </w:tc>
        <w:tc>
          <w:tcPr>
            <w:tcW w:w="5954" w:type="dxa"/>
            <w:vAlign w:val="center"/>
          </w:tcPr>
          <w:p w14:paraId="3FA9183E" w14:textId="77777777" w:rsidR="00480E52" w:rsidRPr="002051C1" w:rsidRDefault="00480E52" w:rsidP="00A744E8">
            <w:pPr>
              <w:jc w:val="center"/>
              <w:rPr>
                <w:bCs/>
              </w:rPr>
            </w:pPr>
            <w:r w:rsidRPr="002051C1">
              <w:t>Žyma apie nepriimtas ir iš dalies nepriimtas pastabas ir pasiūlymus</w:t>
            </w:r>
          </w:p>
        </w:tc>
      </w:tr>
      <w:tr w:rsidR="00163902" w:rsidRPr="002051C1" w14:paraId="598CD98A" w14:textId="77777777" w:rsidTr="00491197">
        <w:trPr>
          <w:trHeight w:val="1742"/>
        </w:trPr>
        <w:tc>
          <w:tcPr>
            <w:tcW w:w="1523" w:type="dxa"/>
            <w:vMerge w:val="restart"/>
          </w:tcPr>
          <w:p w14:paraId="748C9DE1" w14:textId="77777777" w:rsidR="00163902" w:rsidRPr="002051C1" w:rsidRDefault="00163902" w:rsidP="00A744E8">
            <w:r w:rsidRPr="002051C1">
              <w:t>Teisingumo ministerijos</w:t>
            </w:r>
          </w:p>
          <w:p w14:paraId="5191B2C7" w14:textId="77777777" w:rsidR="00163902" w:rsidRPr="002051C1" w:rsidRDefault="00163902" w:rsidP="00AA07D7">
            <w:r w:rsidRPr="002051C1">
              <w:t>2019-01-25 raštas Nr. (1.6E)2T-72</w:t>
            </w:r>
          </w:p>
        </w:tc>
        <w:tc>
          <w:tcPr>
            <w:tcW w:w="6841" w:type="dxa"/>
          </w:tcPr>
          <w:p w14:paraId="5D8467D0" w14:textId="77777777" w:rsidR="00163902" w:rsidRPr="002051C1" w:rsidRDefault="00163902" w:rsidP="00AA07D7">
            <w:pPr>
              <w:tabs>
                <w:tab w:val="left" w:pos="1418"/>
              </w:tabs>
              <w:jc w:val="both"/>
            </w:pPr>
            <w:r w:rsidRPr="002051C1">
              <w:t>2. Atsižvelgiant į tai, kad šiuo metu Vyriausybėje svarstomas ir Lietuvos Respublikos mokslo ir studijų įstatymo Nr. XI-242 9, 74, 75, 77, 82, 83 straipsnių pakeitimo, papildymo 83</w:t>
            </w:r>
            <w:r w:rsidRPr="002051C1">
              <w:rPr>
                <w:vertAlign w:val="superscript"/>
              </w:rPr>
              <w:t>1</w:t>
            </w:r>
            <w:r w:rsidRPr="002051C1">
              <w:t xml:space="preserve"> straipsniu ir 76 straipsnio pripažinimo netekusiu galios įstatymo projektas (TAIS Nr. 18-13092(2)), siekiant mažinti priimamų teisės aktų skaičių, tikslinga šiuos projektus jungti ir teikti Lietuvos Respublikos Seimui kaip vieną projektą. Tuo pačiu, apjungus projektus, tikslinga įvertinti švietimo, mokslo ir sporto ministro ir Švietimo, mokslo ir sporto ministerijos pavadinimų koregavimo Mokslo ir studijų įstatyme galimybę.</w:t>
            </w:r>
          </w:p>
        </w:tc>
        <w:tc>
          <w:tcPr>
            <w:tcW w:w="5954" w:type="dxa"/>
          </w:tcPr>
          <w:p w14:paraId="3B8F8981" w14:textId="77777777" w:rsidR="00163902" w:rsidRPr="002051C1" w:rsidRDefault="00163902" w:rsidP="00A744E8">
            <w:pPr>
              <w:jc w:val="both"/>
              <w:rPr>
                <w:b/>
                <w:lang w:eastAsia="lt-LT"/>
              </w:rPr>
            </w:pPr>
            <w:r w:rsidRPr="002051C1">
              <w:rPr>
                <w:b/>
                <w:lang w:eastAsia="lt-LT"/>
              </w:rPr>
              <w:t>Neatsižvelgta</w:t>
            </w:r>
            <w:r w:rsidRPr="002051C1">
              <w:rPr>
                <w:lang w:eastAsia="lt-LT"/>
              </w:rPr>
              <w:t>.</w:t>
            </w:r>
          </w:p>
          <w:p w14:paraId="0C9AE5C5" w14:textId="77777777" w:rsidR="00163902" w:rsidRPr="002051C1" w:rsidRDefault="00163902" w:rsidP="00903324">
            <w:pPr>
              <w:spacing w:after="20"/>
              <w:jc w:val="both"/>
            </w:pPr>
            <w:r w:rsidRPr="002051C1">
              <w:rPr>
                <w:lang w:eastAsia="lt-LT"/>
              </w:rPr>
              <w:t xml:space="preserve">Atsižvelgus į tai, kad </w:t>
            </w:r>
            <w:r w:rsidRPr="002051C1">
              <w:t xml:space="preserve">projektas (TAIS Nr. 18-13092(2)) jau buvo apsvarstytas Vyriausybėje, </w:t>
            </w:r>
            <w:r w:rsidR="00F2561F">
              <w:t>tačiau grąžintas papildyti nuostatomis, kurios turės būti papildomai derinamos su suinteresuotomis institucijomis</w:t>
            </w:r>
            <w:r w:rsidRPr="002051C1">
              <w:t xml:space="preserve">, tikslinga </w:t>
            </w:r>
            <w:r w:rsidR="00D92C4E">
              <w:t xml:space="preserve">projektus </w:t>
            </w:r>
            <w:r w:rsidRPr="002051C1">
              <w:t xml:space="preserve">pateikti </w:t>
            </w:r>
            <w:r w:rsidR="00D92C4E">
              <w:t>atskiru teikimu</w:t>
            </w:r>
            <w:r w:rsidRPr="002051C1">
              <w:t>.</w:t>
            </w:r>
          </w:p>
          <w:p w14:paraId="2D6D6A1E" w14:textId="77777777" w:rsidR="00163902" w:rsidRPr="002051C1" w:rsidRDefault="00163902" w:rsidP="00AA07D7">
            <w:pPr>
              <w:spacing w:after="20"/>
              <w:jc w:val="both"/>
              <w:rPr>
                <w:b/>
              </w:rPr>
            </w:pPr>
            <w:r w:rsidRPr="002051C1">
              <w:rPr>
                <w:lang w:eastAsia="lt-LT"/>
              </w:rPr>
              <w:t xml:space="preserve">Vyriausybės įstatymo Nr. I-464 29 straipsnio pakeitimo įstatymo 2 str. 2 d. nustatyta, kad pavadinimą „Lietuvos    Respublikos švietimo ir mokslo ministerija“ atitinka institucijos pavadinimas „Lietuvos Respublikos švietimo, mokslo ir sporto ministerija“, o pareigų pavadinimą „Lietuvos Respublikos švietimo ir mokslo viceministras“ atitinka pareigų pavadinimas „Lietuvos    Respublikos švietimo, mokslo ir sporto viceministras“. </w:t>
            </w:r>
          </w:p>
        </w:tc>
      </w:tr>
      <w:tr w:rsidR="00163902" w:rsidRPr="002051C1" w14:paraId="6B32F261" w14:textId="77777777" w:rsidTr="00491197">
        <w:trPr>
          <w:trHeight w:val="1742"/>
        </w:trPr>
        <w:tc>
          <w:tcPr>
            <w:tcW w:w="1523" w:type="dxa"/>
            <w:vMerge/>
          </w:tcPr>
          <w:p w14:paraId="0B825868" w14:textId="77777777" w:rsidR="00163902" w:rsidRPr="002051C1" w:rsidRDefault="00163902" w:rsidP="00A744E8"/>
        </w:tc>
        <w:tc>
          <w:tcPr>
            <w:tcW w:w="6841" w:type="dxa"/>
          </w:tcPr>
          <w:p w14:paraId="22863605" w14:textId="77777777" w:rsidR="00163902" w:rsidRPr="002051C1" w:rsidRDefault="00163902" w:rsidP="0026670E">
            <w:pPr>
              <w:tabs>
                <w:tab w:val="left" w:pos="1134"/>
              </w:tabs>
              <w:spacing w:line="276" w:lineRule="auto"/>
              <w:jc w:val="both"/>
            </w:pPr>
            <w:r w:rsidRPr="002051C1">
              <w:t xml:space="preserve">3.8. Papildomai siūlome įvertinti, ar, siekiant asmenų lygiateisiškumo principo užtikrinimo, vykdant užsienyje įgytų kvalifikacijų, suteikiančių teisę į aukštąjį mokslą, pripažinimą, neturėtų būti numatyta sistema, įvertinanti užsienyje įgytų pasiekimų lygį, o išimtis ar neturėtų būti taikoma tik tais atvejais, kai išsilavinimas ar </w:t>
            </w:r>
            <w:r w:rsidRPr="002051C1">
              <w:lastRenderedPageBreak/>
              <w:t>kvalifikacija buvo pripažinti iki šių pakeitimų įsigaliojimo. Tuo pačiu siūlome įvertinti, ar pats faktas, kad asmuo buvo atleistas nuo valstybinių brandos egzaminų, eliminuoja galimybę pagal asmens pasiekimus vykdant vidurinio ugdymo programą, įvertinti jo pasiekimų lygmenį.</w:t>
            </w:r>
          </w:p>
        </w:tc>
        <w:tc>
          <w:tcPr>
            <w:tcW w:w="5954" w:type="dxa"/>
          </w:tcPr>
          <w:p w14:paraId="11D3260D" w14:textId="77777777" w:rsidR="00491197" w:rsidRPr="002051C1" w:rsidRDefault="00491197" w:rsidP="00163902">
            <w:pPr>
              <w:jc w:val="both"/>
              <w:rPr>
                <w:b/>
                <w:lang w:eastAsia="lt-LT"/>
              </w:rPr>
            </w:pPr>
            <w:r w:rsidRPr="002051C1">
              <w:rPr>
                <w:b/>
                <w:lang w:eastAsia="lt-LT"/>
              </w:rPr>
              <w:lastRenderedPageBreak/>
              <w:t>Atsižvelgta iš dalies</w:t>
            </w:r>
            <w:r w:rsidR="00163902" w:rsidRPr="002051C1">
              <w:rPr>
                <w:lang w:eastAsia="lt-LT"/>
              </w:rPr>
              <w:t>.</w:t>
            </w:r>
            <w:r w:rsidR="00163902" w:rsidRPr="002051C1">
              <w:rPr>
                <w:b/>
                <w:lang w:eastAsia="lt-LT"/>
              </w:rPr>
              <w:t xml:space="preserve"> </w:t>
            </w:r>
          </w:p>
          <w:p w14:paraId="6C677818" w14:textId="77777777" w:rsidR="00163902" w:rsidRPr="002051C1" w:rsidRDefault="00491197" w:rsidP="00163902">
            <w:pPr>
              <w:jc w:val="both"/>
              <w:rPr>
                <w:lang w:eastAsia="lt-LT"/>
              </w:rPr>
            </w:pPr>
            <w:r w:rsidRPr="002051C1">
              <w:rPr>
                <w:lang w:eastAsia="lt-LT"/>
              </w:rPr>
              <w:t>Įvertinus u</w:t>
            </w:r>
            <w:r w:rsidR="00163902" w:rsidRPr="002051C1">
              <w:rPr>
                <w:lang w:eastAsia="lt-LT"/>
              </w:rPr>
              <w:t>žsienio švietimo sistemų įvairov</w:t>
            </w:r>
            <w:r w:rsidRPr="002051C1">
              <w:rPr>
                <w:lang w:eastAsia="lt-LT"/>
              </w:rPr>
              <w:t>ę</w:t>
            </w:r>
            <w:r w:rsidR="00163902" w:rsidRPr="002051C1">
              <w:rPr>
                <w:lang w:eastAsia="lt-LT"/>
              </w:rPr>
              <w:t xml:space="preserve"> (vienos šalys turi brandos egzaminus, kitos turi tik metinius </w:t>
            </w:r>
            <w:proofErr w:type="spellStart"/>
            <w:r w:rsidR="00F2561F">
              <w:rPr>
                <w:lang w:eastAsia="lt-LT"/>
              </w:rPr>
              <w:t>į</w:t>
            </w:r>
            <w:r w:rsidR="00163902" w:rsidRPr="002051C1">
              <w:rPr>
                <w:lang w:eastAsia="lt-LT"/>
              </w:rPr>
              <w:t>vertinimus</w:t>
            </w:r>
            <w:proofErr w:type="spellEnd"/>
            <w:r w:rsidR="00163902" w:rsidRPr="002051C1">
              <w:rPr>
                <w:lang w:eastAsia="lt-LT"/>
              </w:rPr>
              <w:t xml:space="preserve">, taip pat skiriasi ugdymo turinys: mokomieji dalykai, jų turinys, skaičius ir vertinimas), </w:t>
            </w:r>
            <w:r w:rsidRPr="002051C1">
              <w:rPr>
                <w:lang w:eastAsia="lt-LT"/>
              </w:rPr>
              <w:t xml:space="preserve">nuspręsta, kad </w:t>
            </w:r>
            <w:r w:rsidR="00163902" w:rsidRPr="002051C1">
              <w:rPr>
                <w:lang w:eastAsia="lt-LT"/>
              </w:rPr>
              <w:t xml:space="preserve">netikslinga ir neįmanoma taikyti stojantiesiems, kurie kvalifikaciją įgijo </w:t>
            </w:r>
            <w:r w:rsidR="00163902" w:rsidRPr="002051C1">
              <w:rPr>
                <w:lang w:eastAsia="lt-LT"/>
              </w:rPr>
              <w:lastRenderedPageBreak/>
              <w:t>užsienyje</w:t>
            </w:r>
            <w:r w:rsidRPr="002051C1">
              <w:rPr>
                <w:lang w:eastAsia="lt-LT"/>
              </w:rPr>
              <w:t>, tų pačių minimalių rodiklių</w:t>
            </w:r>
            <w:r w:rsidR="00163902" w:rsidRPr="002051C1">
              <w:rPr>
                <w:lang w:eastAsia="lt-LT"/>
              </w:rPr>
              <w:t>. Užsienyje įgytos kvalifikacijos įvertinimą atlieka Studijų kokybės vertinimo centras kiekvienu atveju priimdamas individualų sprendimą.</w:t>
            </w:r>
          </w:p>
          <w:p w14:paraId="58771379" w14:textId="77777777" w:rsidR="00163902" w:rsidRPr="002051C1" w:rsidRDefault="0026670E" w:rsidP="0026670E">
            <w:pPr>
              <w:jc w:val="both"/>
              <w:rPr>
                <w:b/>
                <w:lang w:eastAsia="lt-LT"/>
              </w:rPr>
            </w:pPr>
            <w:r w:rsidRPr="002051C1">
              <w:rPr>
                <w:lang w:eastAsia="lt-LT"/>
              </w:rPr>
              <w:t>Įvertinus a</w:t>
            </w:r>
            <w:r w:rsidR="00163902" w:rsidRPr="002051C1">
              <w:rPr>
                <w:lang w:eastAsia="lt-LT"/>
              </w:rPr>
              <w:t>smen</w:t>
            </w:r>
            <w:r w:rsidRPr="002051C1">
              <w:rPr>
                <w:lang w:eastAsia="lt-LT"/>
              </w:rPr>
              <w:t>ų</w:t>
            </w:r>
            <w:r w:rsidR="00163902" w:rsidRPr="002051C1">
              <w:rPr>
                <w:lang w:eastAsia="lt-LT"/>
              </w:rPr>
              <w:t>, atleist</w:t>
            </w:r>
            <w:r w:rsidRPr="002051C1">
              <w:rPr>
                <w:lang w:eastAsia="lt-LT"/>
              </w:rPr>
              <w:t>ų</w:t>
            </w:r>
            <w:r w:rsidR="00163902" w:rsidRPr="002051C1">
              <w:rPr>
                <w:lang w:eastAsia="lt-LT"/>
              </w:rPr>
              <w:t xml:space="preserve"> nuo brandos egzaminų,</w:t>
            </w:r>
            <w:r w:rsidRPr="002051C1">
              <w:rPr>
                <w:lang w:eastAsia="lt-LT"/>
              </w:rPr>
              <w:t xml:space="preserve"> mokymosi pasiekimų vertinimo specifiką, </w:t>
            </w:r>
            <w:r w:rsidR="00163902" w:rsidRPr="002051C1">
              <w:rPr>
                <w:lang w:eastAsia="lt-LT"/>
              </w:rPr>
              <w:t xml:space="preserve">minimalūs rodikliai nustatomi tik </w:t>
            </w:r>
            <w:r w:rsidRPr="002051C1">
              <w:rPr>
                <w:lang w:eastAsia="lt-LT"/>
              </w:rPr>
              <w:t xml:space="preserve">jų turimiems </w:t>
            </w:r>
            <w:r w:rsidR="00163902" w:rsidRPr="002051C1">
              <w:rPr>
                <w:lang w:eastAsia="lt-LT"/>
              </w:rPr>
              <w:t xml:space="preserve">metiniams </w:t>
            </w:r>
            <w:proofErr w:type="spellStart"/>
            <w:r w:rsidR="00163902" w:rsidRPr="002051C1">
              <w:rPr>
                <w:lang w:eastAsia="lt-LT"/>
              </w:rPr>
              <w:t>įvertinimams</w:t>
            </w:r>
            <w:proofErr w:type="spellEnd"/>
            <w:r w:rsidR="00163902" w:rsidRPr="002051C1">
              <w:rPr>
                <w:lang w:eastAsia="lt-LT"/>
              </w:rPr>
              <w:t>.</w:t>
            </w:r>
          </w:p>
        </w:tc>
      </w:tr>
      <w:tr w:rsidR="00163902" w:rsidRPr="002051C1" w14:paraId="6E2ABD08" w14:textId="77777777" w:rsidTr="00491197">
        <w:trPr>
          <w:trHeight w:val="474"/>
        </w:trPr>
        <w:tc>
          <w:tcPr>
            <w:tcW w:w="1523" w:type="dxa"/>
            <w:vMerge/>
          </w:tcPr>
          <w:p w14:paraId="1C8962E2" w14:textId="77777777" w:rsidR="00163902" w:rsidRPr="002051C1" w:rsidRDefault="00163902" w:rsidP="00480E52">
            <w:pPr>
              <w:rPr>
                <w:b/>
              </w:rPr>
            </w:pPr>
          </w:p>
        </w:tc>
        <w:tc>
          <w:tcPr>
            <w:tcW w:w="6841" w:type="dxa"/>
          </w:tcPr>
          <w:p w14:paraId="5DA34474" w14:textId="77777777" w:rsidR="00163902" w:rsidRPr="002051C1" w:rsidRDefault="00163902" w:rsidP="00A744E8">
            <w:pPr>
              <w:tabs>
                <w:tab w:val="left" w:pos="1560"/>
              </w:tabs>
              <w:jc w:val="both"/>
            </w:pPr>
            <w:r w:rsidRPr="002051C1">
              <w:t>3.10. Lieka nepagrįsta, kodėl Mokslo ir studijų įstatymo 67 str. 4 d. nustatoma garantija tik dirbusiems pagal terminuotą sutartį mokslo darbuotojo pareigose, analogiškos garantijos nenumatant aukštųjų mokyklų dėstytojams (taip pat ir asmenims, dirbusiems pagal neterminuotą sutartį). Taip pat įvertintina galimybė siūlyti ir lygiavertes eitoms pareigas.</w:t>
            </w:r>
          </w:p>
          <w:p w14:paraId="5B85F380" w14:textId="77777777" w:rsidR="00163902" w:rsidRPr="002051C1" w:rsidRDefault="00163902" w:rsidP="00AA07D7">
            <w:pPr>
              <w:tabs>
                <w:tab w:val="left" w:pos="1418"/>
              </w:tabs>
              <w:jc w:val="both"/>
            </w:pPr>
            <w:r w:rsidRPr="002051C1">
              <w:t>Tuo pačiu atkreiptinas dėmesys į tai, kad du kartus paeiliui nurodoma formuluotė „mokslinių tyrimų instituto direktoriaus“.</w:t>
            </w:r>
          </w:p>
        </w:tc>
        <w:tc>
          <w:tcPr>
            <w:tcW w:w="5954" w:type="dxa"/>
          </w:tcPr>
          <w:p w14:paraId="3CDB5BC7" w14:textId="77777777" w:rsidR="00163902" w:rsidRPr="002051C1" w:rsidRDefault="00163902" w:rsidP="00A744E8">
            <w:pPr>
              <w:jc w:val="both"/>
              <w:rPr>
                <w:b/>
                <w:lang w:eastAsia="lt-LT"/>
              </w:rPr>
            </w:pPr>
            <w:r w:rsidRPr="002051C1">
              <w:rPr>
                <w:b/>
                <w:lang w:eastAsia="lt-LT"/>
              </w:rPr>
              <w:t>Atsižvelgta iš dalies</w:t>
            </w:r>
            <w:r w:rsidRPr="002051C1">
              <w:rPr>
                <w:lang w:eastAsia="lt-LT"/>
              </w:rPr>
              <w:t>.</w:t>
            </w:r>
          </w:p>
          <w:p w14:paraId="465CB8CF" w14:textId="77777777" w:rsidR="00163902" w:rsidRPr="002051C1" w:rsidRDefault="00163902" w:rsidP="00A744E8">
            <w:pPr>
              <w:jc w:val="both"/>
              <w:rPr>
                <w:b/>
                <w:lang w:eastAsia="lt-LT"/>
              </w:rPr>
            </w:pPr>
            <w:r w:rsidRPr="002051C1">
              <w:t>Nagrinėjama garantija nustatoma ir dirbusiems pagal terminuotą sutartį, ir dirbusiems pagal neterminuotą sutartį mokslo darbuotojo pareigose mokslinių tyrimų institutuose (dėl aiškumo paredaguota). Atsižvelgus į Lietuvos Respublikos Konstitucijoje įtvirtintą aukštųjų mokyklų autonomijos principą, garantijos aukštųjų mokyklų dėstytojams ir mokslo darbuotojams paliekamos nustatyti aukštųjų mokyklų statutuose. Pasikartojanti formuluotė išbraukta.</w:t>
            </w:r>
          </w:p>
        </w:tc>
      </w:tr>
      <w:tr w:rsidR="00163902" w:rsidRPr="002051C1" w14:paraId="3D40AE42" w14:textId="77777777" w:rsidTr="00491197">
        <w:trPr>
          <w:trHeight w:val="474"/>
        </w:trPr>
        <w:tc>
          <w:tcPr>
            <w:tcW w:w="1523" w:type="dxa"/>
            <w:vMerge/>
          </w:tcPr>
          <w:p w14:paraId="78A2C1F5" w14:textId="77777777" w:rsidR="00163902" w:rsidRPr="002051C1" w:rsidRDefault="00163902" w:rsidP="00480E52">
            <w:pPr>
              <w:rPr>
                <w:b/>
              </w:rPr>
            </w:pPr>
          </w:p>
        </w:tc>
        <w:tc>
          <w:tcPr>
            <w:tcW w:w="6841" w:type="dxa"/>
          </w:tcPr>
          <w:p w14:paraId="16F7BD22" w14:textId="77777777" w:rsidR="00163902" w:rsidRPr="002051C1" w:rsidRDefault="00163902" w:rsidP="0026670E">
            <w:pPr>
              <w:tabs>
                <w:tab w:val="left" w:pos="1560"/>
              </w:tabs>
              <w:spacing w:line="276" w:lineRule="auto"/>
              <w:jc w:val="both"/>
            </w:pPr>
            <w:r w:rsidRPr="002051C1">
              <w:t xml:space="preserve">3.12. Projekto 15 str. 3 ir 5 d. daromi Mokslo ir studijų įstatymo 59 ir 77 str. pakeitimai, palyginus su nuo 2019 m. sausio 1 d. galiojančia Mokslo ir studijų įstatymo redakcija, nereikalauja atitinkamų straipsnių dėstymo nauja redakcija ir galėtų būti apsiribojama atskirų straipsnio dalių keitimu, papildymu naujomis dalimis ar atitinkamų dalių pripažinimu netekusiomis galios. Be to, šie pakeitimai techniškai galėtų būti pilnai formuluojami kaip atskiros Projekto 10 str. ir 12 str. dalys, kurios įsigaliotų anksčiau. Visgi šie pakeitimai, Teisingumo ministerijos nuomone, negalėtų įsigalioti nuo įstatymo pasirašymo ir paskelbimo Teisės aktų registre dienos, kadangi susiję su priėmimo į aukštąsias mokyklas sąlygomis, kurios svarbios asmenims, besimokantiems pagal vidurinio ugdymo programą ir besiruošiantiems stoti į aukštąsias mokyklas, bei galėtų pažeisti pastarųjų teisėtus lūkesčius. Mokslo ir studijų įstatymo 59 str. 1 ir 5 </w:t>
            </w:r>
            <w:r w:rsidRPr="002051C1">
              <w:lastRenderedPageBreak/>
              <w:t>d. įtvirtintas privalomas išankstinis priėmimo reikalavimų skelbimas. Atsižvelgiant į tai ir įstatyminis reguliavimas, keičiantis esmines priėmimo sąlygas turėtų būti nustatomas ir įsigalioti, įvertinant, kad priėmimo į aukštąsias mokyklas reikalavimai 2019 ir 2020 m. jau turėjo būti paskelbti. Atsižvelgiant į tai, Projekto 15 str. 3 ir 5 d. daromi pakeitimai galėtų būti taikomi tik ne anksčiau kaip 2021 m. priimamų studentų atžvilgiu.</w:t>
            </w:r>
          </w:p>
        </w:tc>
        <w:tc>
          <w:tcPr>
            <w:tcW w:w="5954" w:type="dxa"/>
          </w:tcPr>
          <w:p w14:paraId="391F6ED5" w14:textId="77777777" w:rsidR="0026670E" w:rsidRPr="002051C1" w:rsidRDefault="0026670E" w:rsidP="00163902">
            <w:pPr>
              <w:jc w:val="both"/>
              <w:rPr>
                <w:lang w:eastAsia="lt-LT"/>
              </w:rPr>
            </w:pPr>
            <w:r w:rsidRPr="002051C1">
              <w:rPr>
                <w:b/>
                <w:lang w:eastAsia="lt-LT"/>
              </w:rPr>
              <w:lastRenderedPageBreak/>
              <w:t>Atsižvelgta iš dalies</w:t>
            </w:r>
            <w:r w:rsidR="00163902" w:rsidRPr="002051C1">
              <w:rPr>
                <w:lang w:eastAsia="lt-LT"/>
              </w:rPr>
              <w:t xml:space="preserve">. </w:t>
            </w:r>
          </w:p>
          <w:p w14:paraId="05EBC50A" w14:textId="77777777" w:rsidR="00163902" w:rsidRPr="002051C1" w:rsidRDefault="00163902" w:rsidP="00163902">
            <w:pPr>
              <w:jc w:val="both"/>
              <w:rPr>
                <w:lang w:eastAsia="lt-LT"/>
              </w:rPr>
            </w:pPr>
            <w:r w:rsidRPr="002051C1">
              <w:rPr>
                <w:lang w:eastAsia="lt-LT"/>
              </w:rPr>
              <w:t xml:space="preserve">59 str. keičiasi straipsnio struktūra, todėl būtina </w:t>
            </w:r>
            <w:r w:rsidR="0026670E" w:rsidRPr="002051C1">
              <w:rPr>
                <w:lang w:eastAsia="lt-LT"/>
              </w:rPr>
              <w:t xml:space="preserve">jį </w:t>
            </w:r>
            <w:r w:rsidRPr="002051C1">
              <w:rPr>
                <w:lang w:eastAsia="lt-LT"/>
              </w:rPr>
              <w:t>dėstyti nauja redakcija.</w:t>
            </w:r>
          </w:p>
          <w:p w14:paraId="40F2B413" w14:textId="77777777" w:rsidR="00163902" w:rsidRPr="002051C1" w:rsidRDefault="0026670E" w:rsidP="00163902">
            <w:pPr>
              <w:jc w:val="both"/>
              <w:rPr>
                <w:lang w:eastAsia="lt-LT"/>
              </w:rPr>
            </w:pPr>
            <w:r w:rsidRPr="002051C1">
              <w:rPr>
                <w:lang w:eastAsia="lt-LT"/>
              </w:rPr>
              <w:t>Atsižvelgta d</w:t>
            </w:r>
            <w:r w:rsidR="00163902" w:rsidRPr="002051C1">
              <w:rPr>
                <w:lang w:eastAsia="lt-LT"/>
              </w:rPr>
              <w:t>ėl nuostatų įsigaliojimo.</w:t>
            </w:r>
          </w:p>
          <w:p w14:paraId="39F31385" w14:textId="77777777" w:rsidR="00163902" w:rsidRPr="002051C1" w:rsidRDefault="00163902" w:rsidP="00A744E8">
            <w:pPr>
              <w:jc w:val="both"/>
              <w:rPr>
                <w:b/>
                <w:lang w:eastAsia="lt-LT"/>
              </w:rPr>
            </w:pPr>
          </w:p>
        </w:tc>
      </w:tr>
      <w:tr w:rsidR="00C80562" w:rsidRPr="002051C1" w14:paraId="553A1D0F" w14:textId="77777777" w:rsidTr="00491197">
        <w:trPr>
          <w:trHeight w:val="474"/>
        </w:trPr>
        <w:tc>
          <w:tcPr>
            <w:tcW w:w="1523" w:type="dxa"/>
            <w:vMerge w:val="restart"/>
          </w:tcPr>
          <w:p w14:paraId="7569E4C1" w14:textId="77777777" w:rsidR="00C80562" w:rsidRPr="002051C1" w:rsidRDefault="00C80562" w:rsidP="001315D9">
            <w:r w:rsidRPr="002051C1">
              <w:t>Lietuvos universitetų rektorių konferencija 2019-01-14 raštas Nr. 2692</w:t>
            </w:r>
          </w:p>
        </w:tc>
        <w:tc>
          <w:tcPr>
            <w:tcW w:w="6841" w:type="dxa"/>
          </w:tcPr>
          <w:p w14:paraId="7A79A497" w14:textId="77777777" w:rsidR="00C80562" w:rsidRPr="007E3549" w:rsidRDefault="00C80562" w:rsidP="001315D9">
            <w:pPr>
              <w:jc w:val="both"/>
              <w:rPr>
                <w:rFonts w:eastAsia="Arial"/>
                <w:lang w:eastAsia="lt-LT"/>
              </w:rPr>
            </w:pPr>
            <w:r w:rsidRPr="007E3549">
              <w:rPr>
                <w:rFonts w:eastAsia="Arial"/>
                <w:lang w:eastAsia="lt-LT"/>
              </w:rPr>
              <w:t>MSĮ 8 straipsnis. Aukštųjų mokyklų autonomija, atskaitomybė</w:t>
            </w:r>
          </w:p>
          <w:p w14:paraId="27AC2506" w14:textId="77777777" w:rsidR="00C80562" w:rsidRPr="007E3549" w:rsidRDefault="00C80562" w:rsidP="001315D9">
            <w:pPr>
              <w:jc w:val="both"/>
              <w:rPr>
                <w:rFonts w:eastAsia="Arial"/>
                <w:lang w:eastAsia="lt-LT"/>
              </w:rPr>
            </w:pPr>
            <w:r w:rsidRPr="007E3549">
              <w:rPr>
                <w:rFonts w:eastAsia="Arial"/>
                <w:lang w:eastAsia="lt-LT"/>
              </w:rPr>
              <w:t>5 dalis</w:t>
            </w:r>
          </w:p>
          <w:p w14:paraId="12152DE0" w14:textId="77777777" w:rsidR="00C80562" w:rsidRPr="007E3549" w:rsidRDefault="00C80562" w:rsidP="001315D9">
            <w:pPr>
              <w:jc w:val="both"/>
              <w:rPr>
                <w:rFonts w:eastAsia="Arial"/>
                <w:lang w:eastAsia="lt-LT"/>
              </w:rPr>
            </w:pPr>
            <w:r w:rsidRPr="007E3549">
              <w:rPr>
                <w:rFonts w:eastAsia="Arial"/>
                <w:lang w:eastAsia="lt-LT"/>
              </w:rPr>
              <w:t xml:space="preserve">Siūlomą 5 punkto papildymą dėl aukštosios mokyklos valdomo turto apimčių ir naudojimo rodiklių nėra būtina įtvirtinti įstatyme, kadangi tame pačiame punkte yra numatoma, kad Švietimo ir mokslo ministras gali nustatyti ir kitus duomenis, kurie skelbiami metinėje veiklos ataskaitoje. </w:t>
            </w:r>
          </w:p>
          <w:p w14:paraId="518DA3EB" w14:textId="77777777" w:rsidR="00C80562" w:rsidRPr="007E3549" w:rsidRDefault="00C80562" w:rsidP="001315D9">
            <w:pPr>
              <w:jc w:val="both"/>
              <w:rPr>
                <w:rFonts w:eastAsia="Arial"/>
                <w:lang w:eastAsia="lt-LT"/>
              </w:rPr>
            </w:pPr>
            <w:r w:rsidRPr="007E3549">
              <w:rPr>
                <w:rFonts w:eastAsia="Arial"/>
                <w:lang w:eastAsia="lt-LT"/>
              </w:rPr>
              <w:t>Siūloma į įstatymą įtraukti tik tuos papildomus duomenis ir informaciją, kurie privalomi ir pagal kitus teisės aktus t. y.: „Valstybinių aukštųjų mokyklų metinėse veiklos ataskaitose papildomai turi būti pateikti duomenys apie aukštosios mokyklos valdomą nekilnojamąjį turtą: nuosavą ir valstybės (plotas kv. m), aukštosios mokyklos valdomą finansinį turtą (akcijos ar dalininko įnašai). Valstybinės aukštosios mokyklos turi viešai paskelbti metines pajamų ir išlaidų sąmatas ir jų įvykdymo ataskaitas.“</w:t>
            </w:r>
          </w:p>
          <w:p w14:paraId="41D65B64" w14:textId="77777777" w:rsidR="00C80562" w:rsidRPr="007E3549" w:rsidRDefault="00C80562" w:rsidP="001315D9">
            <w:pPr>
              <w:jc w:val="both"/>
              <w:rPr>
                <w:lang w:eastAsia="lt-LT"/>
              </w:rPr>
            </w:pPr>
            <w:r w:rsidRPr="007E3549">
              <w:rPr>
                <w:rFonts w:eastAsia="Arial"/>
                <w:lang w:eastAsia="lt-LT"/>
              </w:rPr>
              <w:t>Įpareigojimą į aukštosios mokyklos metinę veiklos ataskaitą įtraukti informaciją apie valdomą nekilnojamąjį turtą bei jo naudojimo sąnaudas siūloma įtvirtinti ministro įsakymu, kuriame būtų detalizuotos sąvokos ir nustatymo metodai dėl turto būklės pokyčių bei veiklos ir turto valdymo rizikų.</w:t>
            </w:r>
          </w:p>
        </w:tc>
        <w:tc>
          <w:tcPr>
            <w:tcW w:w="5954" w:type="dxa"/>
          </w:tcPr>
          <w:p w14:paraId="577CF02E" w14:textId="77777777" w:rsidR="00C80562" w:rsidRPr="007E3549" w:rsidRDefault="00C80562" w:rsidP="001315D9">
            <w:pPr>
              <w:jc w:val="both"/>
              <w:rPr>
                <w:rFonts w:eastAsia="Arial"/>
                <w:lang w:eastAsia="lt-LT"/>
              </w:rPr>
            </w:pPr>
            <w:r w:rsidRPr="007E3549">
              <w:rPr>
                <w:rFonts w:eastAsia="Arial"/>
                <w:b/>
                <w:lang w:eastAsia="lt-LT"/>
              </w:rPr>
              <w:t>Atsižvelgta iš dalies</w:t>
            </w:r>
            <w:r w:rsidRPr="007E3549">
              <w:rPr>
                <w:rFonts w:eastAsia="Arial"/>
                <w:lang w:eastAsia="lt-LT"/>
              </w:rPr>
              <w:t>.</w:t>
            </w:r>
          </w:p>
          <w:p w14:paraId="60990890" w14:textId="573A1D37" w:rsidR="00C80562" w:rsidRPr="007E3549" w:rsidRDefault="006A0787" w:rsidP="001B3E80">
            <w:pPr>
              <w:jc w:val="both"/>
              <w:rPr>
                <w:rFonts w:eastAsia="Arial"/>
                <w:lang w:eastAsia="lt-LT"/>
              </w:rPr>
            </w:pPr>
            <w:r w:rsidRPr="007E3549">
              <w:rPr>
                <w:rFonts w:eastAsia="Arial"/>
                <w:lang w:eastAsia="lt-LT"/>
              </w:rPr>
              <w:t>Paaiškiname, kad</w:t>
            </w:r>
            <w:r w:rsidR="00C80562" w:rsidRPr="007E3549">
              <w:rPr>
                <w:rFonts w:eastAsia="Arial"/>
                <w:lang w:eastAsia="lt-LT"/>
              </w:rPr>
              <w:t xml:space="preserve"> siekiant išvengti perteklinio informacijos pateikimo, nereikia nurodyti siūlomos LURK informacijos, nes ji turi būti pateikiama aukštosios mokyklos metinėje veiklos ataskaitoje pagal Viešojo sektoriaus atskaitomybės įstatymo ir Viešųjų įstaigų įstatymo reikalavimus. </w:t>
            </w:r>
          </w:p>
          <w:p w14:paraId="69EA5B3F" w14:textId="77777777" w:rsidR="000A63AD" w:rsidRPr="007E3549" w:rsidRDefault="000A63AD" w:rsidP="001B3E80">
            <w:pPr>
              <w:jc w:val="both"/>
              <w:rPr>
                <w:rFonts w:eastAsia="Arial"/>
                <w:lang w:eastAsia="lt-LT"/>
              </w:rPr>
            </w:pPr>
          </w:p>
          <w:p w14:paraId="5EBB5F0B" w14:textId="63F9C1ED" w:rsidR="000A63AD" w:rsidRPr="007E3549" w:rsidRDefault="000A63AD" w:rsidP="001B3E80">
            <w:pPr>
              <w:jc w:val="both"/>
              <w:rPr>
                <w:rFonts w:eastAsia="Arial"/>
                <w:lang w:eastAsia="lt-LT"/>
              </w:rPr>
            </w:pPr>
          </w:p>
        </w:tc>
      </w:tr>
      <w:tr w:rsidR="00C80562" w:rsidRPr="002051C1" w14:paraId="2F534A40" w14:textId="77777777" w:rsidTr="00491197">
        <w:trPr>
          <w:trHeight w:val="1125"/>
        </w:trPr>
        <w:tc>
          <w:tcPr>
            <w:tcW w:w="1523" w:type="dxa"/>
            <w:vMerge/>
          </w:tcPr>
          <w:p w14:paraId="3179B027" w14:textId="77777777" w:rsidR="00C80562" w:rsidRPr="002051C1" w:rsidRDefault="00C80562" w:rsidP="00FC6504"/>
        </w:tc>
        <w:tc>
          <w:tcPr>
            <w:tcW w:w="6841" w:type="dxa"/>
          </w:tcPr>
          <w:p w14:paraId="24678AA2" w14:textId="77777777" w:rsidR="00C80562" w:rsidRPr="007E3549" w:rsidRDefault="00C80562" w:rsidP="001315D9">
            <w:pPr>
              <w:jc w:val="both"/>
              <w:rPr>
                <w:lang w:eastAsia="lt-LT"/>
              </w:rPr>
            </w:pPr>
            <w:r w:rsidRPr="007E3549">
              <w:t>14 straipsnis. 87 straipsnio pakeitimas</w:t>
            </w:r>
          </w:p>
          <w:p w14:paraId="333E20C0" w14:textId="77777777" w:rsidR="00C80562" w:rsidRPr="007E3549" w:rsidRDefault="00C80562" w:rsidP="001315D9">
            <w:pPr>
              <w:ind w:firstLine="41"/>
              <w:jc w:val="both"/>
            </w:pPr>
            <w:r w:rsidRPr="007E3549">
              <w:t>Atsižvelgiant į tai, kad kai kurios aukštosios mokyklos disponuoja ir biologiniu turtu, siūloma papildyti turto rūšis, įtraukiant ir biologinį turtą:</w:t>
            </w:r>
          </w:p>
          <w:p w14:paraId="717B2C8E" w14:textId="77777777" w:rsidR="00C80562" w:rsidRPr="007E3549" w:rsidRDefault="00C80562" w:rsidP="001315D9">
            <w:pPr>
              <w:jc w:val="both"/>
              <w:rPr>
                <w:lang w:eastAsia="lt-LT"/>
              </w:rPr>
            </w:pPr>
            <w:r w:rsidRPr="007E3549">
              <w:rPr>
                <w:lang w:eastAsia="lt-LT"/>
              </w:rPr>
              <w:lastRenderedPageBreak/>
              <w:t>„1. Valstybė jai nuosavybės teise priklausantį trumpalaikį materialųjį turtą, ilgalaikį materialųjį turtą, biologinį ir nematerialųjį turtą Vyriausybės nustatyta tvarka gali perduoti valstybinėms aukštosioms mokykloms patikėjimo teise pagal patikėjimo sutartį.“</w:t>
            </w:r>
          </w:p>
          <w:p w14:paraId="1D693661" w14:textId="77777777" w:rsidR="00C80562" w:rsidRPr="007E3549" w:rsidRDefault="00C80562" w:rsidP="001315D9">
            <w:pPr>
              <w:jc w:val="both"/>
              <w:rPr>
                <w:rFonts w:eastAsia="Arial"/>
                <w:lang w:eastAsia="lt-LT"/>
              </w:rPr>
            </w:pPr>
          </w:p>
        </w:tc>
        <w:tc>
          <w:tcPr>
            <w:tcW w:w="5954" w:type="dxa"/>
          </w:tcPr>
          <w:p w14:paraId="6857E534" w14:textId="77777777" w:rsidR="00C80562" w:rsidRPr="007E3549" w:rsidRDefault="00C80562" w:rsidP="001315D9">
            <w:pPr>
              <w:jc w:val="both"/>
            </w:pPr>
            <w:r w:rsidRPr="007E3549">
              <w:rPr>
                <w:b/>
              </w:rPr>
              <w:lastRenderedPageBreak/>
              <w:t>Neatsižvelgta</w:t>
            </w:r>
            <w:r w:rsidRPr="007E3549">
              <w:t>.</w:t>
            </w:r>
          </w:p>
          <w:p w14:paraId="0F00DE0D" w14:textId="1C23B4A0" w:rsidR="00C80562" w:rsidRPr="007E3549" w:rsidRDefault="00C80562" w:rsidP="007E3549">
            <w:pPr>
              <w:jc w:val="both"/>
              <w:rPr>
                <w:rFonts w:eastAsia="Arial"/>
                <w:b/>
                <w:lang w:eastAsia="lt-LT"/>
              </w:rPr>
            </w:pPr>
            <w:r w:rsidRPr="007E3549">
              <w:t xml:space="preserve">Atsižvelgę į tai, kad Lietuvos Respublikos valstybės ir savivaldybių turto valdymo, naudojimo ir disponavimo juo įstatymo 2 straipsnio 6 dalyje, 3 straipsnyje nustatyta </w:t>
            </w:r>
            <w:r w:rsidRPr="007E3549">
              <w:lastRenderedPageBreak/>
              <w:t>platesnė valstybės turto objektų apimtis šio įstatymo 10 straipsnio  kontekste  dėl valstybės turto valdymo, naudojimo ir disponavimo juo patikėjimo teisės, manome, jog netikslinga Projekte atskirai vardyti kiekvieną galimų perduoti valstybinėms aukštosioms mokykloms patikėjimo teisės objektų rūšį.</w:t>
            </w:r>
            <w:r w:rsidR="000A63AD" w:rsidRPr="007E3549">
              <w:t xml:space="preserve">  </w:t>
            </w:r>
          </w:p>
        </w:tc>
      </w:tr>
      <w:tr w:rsidR="00C80562" w:rsidRPr="002051C1" w14:paraId="33426537" w14:textId="77777777" w:rsidTr="00491197">
        <w:trPr>
          <w:trHeight w:val="474"/>
        </w:trPr>
        <w:tc>
          <w:tcPr>
            <w:tcW w:w="1523" w:type="dxa"/>
            <w:vMerge/>
          </w:tcPr>
          <w:p w14:paraId="29545590" w14:textId="77777777" w:rsidR="00C80562" w:rsidRPr="002051C1" w:rsidRDefault="00C80562" w:rsidP="00FC6504"/>
        </w:tc>
        <w:tc>
          <w:tcPr>
            <w:tcW w:w="6841" w:type="dxa"/>
          </w:tcPr>
          <w:p w14:paraId="236346C3" w14:textId="77777777" w:rsidR="00C80562" w:rsidRPr="002051C1" w:rsidRDefault="00C80562" w:rsidP="001315D9">
            <w:pPr>
              <w:jc w:val="both"/>
            </w:pPr>
            <w:r w:rsidRPr="002051C1">
              <w:t>Siūloma papildyti 48 straipsnį nauja dalimi ir ją išdėstyti taip:</w:t>
            </w:r>
          </w:p>
          <w:p w14:paraId="329E6B53" w14:textId="77777777" w:rsidR="00C80562" w:rsidRPr="002051C1" w:rsidRDefault="00C80562" w:rsidP="001315D9">
            <w:pPr>
              <w:jc w:val="both"/>
              <w:rPr>
                <w:b/>
              </w:rPr>
            </w:pPr>
            <w:r w:rsidRPr="002051C1">
              <w:t>„8. Lietuvos aukštųjų mokyklų kartu su užsienio aukštosiomis mokyklomis vykdomos jungtinės studi</w:t>
            </w:r>
            <w:r w:rsidRPr="002051C1">
              <w:softHyphen/>
              <w:t>jų programos gali būti vertinamos ir akredituojamos, vadovaujantis Europos jungtinių studijų programų kokybės užtikrinimo samprata arba švietimo ir moks</w:t>
            </w:r>
            <w:r w:rsidRPr="002051C1">
              <w:softHyphen/>
              <w:t>lo ministro nustatyta tvarka. Jungtinių studijų progra</w:t>
            </w:r>
            <w:r w:rsidRPr="002051C1">
              <w:softHyphen/>
              <w:t>mų vertinimą atlieka Studijų kokybės vertinimo centras arba programas vykdančių aukštųjų mokyklų pasirinkta kita aukštojo mokslo kokybės užtikrinimo agentūra, įtraukta į Europos aukštojo mokslo kokybės užtikrinimo agentūrų registrą, arba agentūra, kuri yra tikroji Europos aukštojo mokslo kokybės užtikrinimo agentūrų asociacijos narė. Jungtinės studijų progra</w:t>
            </w:r>
            <w:r w:rsidRPr="002051C1">
              <w:softHyphen/>
              <w:t>mos, jeigu jos įvertintos, vadovaujantis Europos jungtinių studijų programų kokybės užtikrinimo samprata, Studijų kokybės vertinimo centro akredituojamos ne rečiau kaip kartą per 6 metus.“</w:t>
            </w:r>
          </w:p>
        </w:tc>
        <w:tc>
          <w:tcPr>
            <w:tcW w:w="5954" w:type="dxa"/>
          </w:tcPr>
          <w:p w14:paraId="028829BF" w14:textId="77777777" w:rsidR="00C80562" w:rsidRPr="002051C1" w:rsidRDefault="00C80562" w:rsidP="001315D9">
            <w:pPr>
              <w:jc w:val="both"/>
              <w:rPr>
                <w:b/>
              </w:rPr>
            </w:pPr>
            <w:r w:rsidRPr="002051C1">
              <w:rPr>
                <w:b/>
              </w:rPr>
              <w:t>Neatsižvelgta</w:t>
            </w:r>
            <w:r w:rsidRPr="002051C1">
              <w:t>.</w:t>
            </w:r>
          </w:p>
          <w:p w14:paraId="3CB628A7" w14:textId="77777777" w:rsidR="00C80562" w:rsidRPr="002051C1" w:rsidRDefault="00C80562" w:rsidP="00325422">
            <w:pPr>
              <w:jc w:val="both"/>
              <w:rPr>
                <w:b/>
              </w:rPr>
            </w:pPr>
            <w:r w:rsidRPr="002051C1">
              <w:t>Atsižvelgus į tai, kad 48 straipsnio 5 dalyje nustatyta, jog</w:t>
            </w:r>
            <w:r w:rsidRPr="002051C1">
              <w:rPr>
                <w:rFonts w:eastAsia="Arial"/>
                <w:lang w:eastAsia="lt-LT"/>
              </w:rPr>
              <w:t xml:space="preserve"> studijų išorinio vertinimo ir akreditavimo tvarkos aprašą, vertinamąsias sritis ir rodiklius tvirtina švietimo,  mokslo ir sporto ministras, manytina, kad jungtinių studijų programų vertinimo principai turi būti aprašo dalis.</w:t>
            </w:r>
          </w:p>
        </w:tc>
      </w:tr>
      <w:tr w:rsidR="00C80562" w:rsidRPr="002051C1" w14:paraId="30D4126C" w14:textId="77777777" w:rsidTr="00491197">
        <w:trPr>
          <w:trHeight w:val="474"/>
        </w:trPr>
        <w:tc>
          <w:tcPr>
            <w:tcW w:w="1523" w:type="dxa"/>
            <w:vMerge/>
          </w:tcPr>
          <w:p w14:paraId="1531B198" w14:textId="77777777" w:rsidR="00C80562" w:rsidRPr="002051C1" w:rsidRDefault="00C80562" w:rsidP="00FC6504"/>
        </w:tc>
        <w:tc>
          <w:tcPr>
            <w:tcW w:w="6841" w:type="dxa"/>
          </w:tcPr>
          <w:p w14:paraId="2E76DA0E" w14:textId="77777777" w:rsidR="00C80562" w:rsidRPr="002051C1" w:rsidRDefault="00C80562" w:rsidP="00527E63">
            <w:pPr>
              <w:jc w:val="both"/>
            </w:pPr>
            <w:r w:rsidRPr="002051C1">
              <w:t>Siūloma 59 straipsnio 1 dalį išdėstyti tokia redakcija:</w:t>
            </w:r>
          </w:p>
          <w:p w14:paraId="209809A7" w14:textId="77777777" w:rsidR="00C80562" w:rsidRPr="002051C1" w:rsidRDefault="00C80562" w:rsidP="0026670E">
            <w:pPr>
              <w:jc w:val="both"/>
            </w:pPr>
            <w:r w:rsidRPr="002051C1">
              <w:t xml:space="preserve">„1. Į aukštosios mokyklos pirmosios pakopos ir vientisąsias studijas konkurso būdu priimami asmenys, turintys ne žemesnį kaip vidurinį išsilavinimą ir atitinkantys aukštosios </w:t>
            </w:r>
            <w:r w:rsidRPr="002051C1">
              <w:rPr>
                <w:color w:val="000000" w:themeColor="text1"/>
              </w:rPr>
              <w:t xml:space="preserve">mokyklos ne vėliau kaip prieš du metus iki priėmimo pradžios nustatytus reikalavimus brandos </w:t>
            </w:r>
            <w:r w:rsidRPr="002051C1">
              <w:t xml:space="preserve">atestato </w:t>
            </w:r>
            <w:proofErr w:type="spellStart"/>
            <w:r w:rsidRPr="002051C1">
              <w:t>įvertinimams</w:t>
            </w:r>
            <w:proofErr w:type="spellEnd"/>
            <w:r w:rsidRPr="002051C1">
              <w:t>, kurie turi būti ne žemesnio negu pakankamo pasiekimų lygio, apibrėžto Švietimo įstatyme.</w:t>
            </w:r>
          </w:p>
        </w:tc>
        <w:tc>
          <w:tcPr>
            <w:tcW w:w="5954" w:type="dxa"/>
          </w:tcPr>
          <w:p w14:paraId="03B718D9" w14:textId="77777777" w:rsidR="00C80562" w:rsidRPr="002051C1" w:rsidRDefault="00C80562" w:rsidP="00527E63">
            <w:pPr>
              <w:jc w:val="both"/>
            </w:pPr>
            <w:r w:rsidRPr="002051C1">
              <w:rPr>
                <w:b/>
              </w:rPr>
              <w:t>Atsižvelgta iš dalies</w:t>
            </w:r>
            <w:r w:rsidRPr="002051C1">
              <w:t>.</w:t>
            </w:r>
          </w:p>
          <w:p w14:paraId="2240F3C2" w14:textId="77777777" w:rsidR="00C80562" w:rsidRPr="002051C1" w:rsidRDefault="00C80562" w:rsidP="00527E63">
            <w:pPr>
              <w:jc w:val="both"/>
              <w:rPr>
                <w:b/>
              </w:rPr>
            </w:pPr>
            <w:r w:rsidRPr="002051C1">
              <w:t>Būtinų išlaikyti brandos egzaminų skaičius sumažintas iki trijų, iš kurių du įvardyti kaip konkretūs (lietuvių k, ir literatūra ir matematika), o trečias – laisvai pasirenkamas stojančiojo.</w:t>
            </w:r>
          </w:p>
        </w:tc>
      </w:tr>
      <w:tr w:rsidR="00C80562" w:rsidRPr="002051C1" w14:paraId="7EBD6E59" w14:textId="77777777" w:rsidTr="00491197">
        <w:trPr>
          <w:trHeight w:val="474"/>
        </w:trPr>
        <w:tc>
          <w:tcPr>
            <w:tcW w:w="1523" w:type="dxa"/>
            <w:vMerge/>
          </w:tcPr>
          <w:p w14:paraId="52D394DF" w14:textId="77777777" w:rsidR="00C80562" w:rsidRPr="002051C1" w:rsidRDefault="00C80562" w:rsidP="00FC6504"/>
        </w:tc>
        <w:tc>
          <w:tcPr>
            <w:tcW w:w="6841" w:type="dxa"/>
          </w:tcPr>
          <w:p w14:paraId="1A030E79" w14:textId="77777777" w:rsidR="00C80562" w:rsidRPr="002051C1" w:rsidRDefault="00C80562" w:rsidP="00527E63">
            <w:r w:rsidRPr="002051C1">
              <w:t>Siūloma 59 straip</w:t>
            </w:r>
            <w:r w:rsidR="002B6941" w:rsidRPr="002051C1">
              <w:t>s</w:t>
            </w:r>
            <w:r w:rsidRPr="002051C1">
              <w:t>nio 2 dalį naikinti, siejant su teikiamu 59 str. 1 d. siūlymu.</w:t>
            </w:r>
          </w:p>
          <w:p w14:paraId="024EFB2C" w14:textId="77777777" w:rsidR="00C80562" w:rsidRPr="002051C1" w:rsidRDefault="00C80562" w:rsidP="00527E63">
            <w:pPr>
              <w:jc w:val="both"/>
            </w:pPr>
          </w:p>
        </w:tc>
        <w:tc>
          <w:tcPr>
            <w:tcW w:w="5954" w:type="dxa"/>
          </w:tcPr>
          <w:p w14:paraId="2B0677D7" w14:textId="77777777" w:rsidR="00C80562" w:rsidRPr="002051C1" w:rsidRDefault="00C80562" w:rsidP="00527E63">
            <w:pPr>
              <w:jc w:val="both"/>
            </w:pPr>
            <w:r w:rsidRPr="002051C1">
              <w:rPr>
                <w:b/>
              </w:rPr>
              <w:t>Neatsižvelgta</w:t>
            </w:r>
            <w:r w:rsidRPr="002051C1">
              <w:t xml:space="preserve">. </w:t>
            </w:r>
          </w:p>
          <w:p w14:paraId="32303712" w14:textId="77777777" w:rsidR="00C80562" w:rsidRPr="002051C1" w:rsidRDefault="00C80562" w:rsidP="00527E63">
            <w:pPr>
              <w:jc w:val="both"/>
              <w:rPr>
                <w:b/>
              </w:rPr>
            </w:pPr>
            <w:r w:rsidRPr="002051C1">
              <w:t>Kadangi išlieka minimalūs reikalavimai, turi išlikti ir jų taikymo išimtys.</w:t>
            </w:r>
          </w:p>
        </w:tc>
      </w:tr>
      <w:tr w:rsidR="00C80562" w:rsidRPr="002051C1" w14:paraId="16A65D22" w14:textId="77777777" w:rsidTr="00491197">
        <w:trPr>
          <w:trHeight w:val="474"/>
        </w:trPr>
        <w:tc>
          <w:tcPr>
            <w:tcW w:w="1523" w:type="dxa"/>
            <w:vMerge/>
          </w:tcPr>
          <w:p w14:paraId="443F511B" w14:textId="77777777" w:rsidR="00C80562" w:rsidRPr="002051C1" w:rsidRDefault="00C80562" w:rsidP="00FC6504"/>
        </w:tc>
        <w:tc>
          <w:tcPr>
            <w:tcW w:w="6841" w:type="dxa"/>
          </w:tcPr>
          <w:p w14:paraId="4C174D8D" w14:textId="77777777" w:rsidR="00C80562" w:rsidRPr="002051C1" w:rsidRDefault="00C80562" w:rsidP="00527E63">
            <w:pPr>
              <w:jc w:val="both"/>
            </w:pPr>
            <w:r w:rsidRPr="002051C1">
              <w:t xml:space="preserve">Siejant su teikiamu 59 str. 1 d. pakeitimu, siūloma naikinti 4 d. nuostatą: </w:t>
            </w:r>
          </w:p>
          <w:p w14:paraId="350704C6" w14:textId="77777777" w:rsidR="00C80562" w:rsidRPr="002051C1" w:rsidRDefault="00C80562" w:rsidP="00527E63">
            <w:pPr>
              <w:jc w:val="both"/>
            </w:pPr>
            <w:r w:rsidRPr="002051C1">
              <w:t>„Mažiausią stojamąjį konkursinį balą aukštosios mokyklos skelbia kiekvienais metais ne vėliau kaip iki birželio 1 dienos.“</w:t>
            </w:r>
          </w:p>
          <w:p w14:paraId="694EDEA4" w14:textId="77777777" w:rsidR="00C80562" w:rsidRPr="002051C1" w:rsidRDefault="00C80562" w:rsidP="00527E63">
            <w:pPr>
              <w:rPr>
                <w:b/>
              </w:rPr>
            </w:pPr>
          </w:p>
        </w:tc>
        <w:tc>
          <w:tcPr>
            <w:tcW w:w="5954" w:type="dxa"/>
          </w:tcPr>
          <w:p w14:paraId="11C03B0F" w14:textId="77777777" w:rsidR="00C80562" w:rsidRPr="002051C1" w:rsidRDefault="00C80562" w:rsidP="00527E63">
            <w:pPr>
              <w:jc w:val="both"/>
              <w:rPr>
                <w:b/>
              </w:rPr>
            </w:pPr>
            <w:r w:rsidRPr="002051C1">
              <w:rPr>
                <w:b/>
              </w:rPr>
              <w:t>Neatsižvelgta</w:t>
            </w:r>
            <w:r w:rsidRPr="002051C1">
              <w:t>. Kadangi 59 str. 1 d. nustatyti minimalūs rodikliai taikomi tik einamųjų metų abiturientams, siekiant lygių konkurencinių sąlygų einamųjų metų abiturientams ir ankstesnių metų stojantiesiems, būtina nustatyti mažiausią stojamąjį konkursinį balą, kuris taikomas nepriklausomai nuo to, kuriais metais įgytas vidurinis išsilavinimas.</w:t>
            </w:r>
          </w:p>
        </w:tc>
      </w:tr>
      <w:tr w:rsidR="00C80562" w:rsidRPr="002051C1" w14:paraId="27D3EF68" w14:textId="77777777" w:rsidTr="00491197">
        <w:trPr>
          <w:trHeight w:val="474"/>
        </w:trPr>
        <w:tc>
          <w:tcPr>
            <w:tcW w:w="1523" w:type="dxa"/>
            <w:vMerge/>
          </w:tcPr>
          <w:p w14:paraId="074F9B0D" w14:textId="77777777" w:rsidR="00C80562" w:rsidRPr="002051C1" w:rsidRDefault="00C80562" w:rsidP="00FC6504"/>
        </w:tc>
        <w:tc>
          <w:tcPr>
            <w:tcW w:w="6841" w:type="dxa"/>
          </w:tcPr>
          <w:p w14:paraId="13FBEFF5" w14:textId="77777777" w:rsidR="00C80562" w:rsidRPr="002051C1" w:rsidRDefault="00C80562" w:rsidP="00527E63">
            <w:pPr>
              <w:jc w:val="both"/>
            </w:pPr>
            <w:r w:rsidRPr="002051C1">
              <w:t>Siūloma naikinti „studijų formas“ kaip perteklinę nuostatą, kuri reglamentuojama MSĮ.</w:t>
            </w:r>
          </w:p>
          <w:p w14:paraId="43314041" w14:textId="77777777" w:rsidR="00C80562" w:rsidRPr="002051C1" w:rsidRDefault="00C80562" w:rsidP="00527E63">
            <w:pPr>
              <w:rPr>
                <w:b/>
              </w:rPr>
            </w:pPr>
          </w:p>
        </w:tc>
        <w:tc>
          <w:tcPr>
            <w:tcW w:w="5954" w:type="dxa"/>
          </w:tcPr>
          <w:p w14:paraId="537AC492" w14:textId="77777777" w:rsidR="00C80562" w:rsidRPr="002051C1" w:rsidRDefault="00C80562" w:rsidP="00527E63">
            <w:pPr>
              <w:jc w:val="both"/>
              <w:rPr>
                <w:b/>
              </w:rPr>
            </w:pPr>
            <w:r w:rsidRPr="002051C1">
              <w:rPr>
                <w:b/>
              </w:rPr>
              <w:t>Neatsižvelgta</w:t>
            </w:r>
            <w:r w:rsidRPr="002051C1">
              <w:t>. Siekiant efektyvaus studijų proceso, būtina nustatyti minimalų studijų vietų skaičių studijų programoje ir pagal studijų formas, nes studijos įvairiomis formomis vyksta atskirais mažesniais srautais, ir netenkinant nustatyto rentabilumo, studijų procesas tampa neefektyvus.</w:t>
            </w:r>
          </w:p>
        </w:tc>
      </w:tr>
      <w:tr w:rsidR="00C80562" w:rsidRPr="002051C1" w14:paraId="7C7CBEF8" w14:textId="77777777" w:rsidTr="00491197">
        <w:trPr>
          <w:trHeight w:val="474"/>
        </w:trPr>
        <w:tc>
          <w:tcPr>
            <w:tcW w:w="1523" w:type="dxa"/>
            <w:vMerge/>
          </w:tcPr>
          <w:p w14:paraId="08941E82" w14:textId="77777777" w:rsidR="00C80562" w:rsidRPr="002051C1" w:rsidRDefault="00C80562" w:rsidP="00FC6504"/>
        </w:tc>
        <w:tc>
          <w:tcPr>
            <w:tcW w:w="6841" w:type="dxa"/>
          </w:tcPr>
          <w:p w14:paraId="35631DC5" w14:textId="77777777" w:rsidR="00C80562" w:rsidRPr="002051C1" w:rsidRDefault="00C80562" w:rsidP="0026670E">
            <w:pPr>
              <w:jc w:val="both"/>
              <w:rPr>
                <w:b/>
              </w:rPr>
            </w:pPr>
            <w:r w:rsidRPr="002051C1">
              <w:t>Siūloma naikinti „ir studijų formą (formas) bei jo užfiksavimo datą (datas)“ ir kaip perteklinę nuostatą, kuri reglamentuojama MSĮ.</w:t>
            </w:r>
          </w:p>
        </w:tc>
        <w:tc>
          <w:tcPr>
            <w:tcW w:w="5954" w:type="dxa"/>
          </w:tcPr>
          <w:p w14:paraId="3679DF6A" w14:textId="77777777" w:rsidR="00C80562" w:rsidRPr="002051C1" w:rsidRDefault="00C80562" w:rsidP="00527E63">
            <w:pPr>
              <w:jc w:val="both"/>
              <w:rPr>
                <w:b/>
              </w:rPr>
            </w:pPr>
            <w:r w:rsidRPr="002051C1">
              <w:rPr>
                <w:b/>
              </w:rPr>
              <w:t>Neatsižvelgta</w:t>
            </w:r>
            <w:r w:rsidRPr="002051C1">
              <w:t>. Tas pats argumentas.</w:t>
            </w:r>
          </w:p>
        </w:tc>
      </w:tr>
      <w:tr w:rsidR="00D74236" w:rsidRPr="002051C1" w14:paraId="464E1C94" w14:textId="77777777" w:rsidTr="0026670E">
        <w:trPr>
          <w:trHeight w:val="841"/>
        </w:trPr>
        <w:tc>
          <w:tcPr>
            <w:tcW w:w="1523" w:type="dxa"/>
          </w:tcPr>
          <w:p w14:paraId="58B72BA6" w14:textId="77777777" w:rsidR="00D74236" w:rsidRPr="002051C1" w:rsidRDefault="00D74236" w:rsidP="00A02D67">
            <w:r w:rsidRPr="002051C1">
              <w:t xml:space="preserve">Lietuvos mokslo tarybos 2018-01-15 raštas </w:t>
            </w:r>
          </w:p>
          <w:p w14:paraId="06126D61" w14:textId="77777777" w:rsidR="00D74236" w:rsidRPr="002051C1" w:rsidRDefault="00D74236" w:rsidP="00A02D67">
            <w:r w:rsidRPr="002051C1">
              <w:t>Nr. R-360</w:t>
            </w:r>
          </w:p>
          <w:p w14:paraId="0BFACF33" w14:textId="77777777" w:rsidR="00D74236" w:rsidRPr="002051C1" w:rsidRDefault="00D74236" w:rsidP="00A02D67"/>
        </w:tc>
        <w:tc>
          <w:tcPr>
            <w:tcW w:w="6841" w:type="dxa"/>
          </w:tcPr>
          <w:p w14:paraId="2FEB8A68" w14:textId="77777777" w:rsidR="00D74236" w:rsidRPr="002051C1" w:rsidRDefault="00D74236" w:rsidP="00A02D67">
            <w:pPr>
              <w:jc w:val="both"/>
            </w:pPr>
            <w:r w:rsidRPr="002051C1">
              <w:t>1. Mokslo ir studijų įstatymo pirmasis skirsnis „Mokslo ir studijų politikos formavimas ir įgyvendinimas“ nustato mokslo ir studijų politiką įgyvendinančių institucijų funkcijas.</w:t>
            </w:r>
          </w:p>
          <w:p w14:paraId="7A297811" w14:textId="77777777" w:rsidR="00D74236" w:rsidRPr="002051C1" w:rsidRDefault="00D74236" w:rsidP="00A02D67">
            <w:pPr>
              <w:jc w:val="both"/>
            </w:pPr>
            <w:r w:rsidRPr="002051C1">
              <w:rPr>
                <w:bCs/>
              </w:rPr>
              <w:t xml:space="preserve">Manome, kad VšĮ </w:t>
            </w:r>
            <w:r w:rsidRPr="002051C1">
              <w:t>„Mokslo ir inovacijų sklaidos centras“ nėra mokslo ir studijų politiką įgyvendinanti institucija.</w:t>
            </w:r>
          </w:p>
          <w:p w14:paraId="23F01E89" w14:textId="77777777" w:rsidR="00D74236" w:rsidRPr="002051C1" w:rsidRDefault="00D74236" w:rsidP="00A02D67">
            <w:pPr>
              <w:jc w:val="both"/>
            </w:pPr>
            <w:r w:rsidRPr="002051C1">
              <w:t xml:space="preserve">Vadovaujantis </w:t>
            </w:r>
            <w:r w:rsidRPr="002051C1">
              <w:rPr>
                <w:bCs/>
              </w:rPr>
              <w:t xml:space="preserve"> VšĮ</w:t>
            </w:r>
            <w:r w:rsidRPr="002051C1">
              <w:t xml:space="preserve"> „Mokslo ir inovacijų sklaidos centras“ (toliau – Centras) įstatais, patvirtintais </w:t>
            </w:r>
            <w:hyperlink r:id="rId8" w:history="1">
              <w:r w:rsidRPr="002051C1">
                <w:rPr>
                  <w:rStyle w:val="Hipersaitas"/>
                  <w:color w:val="auto"/>
                  <w:u w:val="none"/>
                </w:rPr>
                <w:t>Lietuvos Respublikos švietimo ir mokslo ministro 2018 m. rugsėjo 6 d. įsakymu Nr. V-729 „Dėl Mokslo ir inovacijų sklaidos centro įstatų patvirtinimo“</w:t>
              </w:r>
            </w:hyperlink>
            <w:r w:rsidRPr="002051C1">
              <w:t xml:space="preserve"> (toliau – Įstatai), Centro veiklos tikslas – tenkinti viešuosius interesus</w:t>
            </w:r>
            <w:r w:rsidR="00AD7478" w:rsidRPr="002051C1">
              <w:t>,</w:t>
            </w:r>
            <w:r w:rsidRPr="002051C1">
              <w:t xml:space="preserve"> vykdant mokslo ir inovacijų sklaidos veiklą, padėti visuomenei įgyti žinias ir (ar) kompetencijas, atitinkančias šiuolaikinį mokslo, technologijos, ekonomikos ir kultūros lygį, padedančias įsitvirtinti ir konkuruoti kintančioje darbo rinkoje. Įstatuose nustatyti Centro uždaviniai, funkcijos, kita veikla labiau būdinga neformaliajam, kultūriniam švietimui.</w:t>
            </w:r>
          </w:p>
          <w:p w14:paraId="4DD03912" w14:textId="77777777" w:rsidR="00D74236" w:rsidRPr="002051C1" w:rsidRDefault="00D74236" w:rsidP="0026670E">
            <w:pPr>
              <w:jc w:val="both"/>
            </w:pPr>
            <w:r w:rsidRPr="002051C1">
              <w:t xml:space="preserve">Siūlome </w:t>
            </w:r>
            <w:r w:rsidRPr="002051C1">
              <w:rPr>
                <w:bCs/>
              </w:rPr>
              <w:t xml:space="preserve">VšĮ </w:t>
            </w:r>
            <w:r w:rsidRPr="002051C1">
              <w:t xml:space="preserve">„Mokslo ir inovacijų sklaidos centras“ </w:t>
            </w:r>
            <w:r w:rsidRPr="002051C1">
              <w:rPr>
                <w:bCs/>
              </w:rPr>
              <w:t xml:space="preserve">funkcijas nustatyti Lietuvos Respublikos technologijų ir inovacijų įstatyme Nr. </w:t>
            </w:r>
            <w:r w:rsidRPr="002051C1">
              <w:t>XIII-1414 arba Lietuvos Respublikos švietimo įstatyme Nr. I-1489.</w:t>
            </w:r>
          </w:p>
        </w:tc>
        <w:tc>
          <w:tcPr>
            <w:tcW w:w="5954" w:type="dxa"/>
          </w:tcPr>
          <w:p w14:paraId="482A566F" w14:textId="77777777" w:rsidR="00D74236" w:rsidRPr="002051C1" w:rsidRDefault="00D74236" w:rsidP="00AD7478">
            <w:pPr>
              <w:jc w:val="both"/>
              <w:rPr>
                <w:b/>
              </w:rPr>
            </w:pPr>
            <w:r w:rsidRPr="002051C1">
              <w:rPr>
                <w:b/>
              </w:rPr>
              <w:t>Neatsižvelgta</w:t>
            </w:r>
            <w:r w:rsidR="00AD7478" w:rsidRPr="002051C1">
              <w:rPr>
                <w:b/>
              </w:rPr>
              <w:t>.</w:t>
            </w:r>
          </w:p>
          <w:p w14:paraId="1B42B392" w14:textId="77777777" w:rsidR="00D74236" w:rsidRPr="002051C1" w:rsidRDefault="00D74236" w:rsidP="00D24377">
            <w:pPr>
              <w:jc w:val="both"/>
            </w:pPr>
            <w:r w:rsidRPr="002051C1">
              <w:t>Pažymėtina, kad:</w:t>
            </w:r>
          </w:p>
          <w:p w14:paraId="68EFBA4F" w14:textId="77777777" w:rsidR="00D74236" w:rsidRPr="002051C1" w:rsidRDefault="00D74236" w:rsidP="00D24377">
            <w:pPr>
              <w:jc w:val="both"/>
            </w:pPr>
            <w:r w:rsidRPr="002051C1">
              <w:t>-  Centro įstatuose nustatyti uždaviniai ir funkcijos, susiję su mokslo populiarinimu, yra orientuoti į jaunąją visuomenės dalį ir siekį sudominti ją mokslu, paskatinti ateityje stoti į aukštąsias mokyklas ir rinktis mokslininko profesiją;</w:t>
            </w:r>
          </w:p>
          <w:p w14:paraId="4FCB5379" w14:textId="77777777" w:rsidR="00D74236" w:rsidRPr="002051C1" w:rsidRDefault="00D74236" w:rsidP="00AD7478">
            <w:pPr>
              <w:jc w:val="both"/>
              <w:rPr>
                <w:b/>
                <w:lang w:eastAsia="lt-LT"/>
              </w:rPr>
            </w:pPr>
            <w:r w:rsidRPr="002051C1">
              <w:t>- Centro įstatuose numatytu tikslu „tenkinti viešuosius interesus</w:t>
            </w:r>
            <w:r w:rsidR="00AD7478" w:rsidRPr="002051C1">
              <w:t>,</w:t>
            </w:r>
            <w:r w:rsidRPr="002051C1">
              <w:t xml:space="preserve"> vykdant mokslo ir inovacijų sklaidos veiklą, padėti visuomenei įgyti žinias ir (ar) kompetencijas, atitinkančias šiuolaikinį mokslo, technologijos, ekonomikos ir kultūros lygį, padedančias įsitvirtinti ir konkuruoti kintančioje darbo rinkoje“ siekiama prisidėti prie darnios mokslo ir studijų sistemos, kuri yra grindžiama žinių visuomenės plėtote, žiniomis grįstos ekonomikos stiprėjimu ir darnaus šalies vystymusi, augimu. Darnios mokslo ir studijų sistemos grindžiami tikslai suprantami taip, kaip yra apibrėžti Lietuvos Respublikos mokslo ir studijų įstatyme.</w:t>
            </w:r>
          </w:p>
        </w:tc>
      </w:tr>
      <w:tr w:rsidR="00980195" w:rsidRPr="002051C1" w14:paraId="1DC5C110" w14:textId="77777777" w:rsidTr="00491197">
        <w:trPr>
          <w:trHeight w:val="841"/>
        </w:trPr>
        <w:tc>
          <w:tcPr>
            <w:tcW w:w="1523" w:type="dxa"/>
            <w:vMerge w:val="restart"/>
          </w:tcPr>
          <w:p w14:paraId="4A6F26D3" w14:textId="77777777" w:rsidR="00980195" w:rsidRPr="002051C1" w:rsidRDefault="00980195" w:rsidP="001315D9">
            <w:bookmarkStart w:id="0" w:name="_GoBack"/>
            <w:bookmarkEnd w:id="0"/>
            <w:r w:rsidRPr="002051C1">
              <w:lastRenderedPageBreak/>
              <w:t xml:space="preserve">Lietuvos kolegijų direktorių konferencijos </w:t>
            </w:r>
            <w:r w:rsidR="00AD7478" w:rsidRPr="002051C1">
              <w:t>2</w:t>
            </w:r>
            <w:r w:rsidRPr="002051C1">
              <w:t xml:space="preserve">018-01-23 </w:t>
            </w:r>
            <w:r w:rsidR="00AD7478" w:rsidRPr="002051C1">
              <w:t xml:space="preserve">raštas </w:t>
            </w:r>
            <w:r w:rsidRPr="002051C1">
              <w:t>Nr. 1-3</w:t>
            </w:r>
          </w:p>
        </w:tc>
        <w:tc>
          <w:tcPr>
            <w:tcW w:w="6841" w:type="dxa"/>
            <w:tcBorders>
              <w:bottom w:val="single" w:sz="4" w:space="0" w:color="auto"/>
            </w:tcBorders>
          </w:tcPr>
          <w:p w14:paraId="25315913" w14:textId="77777777" w:rsidR="00980195" w:rsidRPr="002051C1" w:rsidRDefault="00980195" w:rsidP="001315D9">
            <w:pPr>
              <w:jc w:val="both"/>
              <w:rPr>
                <w:lang w:eastAsia="lt-LT"/>
              </w:rPr>
            </w:pPr>
            <w:r w:rsidRPr="002051C1">
              <w:rPr>
                <w:lang w:eastAsia="lt-LT"/>
              </w:rPr>
              <w:t>38 str. 4 d. siūlo išdėstyti taip:</w:t>
            </w:r>
          </w:p>
          <w:p w14:paraId="7133015F" w14:textId="77777777" w:rsidR="00980195" w:rsidRPr="002051C1" w:rsidRDefault="00980195" w:rsidP="001315D9">
            <w:pPr>
              <w:jc w:val="both"/>
              <w:rPr>
                <w:lang w:eastAsia="lt-LT"/>
              </w:rPr>
            </w:pPr>
            <w:r w:rsidRPr="002051C1">
              <w:rPr>
                <w:lang w:eastAsia="lt-LT"/>
              </w:rPr>
              <w:t xml:space="preserve">„Tais atvejais, kai aukštosios mokyklos reorganizuojamos sujungimo būdu, </w:t>
            </w:r>
            <w:r w:rsidRPr="002051C1">
              <w:rPr>
                <w:color w:val="000000" w:themeColor="text1"/>
                <w:lang w:eastAsia="lt-LT"/>
              </w:rPr>
              <w:t>per 9 mėnesius</w:t>
            </w:r>
            <w:r w:rsidRPr="002051C1">
              <w:rPr>
                <w:color w:val="FF0000"/>
                <w:lang w:eastAsia="lt-LT"/>
              </w:rPr>
              <w:t xml:space="preserve"> </w:t>
            </w:r>
            <w:r w:rsidRPr="002051C1">
              <w:rPr>
                <w:lang w:eastAsia="lt-LT"/>
              </w:rPr>
              <w:t>nuo reorganizavimo pabaigos šio įstatymo nustatyta tvarka išrenkami (paskiriami) nauji aukštosios mokyklos valdymo organai. Kai aukštosios mokyklos reorganizuojamos prijungimo būdu, reorganizuojamos aukštosios mokyklos bendruomenės atstovavimas nustatomas aukštųjų mokyklų reorganizavimo sąlygose.“</w:t>
            </w:r>
          </w:p>
          <w:p w14:paraId="4CC880B0" w14:textId="77777777" w:rsidR="00980195" w:rsidRPr="002051C1" w:rsidRDefault="00980195" w:rsidP="00AD7478">
            <w:pPr>
              <w:jc w:val="both"/>
              <w:rPr>
                <w:lang w:eastAsia="lt-LT"/>
              </w:rPr>
            </w:pPr>
            <w:r w:rsidRPr="002051C1">
              <w:rPr>
                <w:lang w:eastAsia="lt-LT"/>
              </w:rPr>
              <w:t>Po reorganizacijos sujungimo būdu registravus juridinį asmenį, turi būti parengiamos ir valdymo organų išrinkimo tvarkos, ir vykdomos rinkimų (skyrimų) procedūros. Didžioji dalis valdymo organų rinkimo (skyrimo) procedūrų yra tarpusavyje susiję, t. y. neišrinkus vieno valdymo organo, negali būti renkamas kitas (pvz., Akademinės tarybos dalį narių skiria bendruomenės atstovai, Tarybos dalį narių skiria Akademinė taryba, direktorių renka</w:t>
            </w:r>
            <w:r w:rsidR="00991544" w:rsidRPr="002051C1">
              <w:rPr>
                <w:lang w:eastAsia="lt-LT"/>
              </w:rPr>
              <w:t xml:space="preserve"> </w:t>
            </w:r>
            <w:r w:rsidRPr="002051C1">
              <w:rPr>
                <w:lang w:eastAsia="lt-LT"/>
              </w:rPr>
              <w:t>/</w:t>
            </w:r>
            <w:r w:rsidR="00991544" w:rsidRPr="002051C1">
              <w:rPr>
                <w:lang w:eastAsia="lt-LT"/>
              </w:rPr>
              <w:t xml:space="preserve"> </w:t>
            </w:r>
            <w:r w:rsidRPr="002051C1">
              <w:rPr>
                <w:lang w:eastAsia="lt-LT"/>
              </w:rPr>
              <w:t>skiria taryba). Įvertinant turėtą praktiką, minėtų tvarkų rengimo bei derinimo procesas, vėliau ir rinkimo (skyrimo) procedūros užtrunka, be to</w:t>
            </w:r>
            <w:r w:rsidR="00991544" w:rsidRPr="002051C1">
              <w:rPr>
                <w:lang w:eastAsia="lt-LT"/>
              </w:rPr>
              <w:t>,</w:t>
            </w:r>
            <w:r w:rsidRPr="002051C1">
              <w:rPr>
                <w:lang w:eastAsia="lt-LT"/>
              </w:rPr>
              <w:t xml:space="preserve"> reikia įvertinti ir tai, kad dėl rinkimų procedūrų pažeidimų galimos apeliacijos.</w:t>
            </w:r>
          </w:p>
        </w:tc>
        <w:tc>
          <w:tcPr>
            <w:tcW w:w="5954" w:type="dxa"/>
          </w:tcPr>
          <w:p w14:paraId="42FDBE6C" w14:textId="77777777" w:rsidR="00980195" w:rsidRPr="002051C1" w:rsidRDefault="00980195" w:rsidP="001315D9">
            <w:pPr>
              <w:jc w:val="both"/>
              <w:rPr>
                <w:b/>
              </w:rPr>
            </w:pPr>
            <w:r w:rsidRPr="002051C1">
              <w:rPr>
                <w:b/>
              </w:rPr>
              <w:t>Atsižvelgta iš dalies</w:t>
            </w:r>
            <w:r w:rsidR="00991544" w:rsidRPr="002051C1">
              <w:rPr>
                <w:b/>
              </w:rPr>
              <w:t>.</w:t>
            </w:r>
          </w:p>
          <w:p w14:paraId="1B7F10F3" w14:textId="77777777" w:rsidR="00980195" w:rsidRPr="002051C1" w:rsidRDefault="00980195" w:rsidP="001315D9">
            <w:pPr>
              <w:jc w:val="both"/>
            </w:pPr>
            <w:r w:rsidRPr="002051C1">
              <w:t>Atsižvelgus į pastabą</w:t>
            </w:r>
            <w:r w:rsidR="00991544" w:rsidRPr="002051C1">
              <w:t>,</w:t>
            </w:r>
            <w:r w:rsidRPr="002051C1">
              <w:t xml:space="preserve"> patikslintas terminas – 6 mėn. (vietoje 4 mėn.). Manytina, kad rinkimų procedūroms 6 mėnesiai yra optimalus laiko terminas.</w:t>
            </w:r>
          </w:p>
          <w:p w14:paraId="74B9FA57" w14:textId="77777777" w:rsidR="00980195" w:rsidRPr="002051C1" w:rsidRDefault="00980195" w:rsidP="001315D9">
            <w:pPr>
              <w:jc w:val="both"/>
              <w:rPr>
                <w:b/>
              </w:rPr>
            </w:pPr>
          </w:p>
        </w:tc>
      </w:tr>
      <w:tr w:rsidR="00980195" w:rsidRPr="002051C1" w14:paraId="459836A0" w14:textId="77777777" w:rsidTr="00491197">
        <w:trPr>
          <w:trHeight w:val="1742"/>
        </w:trPr>
        <w:tc>
          <w:tcPr>
            <w:tcW w:w="1523" w:type="dxa"/>
            <w:vMerge/>
            <w:tcBorders>
              <w:bottom w:val="single" w:sz="4" w:space="0" w:color="auto"/>
            </w:tcBorders>
          </w:tcPr>
          <w:p w14:paraId="468C3431" w14:textId="77777777" w:rsidR="00980195" w:rsidRPr="002051C1" w:rsidRDefault="00980195" w:rsidP="00FC6504"/>
        </w:tc>
        <w:tc>
          <w:tcPr>
            <w:tcW w:w="6841" w:type="dxa"/>
            <w:tcBorders>
              <w:bottom w:val="single" w:sz="4" w:space="0" w:color="auto"/>
            </w:tcBorders>
          </w:tcPr>
          <w:p w14:paraId="0BBB0A2E" w14:textId="77777777" w:rsidR="00980195" w:rsidRPr="002051C1" w:rsidRDefault="00980195" w:rsidP="001315D9">
            <w:pPr>
              <w:jc w:val="both"/>
            </w:pPr>
            <w:r w:rsidRPr="002051C1">
              <w:rPr>
                <w:rFonts w:eastAsia="Arial"/>
              </w:rPr>
              <w:t xml:space="preserve">56 straipsnio 2 d. siūlo išdėstyti taip: </w:t>
            </w:r>
          </w:p>
          <w:p w14:paraId="21823A0A" w14:textId="77777777" w:rsidR="00980195" w:rsidRPr="002051C1" w:rsidRDefault="00980195" w:rsidP="001315D9">
            <w:pPr>
              <w:jc w:val="both"/>
            </w:pPr>
            <w:r w:rsidRPr="002051C1">
              <w:t>„Iki 10 procentų geriausiai kolegijas baigusių studentų, siekiančių įgyti kompetencijų ir gebėjimų tęsti studijas pagal magistrantūros studijų programą,</w:t>
            </w:r>
            <w:r w:rsidRPr="002051C1">
              <w:rPr>
                <w:strike/>
              </w:rPr>
              <w:t xml:space="preserve"> atsižvelgus į jų studijų kolegijoje rezultatu</w:t>
            </w:r>
            <w:r w:rsidRPr="002051C1">
              <w:t>s, gali studijuoti pagal universiteto vykdomas išlyginamąsias ir (ar) papildomas studijas, valstybės finansuojamoje vietoje švietimo ir mokslo ministro nustatyta tvarka.“</w:t>
            </w:r>
          </w:p>
          <w:p w14:paraId="1BF9555F" w14:textId="77777777" w:rsidR="00980195" w:rsidRPr="002051C1" w:rsidRDefault="00980195" w:rsidP="001315D9">
            <w:pPr>
              <w:pStyle w:val="m-333549825761664900xmsonormal"/>
              <w:spacing w:before="0" w:beforeAutospacing="0" w:after="0" w:afterAutospacing="0"/>
              <w:jc w:val="both"/>
              <w:rPr>
                <w:shd w:val="clear" w:color="auto" w:fill="FFFFFF"/>
              </w:rPr>
            </w:pPr>
            <w:r w:rsidRPr="002051C1">
              <w:rPr>
                <w:shd w:val="clear" w:color="auto" w:fill="FFFFFF"/>
              </w:rPr>
              <w:t>Šio straipsnio panaikinimas būtų studentų galimybių siekti aukštesnio išsilavinimo sąlygų bloginimas.</w:t>
            </w:r>
          </w:p>
          <w:p w14:paraId="474CD8C8" w14:textId="77777777" w:rsidR="00980195" w:rsidRPr="002051C1" w:rsidRDefault="00980195" w:rsidP="00991544">
            <w:pPr>
              <w:jc w:val="both"/>
              <w:rPr>
                <w:b/>
              </w:rPr>
            </w:pPr>
            <w:r w:rsidRPr="002051C1">
              <w:rPr>
                <w:shd w:val="clear" w:color="auto" w:fill="FFFFFF"/>
              </w:rPr>
              <w:t xml:space="preserve">Siūlome palikti esamą 56 straipsnio 2 dalies formuluotę ir tai, kad 10 proc. geriausiai kolegijas baigusiems studentams sudaromos sąlygos studijuoti universitetų vykdomose išliginamosiose studijose valstybės finansuojamose vietose vertinti, kaip skatinimą tęsti studijas bei plėsti jų karjeros galimybes. LKDK atkreipia dėmesį, jog iki šiol nėra </w:t>
            </w:r>
            <w:r w:rsidRPr="002051C1">
              <w:rPr>
                <w:shd w:val="clear" w:color="auto" w:fill="FFFFFF"/>
              </w:rPr>
              <w:lastRenderedPageBreak/>
              <w:t>atitinkamos ministro tvarkos, pagal kurią studentai galėtų pasinaudoti šia galimybe.</w:t>
            </w:r>
          </w:p>
        </w:tc>
        <w:tc>
          <w:tcPr>
            <w:tcW w:w="5954" w:type="dxa"/>
          </w:tcPr>
          <w:p w14:paraId="6A253E21" w14:textId="77777777" w:rsidR="00980195" w:rsidRPr="002051C1" w:rsidRDefault="00980195" w:rsidP="00991544">
            <w:pPr>
              <w:jc w:val="both"/>
              <w:rPr>
                <w:b/>
              </w:rPr>
            </w:pPr>
            <w:r w:rsidRPr="002051C1">
              <w:rPr>
                <w:b/>
              </w:rPr>
              <w:lastRenderedPageBreak/>
              <w:t>Neatsižvelgta</w:t>
            </w:r>
            <w:r w:rsidR="00991544" w:rsidRPr="002051C1">
              <w:rPr>
                <w:b/>
              </w:rPr>
              <w:t>.</w:t>
            </w:r>
          </w:p>
          <w:p w14:paraId="31CD7126" w14:textId="77777777" w:rsidR="00E91A7F" w:rsidRPr="002051C1" w:rsidRDefault="00980195" w:rsidP="00D24377">
            <w:pPr>
              <w:jc w:val="both"/>
              <w:rPr>
                <w:lang w:eastAsia="lt-LT"/>
              </w:rPr>
            </w:pPr>
            <w:r w:rsidRPr="002051C1">
              <w:rPr>
                <w:rFonts w:eastAsia="Arial"/>
              </w:rPr>
              <w:t xml:space="preserve">56 straipsnio 2 dalies nuostatos </w:t>
            </w:r>
            <w:r w:rsidRPr="002051C1">
              <w:rPr>
                <w:rFonts w:eastAsia="Arial"/>
                <w:lang w:eastAsia="lt-LT"/>
              </w:rPr>
              <w:t xml:space="preserve">sudaro išskirtines sąlygas tik </w:t>
            </w:r>
            <w:r w:rsidRPr="002051C1">
              <w:rPr>
                <w:lang w:eastAsia="lt-LT"/>
              </w:rPr>
              <w:t xml:space="preserve">kolegijų absolventams </w:t>
            </w:r>
            <w:r w:rsidR="00991544" w:rsidRPr="002051C1">
              <w:rPr>
                <w:lang w:eastAsia="lt-LT"/>
              </w:rPr>
              <w:t xml:space="preserve">pretenduoti </w:t>
            </w:r>
            <w:r w:rsidRPr="002051C1">
              <w:rPr>
                <w:lang w:eastAsia="lt-LT"/>
              </w:rPr>
              <w:t xml:space="preserve">į magistrantūrą, neatsižvelgiant į tai, kad universitetų I pakopos absolventams taip pat gali reikėti papildomų studijų, kai jų pasirinkta magistrantūros studijų kryptis nesutampa su baigta bakalauro studijų kryptimi. </w:t>
            </w:r>
            <w:r w:rsidR="008E44FF" w:rsidRPr="002051C1">
              <w:rPr>
                <w:lang w:eastAsia="lt-LT"/>
              </w:rPr>
              <w:t>Įvertinus t</w:t>
            </w:r>
            <w:r w:rsidR="008E44FF" w:rsidRPr="002051C1">
              <w:t>ai, kad</w:t>
            </w:r>
            <w:r w:rsidR="00991544" w:rsidRPr="002051C1">
              <w:t>,</w:t>
            </w:r>
            <w:r w:rsidR="008E44FF" w:rsidRPr="002051C1">
              <w:t xml:space="preserve"> kolegijų absolventams stojant į magistrantūrą</w:t>
            </w:r>
            <w:r w:rsidR="00991544" w:rsidRPr="002051C1">
              <w:t>,</w:t>
            </w:r>
            <w:r w:rsidR="008E44FF" w:rsidRPr="002051C1">
              <w:t xml:space="preserve"> šiuo metu nėra privalomų papildomųjų studijų, </w:t>
            </w:r>
            <w:r w:rsidR="008E44FF" w:rsidRPr="002051C1">
              <w:rPr>
                <w:lang w:eastAsia="lt-LT"/>
              </w:rPr>
              <w:t xml:space="preserve">šios nuostatos siūloma atsisakyti. Atkreiptinas dėmesys, </w:t>
            </w:r>
            <w:r w:rsidR="00991544" w:rsidRPr="002051C1">
              <w:rPr>
                <w:lang w:eastAsia="lt-LT"/>
              </w:rPr>
              <w:t xml:space="preserve">jog </w:t>
            </w:r>
            <w:r w:rsidR="00991544" w:rsidRPr="002051C1">
              <w:t xml:space="preserve">šiai tvarkai įgyvendinti </w:t>
            </w:r>
            <w:r w:rsidR="008E44FF" w:rsidRPr="002051C1">
              <w:t>reikalingos papildomos</w:t>
            </w:r>
            <w:r w:rsidR="008E44FF" w:rsidRPr="002051C1">
              <w:rPr>
                <w:lang w:eastAsia="lt-LT"/>
              </w:rPr>
              <w:t xml:space="preserve"> valstybės biudžeto lėšos</w:t>
            </w:r>
            <w:r w:rsidR="00E91A7F" w:rsidRPr="002051C1">
              <w:rPr>
                <w:lang w:eastAsia="lt-LT"/>
              </w:rPr>
              <w:t>.</w:t>
            </w:r>
          </w:p>
          <w:p w14:paraId="317A8DA1" w14:textId="77777777" w:rsidR="00980195" w:rsidRPr="002051C1" w:rsidRDefault="00980195" w:rsidP="001315D9">
            <w:pPr>
              <w:jc w:val="both"/>
              <w:rPr>
                <w:b/>
              </w:rPr>
            </w:pPr>
          </w:p>
        </w:tc>
      </w:tr>
      <w:tr w:rsidR="00384967" w:rsidRPr="002051C1" w14:paraId="1295DF49" w14:textId="77777777" w:rsidTr="00491197">
        <w:trPr>
          <w:trHeight w:val="1742"/>
        </w:trPr>
        <w:tc>
          <w:tcPr>
            <w:tcW w:w="1523" w:type="dxa"/>
            <w:tcBorders>
              <w:bottom w:val="single" w:sz="4" w:space="0" w:color="auto"/>
            </w:tcBorders>
          </w:tcPr>
          <w:p w14:paraId="7B74697E" w14:textId="77777777" w:rsidR="00384967" w:rsidRPr="002051C1" w:rsidRDefault="00384967" w:rsidP="00FC6504"/>
        </w:tc>
        <w:tc>
          <w:tcPr>
            <w:tcW w:w="6841" w:type="dxa"/>
            <w:tcBorders>
              <w:bottom w:val="single" w:sz="4" w:space="0" w:color="auto"/>
            </w:tcBorders>
          </w:tcPr>
          <w:p w14:paraId="3C001104" w14:textId="77777777" w:rsidR="00F43F30" w:rsidRPr="002051C1" w:rsidRDefault="00F43F30" w:rsidP="00F43F30">
            <w:pPr>
              <w:pStyle w:val="m-837447573497084595xxmsonormal"/>
              <w:shd w:val="clear" w:color="auto" w:fill="FFFFFF"/>
              <w:spacing w:before="0" w:beforeAutospacing="0" w:after="0" w:afterAutospacing="0" w:line="276" w:lineRule="auto"/>
              <w:jc w:val="both"/>
              <w:rPr>
                <w:color w:val="000000" w:themeColor="text1"/>
              </w:rPr>
            </w:pPr>
            <w:r w:rsidRPr="002051C1">
              <w:rPr>
                <w:color w:val="000000" w:themeColor="text1"/>
              </w:rPr>
              <w:t xml:space="preserve">Siūlo 59 straipsnio 1 dalį formuluoti </w:t>
            </w:r>
            <w:proofErr w:type="spellStart"/>
            <w:r w:rsidRPr="002051C1">
              <w:rPr>
                <w:color w:val="000000" w:themeColor="text1"/>
              </w:rPr>
              <w:t>taip:Į</w:t>
            </w:r>
            <w:proofErr w:type="spellEnd"/>
            <w:r w:rsidRPr="002051C1">
              <w:rPr>
                <w:color w:val="000000" w:themeColor="text1"/>
              </w:rPr>
              <w:t xml:space="preserve"> aukštosios mokyklos pirmosios pakopos ir vientisąsias studijas konkurso būdu priimami asmenys, turintys ne žemesnį kaip vidurinį išsilavinimą</w:t>
            </w:r>
            <w:r w:rsidRPr="002051C1">
              <w:rPr>
                <w:strike/>
                <w:color w:val="000000" w:themeColor="text1"/>
              </w:rPr>
              <w:t> išlaikę lietuvių kalbos ir literatūros, užsienio kalbos, matematikos ir istorijos valstybinius brandos egzaminus</w:t>
            </w:r>
            <w:r w:rsidRPr="002051C1">
              <w:rPr>
                <w:color w:val="000000" w:themeColor="text1"/>
              </w:rPr>
              <w:t>. Stojantieji taip pat turi atitikti šiuos minimalius reikalavimus:</w:t>
            </w:r>
          </w:p>
          <w:p w14:paraId="6999A53C" w14:textId="77777777" w:rsidR="00F43F30" w:rsidRPr="002051C1" w:rsidRDefault="00F43F30" w:rsidP="00F43F30">
            <w:pPr>
              <w:pStyle w:val="m-837447573497084595xxmsonormal"/>
              <w:shd w:val="clear" w:color="auto" w:fill="FFFFFF"/>
              <w:spacing w:before="0" w:beforeAutospacing="0" w:after="0" w:afterAutospacing="0" w:line="276" w:lineRule="auto"/>
              <w:jc w:val="both"/>
              <w:rPr>
                <w:color w:val="000000" w:themeColor="text1"/>
              </w:rPr>
            </w:pPr>
            <w:r w:rsidRPr="002051C1">
              <w:rPr>
                <w:color w:val="000000" w:themeColor="text1"/>
              </w:rPr>
              <w:t>1) jeigu stoja į universitetinių studijų programas, išlaikytų </w:t>
            </w:r>
            <w:r w:rsidRPr="002051C1">
              <w:rPr>
                <w:strike/>
                <w:color w:val="000000" w:themeColor="text1"/>
              </w:rPr>
              <w:t>lietuvių kalbos ir literatūros, užsienio kalbos, matematikos (išskyrus stojančiuosius į menų studijas) ir istorijos</w:t>
            </w:r>
            <w:r w:rsidRPr="002051C1">
              <w:rPr>
                <w:color w:val="000000" w:themeColor="text1"/>
              </w:rPr>
              <w:t> valstybinių brandos egzaminų įvertinimų aritmetinis vidurkis ir vidurinio ugdymo programos ugdymo sričių privalomų dalykų ir mokinio privalomai pasirenkamų dalykų 5 geriausių metinių įvertinimų aritmetinis vidurkis turi būti ne žemesni nei pagrindinis vidurinio ugdymo programos mokinių  pasiekimų lygis;</w:t>
            </w:r>
          </w:p>
          <w:p w14:paraId="4664E662" w14:textId="77777777" w:rsidR="00384967" w:rsidRPr="002051C1" w:rsidRDefault="00F43F30" w:rsidP="0026670E">
            <w:pPr>
              <w:pStyle w:val="m-837447573497084595xxmsonormal"/>
              <w:shd w:val="clear" w:color="auto" w:fill="FFFFFF"/>
              <w:spacing w:before="0" w:beforeAutospacing="0" w:after="0" w:afterAutospacing="0" w:line="276" w:lineRule="auto"/>
              <w:jc w:val="both"/>
              <w:rPr>
                <w:rFonts w:eastAsia="Arial"/>
              </w:rPr>
            </w:pPr>
            <w:r w:rsidRPr="002051C1">
              <w:rPr>
                <w:color w:val="000000" w:themeColor="text1"/>
              </w:rPr>
              <w:t xml:space="preserve">2) jeigu stoja į koleginių studijų </w:t>
            </w:r>
            <w:proofErr w:type="spellStart"/>
            <w:r w:rsidRPr="002051C1">
              <w:rPr>
                <w:color w:val="000000" w:themeColor="text1"/>
              </w:rPr>
              <w:t>programas,</w:t>
            </w:r>
            <w:r w:rsidRPr="002051C1">
              <w:rPr>
                <w:strike/>
                <w:color w:val="000000" w:themeColor="text1"/>
              </w:rPr>
              <w:t>išlaikytų</w:t>
            </w:r>
            <w:proofErr w:type="spellEnd"/>
            <w:r w:rsidRPr="002051C1">
              <w:rPr>
                <w:strike/>
                <w:color w:val="000000" w:themeColor="text1"/>
              </w:rPr>
              <w:t xml:space="preserve"> lietuvių kalbos ir literatūros, užsienio kalbos, matematikos (išskyrus stojančiuosius į menų studijas) ir istorijos</w:t>
            </w:r>
            <w:r w:rsidRPr="002051C1">
              <w:rPr>
                <w:color w:val="000000" w:themeColor="text1"/>
              </w:rPr>
              <w:t> valstybinių brandos egzaminų įvertinimų aritmetinis vidurkis ir vidurinio ugdymo programos ugdymo sričių privalomų dalykų ir mokinio privalomai pasirenkamų dalykų 5  geriausių metinių įvertinimų aritmetinis vidurkis turi būti ne žemesni nei pakankamas pasiekimų lygis.</w:t>
            </w:r>
          </w:p>
        </w:tc>
        <w:tc>
          <w:tcPr>
            <w:tcW w:w="5954" w:type="dxa"/>
          </w:tcPr>
          <w:p w14:paraId="27E7138C" w14:textId="77777777" w:rsidR="00F43F30" w:rsidRPr="002051C1" w:rsidRDefault="00F43F30" w:rsidP="00F43F30">
            <w:pPr>
              <w:spacing w:line="276" w:lineRule="auto"/>
              <w:jc w:val="both"/>
            </w:pPr>
            <w:r w:rsidRPr="002051C1">
              <w:rPr>
                <w:b/>
              </w:rPr>
              <w:t>Atsižvelgta iš dalies</w:t>
            </w:r>
            <w:r w:rsidRPr="002051C1">
              <w:t>. Atsisakyta istorijos brandos egzamino minimaliuose rodikliuose. Lieka 3 privalomi brandos egzaminai, iš kurių 2 įvardyti konkrečiai, o trečiasis – laisvai pasirenkamas stojančiojo.</w:t>
            </w:r>
          </w:p>
          <w:p w14:paraId="66E5A272" w14:textId="77777777" w:rsidR="00384967" w:rsidRPr="002051C1" w:rsidRDefault="00384967" w:rsidP="00991544">
            <w:pPr>
              <w:jc w:val="both"/>
              <w:rPr>
                <w:b/>
              </w:rPr>
            </w:pPr>
          </w:p>
        </w:tc>
      </w:tr>
      <w:tr w:rsidR="00F43F30" w:rsidRPr="002051C1" w14:paraId="64950CDF" w14:textId="77777777" w:rsidTr="00491197">
        <w:trPr>
          <w:trHeight w:val="1742"/>
        </w:trPr>
        <w:tc>
          <w:tcPr>
            <w:tcW w:w="1523" w:type="dxa"/>
            <w:tcBorders>
              <w:bottom w:val="single" w:sz="4" w:space="0" w:color="auto"/>
            </w:tcBorders>
          </w:tcPr>
          <w:p w14:paraId="1AA3AE44" w14:textId="77777777" w:rsidR="00F43F30" w:rsidRPr="002051C1" w:rsidRDefault="00F43F30" w:rsidP="00FC6504"/>
        </w:tc>
        <w:tc>
          <w:tcPr>
            <w:tcW w:w="6841" w:type="dxa"/>
            <w:tcBorders>
              <w:bottom w:val="single" w:sz="4" w:space="0" w:color="auto"/>
            </w:tcBorders>
          </w:tcPr>
          <w:p w14:paraId="146129C4" w14:textId="77777777" w:rsidR="00F43F30" w:rsidRPr="002051C1" w:rsidRDefault="00F43F30" w:rsidP="00F43F30">
            <w:pPr>
              <w:pStyle w:val="m-837447573497084595xxmsonormal"/>
              <w:shd w:val="clear" w:color="auto" w:fill="FFFFFF"/>
              <w:spacing w:before="0" w:beforeAutospacing="0" w:after="0" w:afterAutospacing="0" w:line="276" w:lineRule="auto"/>
              <w:jc w:val="both"/>
              <w:rPr>
                <w:rFonts w:eastAsia="Arial"/>
              </w:rPr>
            </w:pPr>
            <w:r w:rsidRPr="002051C1">
              <w:rPr>
                <w:rFonts w:eastAsia="Arial"/>
              </w:rPr>
              <w:t xml:space="preserve">Papildyti nuostata dėl trumpųjų studijų pagal aktualios redakcijos 59 str. 2 d. </w:t>
            </w:r>
          </w:p>
          <w:p w14:paraId="6E8C0D7B" w14:textId="77777777" w:rsidR="00F43F30" w:rsidRPr="002051C1" w:rsidRDefault="00F43F30" w:rsidP="00F43F30">
            <w:pPr>
              <w:pStyle w:val="m-837447573497084595xxmsonormal"/>
              <w:shd w:val="clear" w:color="auto" w:fill="FFFFFF"/>
              <w:spacing w:before="0" w:beforeAutospacing="0" w:after="0" w:afterAutospacing="0" w:line="276" w:lineRule="auto"/>
              <w:jc w:val="both"/>
              <w:rPr>
                <w:color w:val="000000"/>
              </w:rPr>
            </w:pPr>
            <w:r w:rsidRPr="002051C1">
              <w:rPr>
                <w:color w:val="000000"/>
              </w:rPr>
              <w:t>2. Į aukštosios mokyklos trumposios pakopos studijas konkurso būdu priimami asmenys, turintys ne žemesnį kaip vidurinį išsilavinimą ir švietimo ir mokslo ministro nustatyta tvarka pripažįstamą ne trumpesnę kaip 3 metų profesinę patirtį, atitinkančią pasirinktą studijų kryptį, arba profesinę kvalifikaciją, įgytą pagal Lietuvos kvalifikacijų sandaros ketvirtąjį lygį atitinkančią profesinio mokymo programą.</w:t>
            </w:r>
          </w:p>
          <w:p w14:paraId="0DEE1A41" w14:textId="77777777" w:rsidR="00F43F30" w:rsidRPr="002051C1" w:rsidRDefault="00F43F30" w:rsidP="00F43F30">
            <w:pPr>
              <w:pStyle w:val="m-837447573497084595xxmsonormal"/>
              <w:shd w:val="clear" w:color="auto" w:fill="FFFFFF"/>
              <w:spacing w:before="0" w:beforeAutospacing="0" w:after="0" w:afterAutospacing="0" w:line="276" w:lineRule="auto"/>
              <w:jc w:val="both"/>
              <w:rPr>
                <w:color w:val="000000" w:themeColor="text1"/>
              </w:rPr>
            </w:pPr>
          </w:p>
        </w:tc>
        <w:tc>
          <w:tcPr>
            <w:tcW w:w="5954" w:type="dxa"/>
          </w:tcPr>
          <w:p w14:paraId="0271D8C1" w14:textId="77777777" w:rsidR="00F43F30" w:rsidRPr="002051C1" w:rsidRDefault="00F43F30" w:rsidP="00F43F30">
            <w:pPr>
              <w:spacing w:line="276" w:lineRule="auto"/>
              <w:jc w:val="both"/>
            </w:pPr>
            <w:r w:rsidRPr="002051C1">
              <w:t>Dėl visai kitokio trumpųjų studijų pobūdžio ir paskirties, taikyti tokius pat reikalavimus kaip 6 lygmens studijoms netikslinga</w:t>
            </w:r>
          </w:p>
        </w:tc>
      </w:tr>
    </w:tbl>
    <w:p w14:paraId="451BC006" w14:textId="77777777" w:rsidR="00480E52" w:rsidRPr="00A744E8" w:rsidRDefault="004B7E44" w:rsidP="004B7E44">
      <w:pPr>
        <w:jc w:val="center"/>
        <w:rPr>
          <w:b/>
          <w:caps/>
        </w:rPr>
      </w:pPr>
      <w:r>
        <w:rPr>
          <w:b/>
          <w:caps/>
        </w:rPr>
        <w:t>________________</w:t>
      </w:r>
    </w:p>
    <w:sectPr w:rsidR="00480E52" w:rsidRPr="00A744E8" w:rsidSect="002F1ABC">
      <w:headerReference w:type="even" r:id="rId9"/>
      <w:headerReference w:type="default" r:id="rId10"/>
      <w:pgSz w:w="16838" w:h="11906" w:orient="landscape"/>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F650D" w14:textId="77777777" w:rsidR="0099614A" w:rsidRDefault="0099614A">
      <w:r>
        <w:separator/>
      </w:r>
    </w:p>
  </w:endnote>
  <w:endnote w:type="continuationSeparator" w:id="0">
    <w:p w14:paraId="0812BB85" w14:textId="77777777" w:rsidR="0099614A" w:rsidRDefault="0099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Arial"/>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4A382" w14:textId="77777777" w:rsidR="0099614A" w:rsidRDefault="0099614A">
      <w:r>
        <w:separator/>
      </w:r>
    </w:p>
  </w:footnote>
  <w:footnote w:type="continuationSeparator" w:id="0">
    <w:p w14:paraId="60894838" w14:textId="77777777" w:rsidR="0099614A" w:rsidRDefault="0099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61D8E" w14:textId="77777777" w:rsidR="00480E52" w:rsidRDefault="00480E52" w:rsidP="00D114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B8AEEB" w14:textId="77777777" w:rsidR="00480E52" w:rsidRDefault="00480E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917279"/>
      <w:docPartObj>
        <w:docPartGallery w:val="Page Numbers (Top of Page)"/>
        <w:docPartUnique/>
      </w:docPartObj>
    </w:sdtPr>
    <w:sdtEndPr/>
    <w:sdtContent>
      <w:p w14:paraId="7278A70B" w14:textId="39517BD8" w:rsidR="00980195" w:rsidRDefault="00980195">
        <w:pPr>
          <w:pStyle w:val="Antrats"/>
          <w:jc w:val="center"/>
        </w:pPr>
        <w:r>
          <w:fldChar w:fldCharType="begin"/>
        </w:r>
        <w:r>
          <w:instrText>PAGE   \* MERGEFORMAT</w:instrText>
        </w:r>
        <w:r>
          <w:fldChar w:fldCharType="separate"/>
        </w:r>
        <w:r w:rsidR="00E92662">
          <w:rPr>
            <w:noProof/>
          </w:rPr>
          <w:t>8</w:t>
        </w:r>
        <w:r>
          <w:fldChar w:fldCharType="end"/>
        </w:r>
      </w:p>
    </w:sdtContent>
  </w:sdt>
  <w:p w14:paraId="19AD43A4" w14:textId="77777777" w:rsidR="00480E52" w:rsidRDefault="00480E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A1D52"/>
    <w:multiLevelType w:val="hybridMultilevel"/>
    <w:tmpl w:val="2152D2C6"/>
    <w:lvl w:ilvl="0" w:tplc="81AAF6EA">
      <w:start w:val="110"/>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846AE5"/>
    <w:multiLevelType w:val="hybridMultilevel"/>
    <w:tmpl w:val="7E54F44E"/>
    <w:lvl w:ilvl="0" w:tplc="0C22FA8C">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 w15:restartNumberingAfterBreak="0">
    <w:nsid w:val="127423C2"/>
    <w:multiLevelType w:val="multilevel"/>
    <w:tmpl w:val="EC04FE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51501E6"/>
    <w:multiLevelType w:val="multilevel"/>
    <w:tmpl w:val="2BF6FF52"/>
    <w:lvl w:ilvl="0">
      <w:start w:val="3"/>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C23D00"/>
    <w:multiLevelType w:val="hybridMultilevel"/>
    <w:tmpl w:val="21F4D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DA12DB"/>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0435E3"/>
    <w:multiLevelType w:val="hybridMultilevel"/>
    <w:tmpl w:val="BE02EF3C"/>
    <w:lvl w:ilvl="0" w:tplc="4EFC9DD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9624EF"/>
    <w:multiLevelType w:val="multilevel"/>
    <w:tmpl w:val="380A3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4A25AB"/>
    <w:multiLevelType w:val="hybridMultilevel"/>
    <w:tmpl w:val="2CAE7832"/>
    <w:lvl w:ilvl="0" w:tplc="E62A70E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DDE59DD"/>
    <w:multiLevelType w:val="hybridMultilevel"/>
    <w:tmpl w:val="3D16F690"/>
    <w:lvl w:ilvl="0" w:tplc="4DA4F00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379759F5"/>
    <w:multiLevelType w:val="hybridMultilevel"/>
    <w:tmpl w:val="7D0CC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F933441"/>
    <w:multiLevelType w:val="hybridMultilevel"/>
    <w:tmpl w:val="ED8A4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D31"/>
    <w:multiLevelType w:val="hybridMultilevel"/>
    <w:tmpl w:val="B630E77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74E258A"/>
    <w:multiLevelType w:val="hybridMultilevel"/>
    <w:tmpl w:val="13F27858"/>
    <w:lvl w:ilvl="0" w:tplc="7DEEBA98">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524428"/>
    <w:multiLevelType w:val="multilevel"/>
    <w:tmpl w:val="F56266D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6BE75AD1"/>
    <w:multiLevelType w:val="hybridMultilevel"/>
    <w:tmpl w:val="7DD6E7F0"/>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4"/>
  </w:num>
  <w:num w:numId="2">
    <w:abstractNumId w:val="0"/>
  </w:num>
  <w:num w:numId="3">
    <w:abstractNumId w:val="1"/>
  </w:num>
  <w:num w:numId="4">
    <w:abstractNumId w:val="9"/>
  </w:num>
  <w:num w:numId="5">
    <w:abstractNumId w:val="6"/>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5"/>
  </w:num>
  <w:num w:numId="10">
    <w:abstractNumId w:val="13"/>
  </w:num>
  <w:num w:numId="11">
    <w:abstractNumId w:val="12"/>
  </w:num>
  <w:num w:numId="12">
    <w:abstractNumId w:val="14"/>
  </w:num>
  <w:num w:numId="13">
    <w:abstractNumId w:val="7"/>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975"/>
    <w:rsid w:val="00001A17"/>
    <w:rsid w:val="00011887"/>
    <w:rsid w:val="000133CF"/>
    <w:rsid w:val="00026CFB"/>
    <w:rsid w:val="00027373"/>
    <w:rsid w:val="00044534"/>
    <w:rsid w:val="00045FCA"/>
    <w:rsid w:val="000461C9"/>
    <w:rsid w:val="00046668"/>
    <w:rsid w:val="0004771B"/>
    <w:rsid w:val="00051CA6"/>
    <w:rsid w:val="00060604"/>
    <w:rsid w:val="000640C5"/>
    <w:rsid w:val="0006704C"/>
    <w:rsid w:val="000678BF"/>
    <w:rsid w:val="0007088F"/>
    <w:rsid w:val="00070AC2"/>
    <w:rsid w:val="0007123E"/>
    <w:rsid w:val="00076112"/>
    <w:rsid w:val="00081D0D"/>
    <w:rsid w:val="000855A3"/>
    <w:rsid w:val="0009500D"/>
    <w:rsid w:val="000A2A07"/>
    <w:rsid w:val="000A63AD"/>
    <w:rsid w:val="000C5E56"/>
    <w:rsid w:val="000F4A41"/>
    <w:rsid w:val="00102138"/>
    <w:rsid w:val="00106607"/>
    <w:rsid w:val="001239A5"/>
    <w:rsid w:val="001272EF"/>
    <w:rsid w:val="001315D9"/>
    <w:rsid w:val="00143060"/>
    <w:rsid w:val="001500DB"/>
    <w:rsid w:val="001511D0"/>
    <w:rsid w:val="00163902"/>
    <w:rsid w:val="00174012"/>
    <w:rsid w:val="00186DB0"/>
    <w:rsid w:val="0019191F"/>
    <w:rsid w:val="0019195F"/>
    <w:rsid w:val="00194574"/>
    <w:rsid w:val="001950D7"/>
    <w:rsid w:val="00196787"/>
    <w:rsid w:val="00196923"/>
    <w:rsid w:val="001A3617"/>
    <w:rsid w:val="001B1B44"/>
    <w:rsid w:val="001B3C8E"/>
    <w:rsid w:val="001B3E80"/>
    <w:rsid w:val="001B681D"/>
    <w:rsid w:val="001C3DCF"/>
    <w:rsid w:val="001C3F0D"/>
    <w:rsid w:val="001C54DB"/>
    <w:rsid w:val="001D482A"/>
    <w:rsid w:val="001D527B"/>
    <w:rsid w:val="001E1B4B"/>
    <w:rsid w:val="001E693D"/>
    <w:rsid w:val="001E7403"/>
    <w:rsid w:val="001F5637"/>
    <w:rsid w:val="001F5C9A"/>
    <w:rsid w:val="001F77D9"/>
    <w:rsid w:val="00203E4F"/>
    <w:rsid w:val="002051C1"/>
    <w:rsid w:val="002063BD"/>
    <w:rsid w:val="00211825"/>
    <w:rsid w:val="0021203B"/>
    <w:rsid w:val="00213D3F"/>
    <w:rsid w:val="0021773A"/>
    <w:rsid w:val="002206CD"/>
    <w:rsid w:val="002214F5"/>
    <w:rsid w:val="00221656"/>
    <w:rsid w:val="002245D8"/>
    <w:rsid w:val="00234F02"/>
    <w:rsid w:val="00241E14"/>
    <w:rsid w:val="00246498"/>
    <w:rsid w:val="00251E0E"/>
    <w:rsid w:val="00255ED9"/>
    <w:rsid w:val="00261FD5"/>
    <w:rsid w:val="00263B88"/>
    <w:rsid w:val="0026670E"/>
    <w:rsid w:val="00273C50"/>
    <w:rsid w:val="00275C6D"/>
    <w:rsid w:val="00276450"/>
    <w:rsid w:val="002770B6"/>
    <w:rsid w:val="0028797F"/>
    <w:rsid w:val="00291E01"/>
    <w:rsid w:val="002A08B8"/>
    <w:rsid w:val="002A51DC"/>
    <w:rsid w:val="002B0962"/>
    <w:rsid w:val="002B2D4B"/>
    <w:rsid w:val="002B64E6"/>
    <w:rsid w:val="002B68A9"/>
    <w:rsid w:val="002B6941"/>
    <w:rsid w:val="002C5B63"/>
    <w:rsid w:val="002D0440"/>
    <w:rsid w:val="002D0706"/>
    <w:rsid w:val="002D0C9C"/>
    <w:rsid w:val="002D2671"/>
    <w:rsid w:val="002D613D"/>
    <w:rsid w:val="002E1912"/>
    <w:rsid w:val="002F0DB5"/>
    <w:rsid w:val="002F1ABC"/>
    <w:rsid w:val="002F38EE"/>
    <w:rsid w:val="002F671B"/>
    <w:rsid w:val="00306004"/>
    <w:rsid w:val="00314F50"/>
    <w:rsid w:val="00316F8F"/>
    <w:rsid w:val="00325422"/>
    <w:rsid w:val="00332AE9"/>
    <w:rsid w:val="00335F67"/>
    <w:rsid w:val="00336075"/>
    <w:rsid w:val="00336D7E"/>
    <w:rsid w:val="003427A0"/>
    <w:rsid w:val="00342901"/>
    <w:rsid w:val="003519AC"/>
    <w:rsid w:val="00354524"/>
    <w:rsid w:val="0035658E"/>
    <w:rsid w:val="00357F0A"/>
    <w:rsid w:val="0036318F"/>
    <w:rsid w:val="00367C29"/>
    <w:rsid w:val="0037537B"/>
    <w:rsid w:val="00383BA8"/>
    <w:rsid w:val="00384967"/>
    <w:rsid w:val="003A1394"/>
    <w:rsid w:val="003A3A11"/>
    <w:rsid w:val="003A6D97"/>
    <w:rsid w:val="003B5734"/>
    <w:rsid w:val="003D55B0"/>
    <w:rsid w:val="003E3810"/>
    <w:rsid w:val="003F014E"/>
    <w:rsid w:val="003F19A0"/>
    <w:rsid w:val="003F3E63"/>
    <w:rsid w:val="003F6489"/>
    <w:rsid w:val="00404265"/>
    <w:rsid w:val="00407FB6"/>
    <w:rsid w:val="00412DFC"/>
    <w:rsid w:val="00413884"/>
    <w:rsid w:val="004248B9"/>
    <w:rsid w:val="00426E69"/>
    <w:rsid w:val="00427E80"/>
    <w:rsid w:val="00443DCF"/>
    <w:rsid w:val="00445686"/>
    <w:rsid w:val="00452B16"/>
    <w:rsid w:val="00454553"/>
    <w:rsid w:val="00456C16"/>
    <w:rsid w:val="00457DF3"/>
    <w:rsid w:val="00467B6A"/>
    <w:rsid w:val="00480E52"/>
    <w:rsid w:val="00491197"/>
    <w:rsid w:val="004A0676"/>
    <w:rsid w:val="004A1141"/>
    <w:rsid w:val="004A17FC"/>
    <w:rsid w:val="004A1CC1"/>
    <w:rsid w:val="004A2FB7"/>
    <w:rsid w:val="004B26C1"/>
    <w:rsid w:val="004B4291"/>
    <w:rsid w:val="004B4FD9"/>
    <w:rsid w:val="004B5349"/>
    <w:rsid w:val="004B7E44"/>
    <w:rsid w:val="004C2B23"/>
    <w:rsid w:val="004E79D0"/>
    <w:rsid w:val="004E7A10"/>
    <w:rsid w:val="004F073B"/>
    <w:rsid w:val="004F3F33"/>
    <w:rsid w:val="004F44AF"/>
    <w:rsid w:val="00500FFF"/>
    <w:rsid w:val="00502860"/>
    <w:rsid w:val="00510518"/>
    <w:rsid w:val="00512758"/>
    <w:rsid w:val="00515872"/>
    <w:rsid w:val="0051652E"/>
    <w:rsid w:val="00516A6E"/>
    <w:rsid w:val="00527E63"/>
    <w:rsid w:val="005312CF"/>
    <w:rsid w:val="005318A6"/>
    <w:rsid w:val="00537833"/>
    <w:rsid w:val="0054462A"/>
    <w:rsid w:val="00546815"/>
    <w:rsid w:val="00555E5F"/>
    <w:rsid w:val="005647C3"/>
    <w:rsid w:val="005747B1"/>
    <w:rsid w:val="005766E7"/>
    <w:rsid w:val="005922FB"/>
    <w:rsid w:val="005975A0"/>
    <w:rsid w:val="0059766C"/>
    <w:rsid w:val="005A2F57"/>
    <w:rsid w:val="005A5AA0"/>
    <w:rsid w:val="005B3149"/>
    <w:rsid w:val="005B31F5"/>
    <w:rsid w:val="005B7610"/>
    <w:rsid w:val="005B7DEC"/>
    <w:rsid w:val="005C0823"/>
    <w:rsid w:val="005C2A7E"/>
    <w:rsid w:val="005D0EDA"/>
    <w:rsid w:val="005D49AF"/>
    <w:rsid w:val="005D79B4"/>
    <w:rsid w:val="005E12BC"/>
    <w:rsid w:val="005F4041"/>
    <w:rsid w:val="0060133E"/>
    <w:rsid w:val="00603807"/>
    <w:rsid w:val="00606976"/>
    <w:rsid w:val="00607855"/>
    <w:rsid w:val="00616B07"/>
    <w:rsid w:val="0061788D"/>
    <w:rsid w:val="00621825"/>
    <w:rsid w:val="00625D6F"/>
    <w:rsid w:val="006331D6"/>
    <w:rsid w:val="00633836"/>
    <w:rsid w:val="006350CC"/>
    <w:rsid w:val="0063526A"/>
    <w:rsid w:val="00640EFD"/>
    <w:rsid w:val="00650A95"/>
    <w:rsid w:val="0066122B"/>
    <w:rsid w:val="00671E6F"/>
    <w:rsid w:val="0068786C"/>
    <w:rsid w:val="0068793C"/>
    <w:rsid w:val="006908E8"/>
    <w:rsid w:val="00696531"/>
    <w:rsid w:val="006977D0"/>
    <w:rsid w:val="006A0787"/>
    <w:rsid w:val="006B0710"/>
    <w:rsid w:val="006B22C5"/>
    <w:rsid w:val="006B35E8"/>
    <w:rsid w:val="006C30CA"/>
    <w:rsid w:val="006C4975"/>
    <w:rsid w:val="006D17EB"/>
    <w:rsid w:val="006D34A3"/>
    <w:rsid w:val="006D4EBD"/>
    <w:rsid w:val="006D5365"/>
    <w:rsid w:val="006D5AE4"/>
    <w:rsid w:val="006D6B37"/>
    <w:rsid w:val="006D7109"/>
    <w:rsid w:val="006E5506"/>
    <w:rsid w:val="006F08CA"/>
    <w:rsid w:val="006F40EA"/>
    <w:rsid w:val="006F419A"/>
    <w:rsid w:val="007069F3"/>
    <w:rsid w:val="007117B7"/>
    <w:rsid w:val="00721013"/>
    <w:rsid w:val="00726E66"/>
    <w:rsid w:val="00730237"/>
    <w:rsid w:val="00730E0E"/>
    <w:rsid w:val="00733E8A"/>
    <w:rsid w:val="00742F90"/>
    <w:rsid w:val="00744693"/>
    <w:rsid w:val="00746113"/>
    <w:rsid w:val="00763C4C"/>
    <w:rsid w:val="00767A31"/>
    <w:rsid w:val="00770A12"/>
    <w:rsid w:val="007722BA"/>
    <w:rsid w:val="0078284E"/>
    <w:rsid w:val="007853B3"/>
    <w:rsid w:val="007876F0"/>
    <w:rsid w:val="00793565"/>
    <w:rsid w:val="00793DF2"/>
    <w:rsid w:val="007A06AF"/>
    <w:rsid w:val="007A2844"/>
    <w:rsid w:val="007A7252"/>
    <w:rsid w:val="007A7E00"/>
    <w:rsid w:val="007B01D3"/>
    <w:rsid w:val="007B7660"/>
    <w:rsid w:val="007B7787"/>
    <w:rsid w:val="007C03A9"/>
    <w:rsid w:val="007C0CC5"/>
    <w:rsid w:val="007C2406"/>
    <w:rsid w:val="007D1E60"/>
    <w:rsid w:val="007D21B2"/>
    <w:rsid w:val="007E196C"/>
    <w:rsid w:val="007E342A"/>
    <w:rsid w:val="007E3549"/>
    <w:rsid w:val="007F0778"/>
    <w:rsid w:val="007F6294"/>
    <w:rsid w:val="0080146A"/>
    <w:rsid w:val="0080419B"/>
    <w:rsid w:val="00807C44"/>
    <w:rsid w:val="0081286D"/>
    <w:rsid w:val="008138C8"/>
    <w:rsid w:val="0081597A"/>
    <w:rsid w:val="00816036"/>
    <w:rsid w:val="00821711"/>
    <w:rsid w:val="00825722"/>
    <w:rsid w:val="008312A2"/>
    <w:rsid w:val="00833122"/>
    <w:rsid w:val="008372B4"/>
    <w:rsid w:val="00845923"/>
    <w:rsid w:val="00852C18"/>
    <w:rsid w:val="00862A41"/>
    <w:rsid w:val="00870DE1"/>
    <w:rsid w:val="00871D7D"/>
    <w:rsid w:val="00872796"/>
    <w:rsid w:val="00873EEB"/>
    <w:rsid w:val="00874025"/>
    <w:rsid w:val="0087447E"/>
    <w:rsid w:val="008815B1"/>
    <w:rsid w:val="00883E0F"/>
    <w:rsid w:val="00890571"/>
    <w:rsid w:val="008910A0"/>
    <w:rsid w:val="008A02D7"/>
    <w:rsid w:val="008A04C4"/>
    <w:rsid w:val="008A406D"/>
    <w:rsid w:val="008B2164"/>
    <w:rsid w:val="008B296A"/>
    <w:rsid w:val="008E02E6"/>
    <w:rsid w:val="008E44FF"/>
    <w:rsid w:val="008F1BF9"/>
    <w:rsid w:val="008F2CCA"/>
    <w:rsid w:val="008F4718"/>
    <w:rsid w:val="008F4C59"/>
    <w:rsid w:val="00903324"/>
    <w:rsid w:val="0092307A"/>
    <w:rsid w:val="0092412C"/>
    <w:rsid w:val="00933374"/>
    <w:rsid w:val="00937433"/>
    <w:rsid w:val="00944DAE"/>
    <w:rsid w:val="00945C99"/>
    <w:rsid w:val="009544D7"/>
    <w:rsid w:val="00955798"/>
    <w:rsid w:val="00960E40"/>
    <w:rsid w:val="00980195"/>
    <w:rsid w:val="00986008"/>
    <w:rsid w:val="009904B7"/>
    <w:rsid w:val="00991544"/>
    <w:rsid w:val="00994A6C"/>
    <w:rsid w:val="0099614A"/>
    <w:rsid w:val="0099643A"/>
    <w:rsid w:val="009A237D"/>
    <w:rsid w:val="009A79C3"/>
    <w:rsid w:val="009B080F"/>
    <w:rsid w:val="009B7EFC"/>
    <w:rsid w:val="009C505D"/>
    <w:rsid w:val="009C68FE"/>
    <w:rsid w:val="009D1941"/>
    <w:rsid w:val="009D1B58"/>
    <w:rsid w:val="009D4AFD"/>
    <w:rsid w:val="009D4B43"/>
    <w:rsid w:val="009E0BF2"/>
    <w:rsid w:val="009E14BE"/>
    <w:rsid w:val="009E7640"/>
    <w:rsid w:val="009F21CB"/>
    <w:rsid w:val="009F65CA"/>
    <w:rsid w:val="00A17923"/>
    <w:rsid w:val="00A17B98"/>
    <w:rsid w:val="00A17E14"/>
    <w:rsid w:val="00A239BA"/>
    <w:rsid w:val="00A24ED7"/>
    <w:rsid w:val="00A27383"/>
    <w:rsid w:val="00A36E3A"/>
    <w:rsid w:val="00A51032"/>
    <w:rsid w:val="00A563BF"/>
    <w:rsid w:val="00A569FE"/>
    <w:rsid w:val="00A64FEB"/>
    <w:rsid w:val="00A650F5"/>
    <w:rsid w:val="00A7207D"/>
    <w:rsid w:val="00A744E8"/>
    <w:rsid w:val="00A7616E"/>
    <w:rsid w:val="00A938FA"/>
    <w:rsid w:val="00A93D35"/>
    <w:rsid w:val="00A96347"/>
    <w:rsid w:val="00AA0468"/>
    <w:rsid w:val="00AA07D7"/>
    <w:rsid w:val="00AA41AC"/>
    <w:rsid w:val="00AA731C"/>
    <w:rsid w:val="00AA78F3"/>
    <w:rsid w:val="00AB28F7"/>
    <w:rsid w:val="00AD1522"/>
    <w:rsid w:val="00AD322C"/>
    <w:rsid w:val="00AD7478"/>
    <w:rsid w:val="00AE43F1"/>
    <w:rsid w:val="00AF37F3"/>
    <w:rsid w:val="00AF432A"/>
    <w:rsid w:val="00AF450E"/>
    <w:rsid w:val="00AF7D6D"/>
    <w:rsid w:val="00B002CE"/>
    <w:rsid w:val="00B012C1"/>
    <w:rsid w:val="00B01654"/>
    <w:rsid w:val="00B04349"/>
    <w:rsid w:val="00B12EAB"/>
    <w:rsid w:val="00B13885"/>
    <w:rsid w:val="00B13F5D"/>
    <w:rsid w:val="00B34265"/>
    <w:rsid w:val="00B445A6"/>
    <w:rsid w:val="00B446A2"/>
    <w:rsid w:val="00B52168"/>
    <w:rsid w:val="00B523C8"/>
    <w:rsid w:val="00B56A38"/>
    <w:rsid w:val="00B66283"/>
    <w:rsid w:val="00B66EAC"/>
    <w:rsid w:val="00B71266"/>
    <w:rsid w:val="00B7266F"/>
    <w:rsid w:val="00B739CA"/>
    <w:rsid w:val="00B81D38"/>
    <w:rsid w:val="00B8767E"/>
    <w:rsid w:val="00B87B81"/>
    <w:rsid w:val="00B87E96"/>
    <w:rsid w:val="00B97F29"/>
    <w:rsid w:val="00BA0A12"/>
    <w:rsid w:val="00BA217C"/>
    <w:rsid w:val="00BA3FCD"/>
    <w:rsid w:val="00BB396F"/>
    <w:rsid w:val="00BB42F3"/>
    <w:rsid w:val="00BC23E4"/>
    <w:rsid w:val="00BC2D24"/>
    <w:rsid w:val="00BC5C4D"/>
    <w:rsid w:val="00BD0543"/>
    <w:rsid w:val="00BD1D53"/>
    <w:rsid w:val="00BD7A8E"/>
    <w:rsid w:val="00BF268F"/>
    <w:rsid w:val="00BF5116"/>
    <w:rsid w:val="00C00199"/>
    <w:rsid w:val="00C013BB"/>
    <w:rsid w:val="00C2005C"/>
    <w:rsid w:val="00C22547"/>
    <w:rsid w:val="00C25E9A"/>
    <w:rsid w:val="00C27D57"/>
    <w:rsid w:val="00C508D3"/>
    <w:rsid w:val="00C516E3"/>
    <w:rsid w:val="00C518EB"/>
    <w:rsid w:val="00C57DC0"/>
    <w:rsid w:val="00C64ECA"/>
    <w:rsid w:val="00C6543D"/>
    <w:rsid w:val="00C65AC7"/>
    <w:rsid w:val="00C73ACC"/>
    <w:rsid w:val="00C80562"/>
    <w:rsid w:val="00CA2522"/>
    <w:rsid w:val="00CA4FFB"/>
    <w:rsid w:val="00CB30A7"/>
    <w:rsid w:val="00CC13F8"/>
    <w:rsid w:val="00CC1D87"/>
    <w:rsid w:val="00CC54E2"/>
    <w:rsid w:val="00CD6653"/>
    <w:rsid w:val="00CE48C6"/>
    <w:rsid w:val="00CE575C"/>
    <w:rsid w:val="00CE6FC3"/>
    <w:rsid w:val="00CF10E0"/>
    <w:rsid w:val="00CF1394"/>
    <w:rsid w:val="00CF3842"/>
    <w:rsid w:val="00D11461"/>
    <w:rsid w:val="00D15443"/>
    <w:rsid w:val="00D16149"/>
    <w:rsid w:val="00D16E78"/>
    <w:rsid w:val="00D173BC"/>
    <w:rsid w:val="00D24377"/>
    <w:rsid w:val="00D25DE7"/>
    <w:rsid w:val="00D25FCC"/>
    <w:rsid w:val="00D355A6"/>
    <w:rsid w:val="00D515C4"/>
    <w:rsid w:val="00D518B9"/>
    <w:rsid w:val="00D5271D"/>
    <w:rsid w:val="00D5455E"/>
    <w:rsid w:val="00D55CDB"/>
    <w:rsid w:val="00D61B56"/>
    <w:rsid w:val="00D637F0"/>
    <w:rsid w:val="00D67134"/>
    <w:rsid w:val="00D67883"/>
    <w:rsid w:val="00D7171C"/>
    <w:rsid w:val="00D74236"/>
    <w:rsid w:val="00D75055"/>
    <w:rsid w:val="00D758F7"/>
    <w:rsid w:val="00D90DE9"/>
    <w:rsid w:val="00D91202"/>
    <w:rsid w:val="00D92A82"/>
    <w:rsid w:val="00D92C4E"/>
    <w:rsid w:val="00D96114"/>
    <w:rsid w:val="00DA68A2"/>
    <w:rsid w:val="00DB13CE"/>
    <w:rsid w:val="00DB15CB"/>
    <w:rsid w:val="00DB1FBF"/>
    <w:rsid w:val="00DB71C8"/>
    <w:rsid w:val="00DD10B0"/>
    <w:rsid w:val="00DE0D13"/>
    <w:rsid w:val="00DE462F"/>
    <w:rsid w:val="00DE5A67"/>
    <w:rsid w:val="00DE65F0"/>
    <w:rsid w:val="00DE68B9"/>
    <w:rsid w:val="00DF0773"/>
    <w:rsid w:val="00DF1D6A"/>
    <w:rsid w:val="00DF4314"/>
    <w:rsid w:val="00DF4B9B"/>
    <w:rsid w:val="00DF70DC"/>
    <w:rsid w:val="00E02320"/>
    <w:rsid w:val="00E11A12"/>
    <w:rsid w:val="00E20E44"/>
    <w:rsid w:val="00E22C0E"/>
    <w:rsid w:val="00E24F98"/>
    <w:rsid w:val="00E34C36"/>
    <w:rsid w:val="00E3621B"/>
    <w:rsid w:val="00E40366"/>
    <w:rsid w:val="00E41073"/>
    <w:rsid w:val="00E413FB"/>
    <w:rsid w:val="00E41BB9"/>
    <w:rsid w:val="00E41CE5"/>
    <w:rsid w:val="00E468E1"/>
    <w:rsid w:val="00E51849"/>
    <w:rsid w:val="00E71A1D"/>
    <w:rsid w:val="00E728AF"/>
    <w:rsid w:val="00E74201"/>
    <w:rsid w:val="00E754E2"/>
    <w:rsid w:val="00E76296"/>
    <w:rsid w:val="00E76E25"/>
    <w:rsid w:val="00E91A7F"/>
    <w:rsid w:val="00E92662"/>
    <w:rsid w:val="00E93EFD"/>
    <w:rsid w:val="00EA2898"/>
    <w:rsid w:val="00EA3BE5"/>
    <w:rsid w:val="00EA4C2F"/>
    <w:rsid w:val="00EA6F14"/>
    <w:rsid w:val="00EB0CFA"/>
    <w:rsid w:val="00EB270F"/>
    <w:rsid w:val="00EB470C"/>
    <w:rsid w:val="00EB55E5"/>
    <w:rsid w:val="00EB63BB"/>
    <w:rsid w:val="00EC0FB7"/>
    <w:rsid w:val="00EC1121"/>
    <w:rsid w:val="00EC6FDE"/>
    <w:rsid w:val="00ED403B"/>
    <w:rsid w:val="00EF7B66"/>
    <w:rsid w:val="00F05187"/>
    <w:rsid w:val="00F11A2A"/>
    <w:rsid w:val="00F1428E"/>
    <w:rsid w:val="00F2060A"/>
    <w:rsid w:val="00F24D3F"/>
    <w:rsid w:val="00F2561F"/>
    <w:rsid w:val="00F266B3"/>
    <w:rsid w:val="00F3139D"/>
    <w:rsid w:val="00F32ADD"/>
    <w:rsid w:val="00F42A55"/>
    <w:rsid w:val="00F43F30"/>
    <w:rsid w:val="00F559CB"/>
    <w:rsid w:val="00F64849"/>
    <w:rsid w:val="00F65336"/>
    <w:rsid w:val="00F73FD9"/>
    <w:rsid w:val="00F759DE"/>
    <w:rsid w:val="00F77FA4"/>
    <w:rsid w:val="00F84AA2"/>
    <w:rsid w:val="00F933D8"/>
    <w:rsid w:val="00F967F4"/>
    <w:rsid w:val="00FC5B8E"/>
    <w:rsid w:val="00FC6504"/>
    <w:rsid w:val="00FC6F4A"/>
    <w:rsid w:val="00FD190B"/>
    <w:rsid w:val="00FD32D8"/>
    <w:rsid w:val="00FE1B9D"/>
    <w:rsid w:val="00FE2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3F78F4"/>
  <w15:chartTrackingRefBased/>
  <w15:docId w15:val="{295C2AAD-D349-4108-B64E-90777EC81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497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2DiagramaCharCharDiagramaDiagramaDiagramaCharCharDiagramaDiagrama">
    <w:name w:val="Diagrama Diagrama2 Diagrama Char Char Diagrama Diagrama Diagrama Char Char Diagrama Diagrama"/>
    <w:basedOn w:val="prastasis"/>
    <w:rsid w:val="006C4975"/>
    <w:pPr>
      <w:widowControl w:val="0"/>
      <w:adjustRightInd w:val="0"/>
      <w:spacing w:after="160" w:line="240" w:lineRule="exact"/>
      <w:jc w:val="both"/>
    </w:pPr>
    <w:rPr>
      <w:rFonts w:ascii="Tahoma" w:hAnsi="Tahoma"/>
      <w:sz w:val="20"/>
      <w:szCs w:val="20"/>
      <w:lang w:val="en-US"/>
    </w:rPr>
  </w:style>
  <w:style w:type="table" w:styleId="Lentelstinklelis">
    <w:name w:val="Table Grid"/>
    <w:basedOn w:val="prastojilentel"/>
    <w:uiPriority w:val="39"/>
    <w:rsid w:val="006C4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F42A55"/>
  </w:style>
  <w:style w:type="paragraph" w:customStyle="1" w:styleId="Betarp1">
    <w:name w:val="Be tarpų1"/>
    <w:qFormat/>
    <w:rsid w:val="00F42A55"/>
    <w:rPr>
      <w:rFonts w:ascii="Calibri" w:eastAsia="Calibri" w:hAnsi="Calibri"/>
      <w:sz w:val="22"/>
      <w:szCs w:val="22"/>
      <w:lang w:eastAsia="en-US"/>
    </w:rPr>
  </w:style>
  <w:style w:type="character" w:customStyle="1" w:styleId="apple-converted-space">
    <w:name w:val="apple-converted-space"/>
    <w:basedOn w:val="Numatytasispastraiposriftas"/>
    <w:rsid w:val="004F3F33"/>
  </w:style>
  <w:style w:type="paragraph" w:styleId="Debesliotekstas">
    <w:name w:val="Balloon Text"/>
    <w:basedOn w:val="prastasis"/>
    <w:semiHidden/>
    <w:rsid w:val="00E728AF"/>
    <w:rPr>
      <w:rFonts w:ascii="Tahoma" w:hAnsi="Tahoma" w:cs="Tahoma"/>
      <w:sz w:val="16"/>
      <w:szCs w:val="16"/>
    </w:rPr>
  </w:style>
  <w:style w:type="paragraph" w:styleId="Antrats">
    <w:name w:val="header"/>
    <w:basedOn w:val="prastasis"/>
    <w:link w:val="AntratsDiagrama"/>
    <w:uiPriority w:val="99"/>
    <w:rsid w:val="009C505D"/>
    <w:pPr>
      <w:tabs>
        <w:tab w:val="center" w:pos="4819"/>
        <w:tab w:val="right" w:pos="9638"/>
      </w:tabs>
    </w:pPr>
  </w:style>
  <w:style w:type="character" w:styleId="Puslapionumeris">
    <w:name w:val="page number"/>
    <w:basedOn w:val="Numatytasispastraiposriftas"/>
    <w:rsid w:val="009C505D"/>
  </w:style>
  <w:style w:type="paragraph" w:customStyle="1" w:styleId="Sraopastraipa1">
    <w:name w:val="Sąrašo pastraipa1"/>
    <w:basedOn w:val="prastasis"/>
    <w:uiPriority w:val="34"/>
    <w:qFormat/>
    <w:rsid w:val="006350CC"/>
    <w:pPr>
      <w:spacing w:before="100" w:beforeAutospacing="1" w:after="100" w:afterAutospacing="1"/>
    </w:pPr>
    <w:rPr>
      <w:lang w:eastAsia="lt-LT"/>
    </w:rPr>
  </w:style>
  <w:style w:type="paragraph" w:customStyle="1" w:styleId="CharCharDiagramaCharChar1DiagramaCharChar1DiagramaDiagramaDiagramaDiagrama">
    <w:name w:val="Char Char Diagrama Char Char1 Diagrama Char Char1 Diagrama Diagrama Diagrama Diagrama"/>
    <w:basedOn w:val="prastasis"/>
    <w:rsid w:val="00203E4F"/>
    <w:pPr>
      <w:spacing w:after="160" w:line="240" w:lineRule="exact"/>
    </w:pPr>
    <w:rPr>
      <w:rFonts w:ascii="Tahoma" w:hAnsi="Tahoma"/>
      <w:sz w:val="20"/>
      <w:szCs w:val="20"/>
      <w:lang w:val="en-US"/>
    </w:rPr>
  </w:style>
  <w:style w:type="paragraph" w:styleId="Porat">
    <w:name w:val="footer"/>
    <w:basedOn w:val="prastasis"/>
    <w:link w:val="PoratDiagrama"/>
    <w:uiPriority w:val="99"/>
    <w:rsid w:val="00B445A6"/>
    <w:pPr>
      <w:tabs>
        <w:tab w:val="center" w:pos="4819"/>
        <w:tab w:val="right" w:pos="9638"/>
      </w:tabs>
    </w:pPr>
  </w:style>
  <w:style w:type="character" w:customStyle="1" w:styleId="PoratDiagrama">
    <w:name w:val="Poraštė Diagrama"/>
    <w:link w:val="Porat"/>
    <w:uiPriority w:val="99"/>
    <w:rsid w:val="00B445A6"/>
    <w:rPr>
      <w:sz w:val="24"/>
      <w:szCs w:val="24"/>
      <w:lang w:eastAsia="en-US"/>
    </w:rPr>
  </w:style>
  <w:style w:type="paragraph" w:styleId="Sraopastraipa">
    <w:name w:val="List Paragraph"/>
    <w:basedOn w:val="prastasis"/>
    <w:uiPriority w:val="34"/>
    <w:qFormat/>
    <w:rsid w:val="00B523C8"/>
    <w:pPr>
      <w:suppressAutoHyphens/>
      <w:ind w:left="720"/>
      <w:contextualSpacing/>
    </w:pPr>
    <w:rPr>
      <w:lang w:eastAsia="ar-SA"/>
    </w:rPr>
  </w:style>
  <w:style w:type="paragraph" w:styleId="Puslapioinaostekstas">
    <w:name w:val="footnote text"/>
    <w:basedOn w:val="prastasis"/>
    <w:link w:val="PuslapioinaostekstasDiagrama"/>
    <w:uiPriority w:val="99"/>
    <w:unhideWhenUsed/>
    <w:rsid w:val="00276450"/>
    <w:pPr>
      <w:overflowPunct w:val="0"/>
      <w:autoSpaceDE w:val="0"/>
      <w:autoSpaceDN w:val="0"/>
      <w:adjustRightInd w:val="0"/>
    </w:pPr>
    <w:rPr>
      <w:rFonts w:ascii="HelveticaLT" w:hAnsi="HelveticaLT"/>
      <w:sz w:val="20"/>
      <w:szCs w:val="20"/>
      <w:lang w:val="en-GB"/>
    </w:rPr>
  </w:style>
  <w:style w:type="character" w:customStyle="1" w:styleId="PuslapioinaostekstasDiagrama">
    <w:name w:val="Puslapio išnašos tekstas Diagrama"/>
    <w:basedOn w:val="Numatytasispastraiposriftas"/>
    <w:link w:val="Puslapioinaostekstas"/>
    <w:uiPriority w:val="99"/>
    <w:rsid w:val="00276450"/>
    <w:rPr>
      <w:rFonts w:ascii="HelveticaLT" w:hAnsi="HelveticaLT"/>
      <w:lang w:val="en-GB" w:eastAsia="en-US"/>
    </w:rPr>
  </w:style>
  <w:style w:type="paragraph" w:styleId="Komentarotekstas">
    <w:name w:val="annotation text"/>
    <w:basedOn w:val="prastasis"/>
    <w:link w:val="KomentarotekstasDiagrama"/>
    <w:rsid w:val="002D0440"/>
    <w:rPr>
      <w:sz w:val="20"/>
      <w:szCs w:val="20"/>
      <w:lang w:eastAsia="lt-LT"/>
    </w:rPr>
  </w:style>
  <w:style w:type="character" w:customStyle="1" w:styleId="KomentarotekstasDiagrama">
    <w:name w:val="Komentaro tekstas Diagrama"/>
    <w:basedOn w:val="Numatytasispastraiposriftas"/>
    <w:link w:val="Komentarotekstas"/>
    <w:rsid w:val="002D0440"/>
  </w:style>
  <w:style w:type="paragraph" w:styleId="HTMLiankstoformatuotas">
    <w:name w:val="HTML Preformatted"/>
    <w:basedOn w:val="prastasis"/>
    <w:link w:val="HTMLiankstoformatuotasDiagrama"/>
    <w:rsid w:val="007E342A"/>
    <w:pPr>
      <w:overflowPunct w:val="0"/>
      <w:autoSpaceDE w:val="0"/>
      <w:autoSpaceDN w:val="0"/>
      <w:adjustRightInd w:val="0"/>
      <w:textAlignment w:val="baseline"/>
    </w:pPr>
    <w:rPr>
      <w:rFonts w:ascii="Consolas" w:eastAsia="PMingLiU" w:hAnsi="Consolas"/>
      <w:sz w:val="20"/>
      <w:szCs w:val="20"/>
      <w:lang w:val="en-GB"/>
    </w:rPr>
  </w:style>
  <w:style w:type="character" w:customStyle="1" w:styleId="HTMLiankstoformatuotasDiagrama">
    <w:name w:val="HTML iš anksto formatuotas Diagrama"/>
    <w:basedOn w:val="Numatytasispastraiposriftas"/>
    <w:link w:val="HTMLiankstoformatuotas"/>
    <w:rsid w:val="007E342A"/>
    <w:rPr>
      <w:rFonts w:ascii="Consolas" w:eastAsia="PMingLiU" w:hAnsi="Consolas"/>
      <w:lang w:val="en-GB" w:eastAsia="en-US"/>
    </w:rPr>
  </w:style>
  <w:style w:type="character" w:styleId="Komentaronuoroda">
    <w:name w:val="annotation reference"/>
    <w:basedOn w:val="Numatytasispastraiposriftas"/>
    <w:rsid w:val="00AD322C"/>
    <w:rPr>
      <w:sz w:val="16"/>
      <w:szCs w:val="16"/>
    </w:rPr>
  </w:style>
  <w:style w:type="paragraph" w:styleId="Komentarotema">
    <w:name w:val="annotation subject"/>
    <w:basedOn w:val="Komentarotekstas"/>
    <w:next w:val="Komentarotekstas"/>
    <w:link w:val="KomentarotemaDiagrama"/>
    <w:rsid w:val="00AD322C"/>
    <w:rPr>
      <w:b/>
      <w:bCs/>
      <w:lang w:eastAsia="en-US"/>
    </w:rPr>
  </w:style>
  <w:style w:type="character" w:customStyle="1" w:styleId="KomentarotemaDiagrama">
    <w:name w:val="Komentaro tema Diagrama"/>
    <w:basedOn w:val="KomentarotekstasDiagrama"/>
    <w:link w:val="Komentarotema"/>
    <w:rsid w:val="00AD322C"/>
    <w:rPr>
      <w:b/>
      <w:bCs/>
      <w:lang w:eastAsia="en-US"/>
    </w:rPr>
  </w:style>
  <w:style w:type="character" w:styleId="Hipersaitas">
    <w:name w:val="Hyperlink"/>
    <w:uiPriority w:val="99"/>
    <w:unhideWhenUsed/>
    <w:rsid w:val="002214F5"/>
    <w:rPr>
      <w:color w:val="006666"/>
      <w:u w:val="single"/>
    </w:rPr>
  </w:style>
  <w:style w:type="paragraph" w:customStyle="1" w:styleId="m-333549825761664900xmsonormal">
    <w:name w:val="m_-333549825761664900x_msonormal"/>
    <w:basedOn w:val="prastasis"/>
    <w:rsid w:val="00AA0468"/>
    <w:pPr>
      <w:spacing w:before="100" w:beforeAutospacing="1" w:after="100" w:afterAutospacing="1"/>
    </w:pPr>
    <w:rPr>
      <w:lang w:eastAsia="lt-LT"/>
    </w:rPr>
  </w:style>
  <w:style w:type="paragraph" w:customStyle="1" w:styleId="m-837447573497084595xxmsonormal">
    <w:name w:val="m_-837447573497084595x_x_msonormal"/>
    <w:basedOn w:val="prastasis"/>
    <w:rsid w:val="00AA0468"/>
    <w:pPr>
      <w:spacing w:before="100" w:beforeAutospacing="1" w:after="100" w:afterAutospacing="1"/>
    </w:pPr>
    <w:rPr>
      <w:lang w:eastAsia="lt-LT"/>
    </w:rPr>
  </w:style>
  <w:style w:type="paragraph" w:styleId="prastasiniatinklio">
    <w:name w:val="Normal (Web)"/>
    <w:basedOn w:val="prastasis"/>
    <w:uiPriority w:val="99"/>
    <w:unhideWhenUsed/>
    <w:rsid w:val="00AA0468"/>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98019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8316">
      <w:bodyDiv w:val="1"/>
      <w:marLeft w:val="0"/>
      <w:marRight w:val="0"/>
      <w:marTop w:val="0"/>
      <w:marBottom w:val="0"/>
      <w:divBdr>
        <w:top w:val="none" w:sz="0" w:space="0" w:color="auto"/>
        <w:left w:val="none" w:sz="0" w:space="0" w:color="auto"/>
        <w:bottom w:val="none" w:sz="0" w:space="0" w:color="auto"/>
        <w:right w:val="none" w:sz="0" w:space="0" w:color="auto"/>
      </w:divBdr>
      <w:divsChild>
        <w:div w:id="1454858281">
          <w:marLeft w:val="0"/>
          <w:marRight w:val="0"/>
          <w:marTop w:val="0"/>
          <w:marBottom w:val="0"/>
          <w:divBdr>
            <w:top w:val="none" w:sz="0" w:space="0" w:color="auto"/>
            <w:left w:val="none" w:sz="0" w:space="0" w:color="auto"/>
            <w:bottom w:val="none" w:sz="0" w:space="0" w:color="auto"/>
            <w:right w:val="none" w:sz="0" w:space="0" w:color="auto"/>
          </w:divBdr>
          <w:divsChild>
            <w:div w:id="306011061">
              <w:marLeft w:val="0"/>
              <w:marRight w:val="0"/>
              <w:marTop w:val="0"/>
              <w:marBottom w:val="0"/>
              <w:divBdr>
                <w:top w:val="none" w:sz="0" w:space="0" w:color="auto"/>
                <w:left w:val="none" w:sz="0" w:space="0" w:color="auto"/>
                <w:bottom w:val="none" w:sz="0" w:space="0" w:color="auto"/>
                <w:right w:val="none" w:sz="0" w:space="0" w:color="auto"/>
              </w:divBdr>
              <w:divsChild>
                <w:div w:id="545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4620">
          <w:marLeft w:val="0"/>
          <w:marRight w:val="0"/>
          <w:marTop w:val="0"/>
          <w:marBottom w:val="0"/>
          <w:divBdr>
            <w:top w:val="none" w:sz="0" w:space="0" w:color="auto"/>
            <w:left w:val="none" w:sz="0" w:space="0" w:color="auto"/>
            <w:bottom w:val="none" w:sz="0" w:space="0" w:color="auto"/>
            <w:right w:val="none" w:sz="0" w:space="0" w:color="auto"/>
          </w:divBdr>
          <w:divsChild>
            <w:div w:id="631058671">
              <w:marLeft w:val="0"/>
              <w:marRight w:val="0"/>
              <w:marTop w:val="0"/>
              <w:marBottom w:val="0"/>
              <w:divBdr>
                <w:top w:val="none" w:sz="0" w:space="0" w:color="auto"/>
                <w:left w:val="none" w:sz="0" w:space="0" w:color="auto"/>
                <w:bottom w:val="none" w:sz="0" w:space="0" w:color="auto"/>
                <w:right w:val="none" w:sz="0" w:space="0" w:color="auto"/>
              </w:divBdr>
              <w:divsChild>
                <w:div w:id="4556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06791">
      <w:bodyDiv w:val="1"/>
      <w:marLeft w:val="0"/>
      <w:marRight w:val="0"/>
      <w:marTop w:val="0"/>
      <w:marBottom w:val="0"/>
      <w:divBdr>
        <w:top w:val="none" w:sz="0" w:space="0" w:color="auto"/>
        <w:left w:val="none" w:sz="0" w:space="0" w:color="auto"/>
        <w:bottom w:val="none" w:sz="0" w:space="0" w:color="auto"/>
        <w:right w:val="none" w:sz="0" w:space="0" w:color="auto"/>
      </w:divBdr>
    </w:div>
    <w:div w:id="295721750">
      <w:bodyDiv w:val="1"/>
      <w:marLeft w:val="0"/>
      <w:marRight w:val="0"/>
      <w:marTop w:val="0"/>
      <w:marBottom w:val="0"/>
      <w:divBdr>
        <w:top w:val="none" w:sz="0" w:space="0" w:color="auto"/>
        <w:left w:val="none" w:sz="0" w:space="0" w:color="auto"/>
        <w:bottom w:val="none" w:sz="0" w:space="0" w:color="auto"/>
        <w:right w:val="none" w:sz="0" w:space="0" w:color="auto"/>
      </w:divBdr>
    </w:div>
    <w:div w:id="370417542">
      <w:bodyDiv w:val="1"/>
      <w:marLeft w:val="0"/>
      <w:marRight w:val="0"/>
      <w:marTop w:val="0"/>
      <w:marBottom w:val="0"/>
      <w:divBdr>
        <w:top w:val="none" w:sz="0" w:space="0" w:color="auto"/>
        <w:left w:val="none" w:sz="0" w:space="0" w:color="auto"/>
        <w:bottom w:val="none" w:sz="0" w:space="0" w:color="auto"/>
        <w:right w:val="none" w:sz="0" w:space="0" w:color="auto"/>
      </w:divBdr>
    </w:div>
    <w:div w:id="398409836">
      <w:bodyDiv w:val="1"/>
      <w:marLeft w:val="0"/>
      <w:marRight w:val="0"/>
      <w:marTop w:val="0"/>
      <w:marBottom w:val="0"/>
      <w:divBdr>
        <w:top w:val="none" w:sz="0" w:space="0" w:color="auto"/>
        <w:left w:val="none" w:sz="0" w:space="0" w:color="auto"/>
        <w:bottom w:val="none" w:sz="0" w:space="0" w:color="auto"/>
        <w:right w:val="none" w:sz="0" w:space="0" w:color="auto"/>
      </w:divBdr>
    </w:div>
    <w:div w:id="416904723">
      <w:bodyDiv w:val="1"/>
      <w:marLeft w:val="0"/>
      <w:marRight w:val="0"/>
      <w:marTop w:val="0"/>
      <w:marBottom w:val="0"/>
      <w:divBdr>
        <w:top w:val="none" w:sz="0" w:space="0" w:color="auto"/>
        <w:left w:val="none" w:sz="0" w:space="0" w:color="auto"/>
        <w:bottom w:val="none" w:sz="0" w:space="0" w:color="auto"/>
        <w:right w:val="none" w:sz="0" w:space="0" w:color="auto"/>
      </w:divBdr>
    </w:div>
    <w:div w:id="504515145">
      <w:bodyDiv w:val="1"/>
      <w:marLeft w:val="225"/>
      <w:marRight w:val="225"/>
      <w:marTop w:val="0"/>
      <w:marBottom w:val="0"/>
      <w:divBdr>
        <w:top w:val="none" w:sz="0" w:space="0" w:color="auto"/>
        <w:left w:val="none" w:sz="0" w:space="0" w:color="auto"/>
        <w:bottom w:val="none" w:sz="0" w:space="0" w:color="auto"/>
        <w:right w:val="none" w:sz="0" w:space="0" w:color="auto"/>
      </w:divBdr>
      <w:divsChild>
        <w:div w:id="1183742135">
          <w:marLeft w:val="0"/>
          <w:marRight w:val="0"/>
          <w:marTop w:val="0"/>
          <w:marBottom w:val="0"/>
          <w:divBdr>
            <w:top w:val="none" w:sz="0" w:space="0" w:color="auto"/>
            <w:left w:val="none" w:sz="0" w:space="0" w:color="auto"/>
            <w:bottom w:val="none" w:sz="0" w:space="0" w:color="auto"/>
            <w:right w:val="none" w:sz="0" w:space="0" w:color="auto"/>
          </w:divBdr>
        </w:div>
      </w:divsChild>
    </w:div>
    <w:div w:id="539124679">
      <w:bodyDiv w:val="1"/>
      <w:marLeft w:val="0"/>
      <w:marRight w:val="0"/>
      <w:marTop w:val="0"/>
      <w:marBottom w:val="0"/>
      <w:divBdr>
        <w:top w:val="none" w:sz="0" w:space="0" w:color="auto"/>
        <w:left w:val="none" w:sz="0" w:space="0" w:color="auto"/>
        <w:bottom w:val="none" w:sz="0" w:space="0" w:color="auto"/>
        <w:right w:val="none" w:sz="0" w:space="0" w:color="auto"/>
      </w:divBdr>
      <w:divsChild>
        <w:div w:id="81679925">
          <w:marLeft w:val="0"/>
          <w:marRight w:val="0"/>
          <w:marTop w:val="0"/>
          <w:marBottom w:val="0"/>
          <w:divBdr>
            <w:top w:val="none" w:sz="0" w:space="0" w:color="auto"/>
            <w:left w:val="none" w:sz="0" w:space="0" w:color="auto"/>
            <w:bottom w:val="none" w:sz="0" w:space="0" w:color="auto"/>
            <w:right w:val="none" w:sz="0" w:space="0" w:color="auto"/>
          </w:divBdr>
        </w:div>
        <w:div w:id="1344938459">
          <w:marLeft w:val="0"/>
          <w:marRight w:val="0"/>
          <w:marTop w:val="0"/>
          <w:marBottom w:val="0"/>
          <w:divBdr>
            <w:top w:val="none" w:sz="0" w:space="0" w:color="auto"/>
            <w:left w:val="none" w:sz="0" w:space="0" w:color="auto"/>
            <w:bottom w:val="none" w:sz="0" w:space="0" w:color="auto"/>
            <w:right w:val="none" w:sz="0" w:space="0" w:color="auto"/>
          </w:divBdr>
        </w:div>
        <w:div w:id="1553424044">
          <w:marLeft w:val="0"/>
          <w:marRight w:val="0"/>
          <w:marTop w:val="0"/>
          <w:marBottom w:val="0"/>
          <w:divBdr>
            <w:top w:val="none" w:sz="0" w:space="0" w:color="auto"/>
            <w:left w:val="none" w:sz="0" w:space="0" w:color="auto"/>
            <w:bottom w:val="none" w:sz="0" w:space="0" w:color="auto"/>
            <w:right w:val="none" w:sz="0" w:space="0" w:color="auto"/>
          </w:divBdr>
        </w:div>
      </w:divsChild>
    </w:div>
    <w:div w:id="561067604">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225"/>
      <w:marRight w:val="225"/>
      <w:marTop w:val="0"/>
      <w:marBottom w:val="0"/>
      <w:divBdr>
        <w:top w:val="none" w:sz="0" w:space="0" w:color="auto"/>
        <w:left w:val="none" w:sz="0" w:space="0" w:color="auto"/>
        <w:bottom w:val="none" w:sz="0" w:space="0" w:color="auto"/>
        <w:right w:val="none" w:sz="0" w:space="0" w:color="auto"/>
      </w:divBdr>
      <w:divsChild>
        <w:div w:id="1243296836">
          <w:marLeft w:val="0"/>
          <w:marRight w:val="0"/>
          <w:marTop w:val="0"/>
          <w:marBottom w:val="0"/>
          <w:divBdr>
            <w:top w:val="none" w:sz="0" w:space="0" w:color="auto"/>
            <w:left w:val="none" w:sz="0" w:space="0" w:color="auto"/>
            <w:bottom w:val="none" w:sz="0" w:space="0" w:color="auto"/>
            <w:right w:val="none" w:sz="0" w:space="0" w:color="auto"/>
          </w:divBdr>
        </w:div>
      </w:divsChild>
    </w:div>
    <w:div w:id="1237787349">
      <w:bodyDiv w:val="1"/>
      <w:marLeft w:val="0"/>
      <w:marRight w:val="0"/>
      <w:marTop w:val="0"/>
      <w:marBottom w:val="0"/>
      <w:divBdr>
        <w:top w:val="none" w:sz="0" w:space="0" w:color="auto"/>
        <w:left w:val="none" w:sz="0" w:space="0" w:color="auto"/>
        <w:bottom w:val="none" w:sz="0" w:space="0" w:color="auto"/>
        <w:right w:val="none" w:sz="0" w:space="0" w:color="auto"/>
      </w:divBdr>
    </w:div>
    <w:div w:id="1444611449">
      <w:bodyDiv w:val="1"/>
      <w:marLeft w:val="0"/>
      <w:marRight w:val="0"/>
      <w:marTop w:val="0"/>
      <w:marBottom w:val="0"/>
      <w:divBdr>
        <w:top w:val="none" w:sz="0" w:space="0" w:color="auto"/>
        <w:left w:val="none" w:sz="0" w:space="0" w:color="auto"/>
        <w:bottom w:val="none" w:sz="0" w:space="0" w:color="auto"/>
        <w:right w:val="none" w:sz="0" w:space="0" w:color="auto"/>
      </w:divBdr>
      <w:divsChild>
        <w:div w:id="1306276846">
          <w:marLeft w:val="0"/>
          <w:marRight w:val="0"/>
          <w:marTop w:val="0"/>
          <w:marBottom w:val="0"/>
          <w:divBdr>
            <w:top w:val="none" w:sz="0" w:space="0" w:color="auto"/>
            <w:left w:val="none" w:sz="0" w:space="0" w:color="auto"/>
            <w:bottom w:val="none" w:sz="0" w:space="0" w:color="auto"/>
            <w:right w:val="none" w:sz="0" w:space="0" w:color="auto"/>
          </w:divBdr>
        </w:div>
      </w:divsChild>
    </w:div>
    <w:div w:id="1468012754">
      <w:bodyDiv w:val="1"/>
      <w:marLeft w:val="0"/>
      <w:marRight w:val="0"/>
      <w:marTop w:val="0"/>
      <w:marBottom w:val="0"/>
      <w:divBdr>
        <w:top w:val="none" w:sz="0" w:space="0" w:color="auto"/>
        <w:left w:val="none" w:sz="0" w:space="0" w:color="auto"/>
        <w:bottom w:val="none" w:sz="0" w:space="0" w:color="auto"/>
        <w:right w:val="none" w:sz="0" w:space="0" w:color="auto"/>
      </w:divBdr>
    </w:div>
    <w:div w:id="1514687352">
      <w:bodyDiv w:val="1"/>
      <w:marLeft w:val="0"/>
      <w:marRight w:val="0"/>
      <w:marTop w:val="0"/>
      <w:marBottom w:val="0"/>
      <w:divBdr>
        <w:top w:val="none" w:sz="0" w:space="0" w:color="auto"/>
        <w:left w:val="none" w:sz="0" w:space="0" w:color="auto"/>
        <w:bottom w:val="none" w:sz="0" w:space="0" w:color="auto"/>
        <w:right w:val="none" w:sz="0" w:space="0" w:color="auto"/>
      </w:divBdr>
    </w:div>
    <w:div w:id="1580478895">
      <w:bodyDiv w:val="1"/>
      <w:marLeft w:val="0"/>
      <w:marRight w:val="0"/>
      <w:marTop w:val="0"/>
      <w:marBottom w:val="0"/>
      <w:divBdr>
        <w:top w:val="none" w:sz="0" w:space="0" w:color="auto"/>
        <w:left w:val="none" w:sz="0" w:space="0" w:color="auto"/>
        <w:bottom w:val="none" w:sz="0" w:space="0" w:color="auto"/>
        <w:right w:val="none" w:sz="0" w:space="0" w:color="auto"/>
      </w:divBdr>
    </w:div>
    <w:div w:id="1710255148">
      <w:bodyDiv w:val="1"/>
      <w:marLeft w:val="225"/>
      <w:marRight w:val="225"/>
      <w:marTop w:val="0"/>
      <w:marBottom w:val="0"/>
      <w:divBdr>
        <w:top w:val="none" w:sz="0" w:space="0" w:color="auto"/>
        <w:left w:val="none" w:sz="0" w:space="0" w:color="auto"/>
        <w:bottom w:val="none" w:sz="0" w:space="0" w:color="auto"/>
        <w:right w:val="none" w:sz="0" w:space="0" w:color="auto"/>
      </w:divBdr>
      <w:divsChild>
        <w:div w:id="753279831">
          <w:marLeft w:val="0"/>
          <w:marRight w:val="0"/>
          <w:marTop w:val="0"/>
          <w:marBottom w:val="0"/>
          <w:divBdr>
            <w:top w:val="none" w:sz="0" w:space="0" w:color="auto"/>
            <w:left w:val="none" w:sz="0" w:space="0" w:color="auto"/>
            <w:bottom w:val="none" w:sz="0" w:space="0" w:color="auto"/>
            <w:right w:val="none" w:sz="0" w:space="0" w:color="auto"/>
          </w:divBdr>
        </w:div>
      </w:divsChild>
    </w:div>
    <w:div w:id="1757431868">
      <w:bodyDiv w:val="1"/>
      <w:marLeft w:val="0"/>
      <w:marRight w:val="0"/>
      <w:marTop w:val="0"/>
      <w:marBottom w:val="0"/>
      <w:divBdr>
        <w:top w:val="none" w:sz="0" w:space="0" w:color="auto"/>
        <w:left w:val="none" w:sz="0" w:space="0" w:color="auto"/>
        <w:bottom w:val="none" w:sz="0" w:space="0" w:color="auto"/>
        <w:right w:val="none" w:sz="0" w:space="0" w:color="auto"/>
      </w:divBdr>
    </w:div>
    <w:div w:id="1965499285">
      <w:bodyDiv w:val="1"/>
      <w:marLeft w:val="0"/>
      <w:marRight w:val="0"/>
      <w:marTop w:val="0"/>
      <w:marBottom w:val="0"/>
      <w:divBdr>
        <w:top w:val="none" w:sz="0" w:space="0" w:color="auto"/>
        <w:left w:val="none" w:sz="0" w:space="0" w:color="auto"/>
        <w:bottom w:val="none" w:sz="0" w:space="0" w:color="auto"/>
        <w:right w:val="none" w:sz="0" w:space="0" w:color="auto"/>
      </w:divBdr>
    </w:div>
    <w:div w:id="2007434585">
      <w:bodyDiv w:val="1"/>
      <w:marLeft w:val="0"/>
      <w:marRight w:val="0"/>
      <w:marTop w:val="0"/>
      <w:marBottom w:val="0"/>
      <w:divBdr>
        <w:top w:val="none" w:sz="0" w:space="0" w:color="auto"/>
        <w:left w:val="none" w:sz="0" w:space="0" w:color="auto"/>
        <w:bottom w:val="none" w:sz="0" w:space="0" w:color="auto"/>
        <w:right w:val="none" w:sz="0" w:space="0" w:color="auto"/>
      </w:divBdr>
    </w:div>
    <w:div w:id="2072535979">
      <w:bodyDiv w:val="1"/>
      <w:marLeft w:val="0"/>
      <w:marRight w:val="0"/>
      <w:marTop w:val="0"/>
      <w:marBottom w:val="0"/>
      <w:divBdr>
        <w:top w:val="none" w:sz="0" w:space="0" w:color="auto"/>
        <w:left w:val="none" w:sz="0" w:space="0" w:color="auto"/>
        <w:bottom w:val="none" w:sz="0" w:space="0" w:color="auto"/>
        <w:right w:val="none" w:sz="0" w:space="0" w:color="auto"/>
      </w:divBdr>
    </w:div>
    <w:div w:id="21450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c705ec0b20d11e8aa33fe8f0fea665f?jfwid=-1c2dtegp91"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DCE604-4BBF-47EB-82D1-10F8B7476B94}">
  <ds:schemaRefs>
    <ds:schemaRef ds:uri="http://schemas.openxmlformats.org/officeDocument/2006/bibliography"/>
  </ds:schemaRefs>
</ds:datastoreItem>
</file>

<file path=customXml/itemProps2.xml><?xml version="1.0" encoding="utf-8"?>
<ds:datastoreItem xmlns:ds="http://schemas.openxmlformats.org/officeDocument/2006/customXml" ds:itemID="{D36D7F3D-4E80-4779-B217-D5A58FE593F9}"/>
</file>

<file path=customXml/itemProps3.xml><?xml version="1.0" encoding="utf-8"?>
<ds:datastoreItem xmlns:ds="http://schemas.openxmlformats.org/officeDocument/2006/customXml" ds:itemID="{1A86254A-0B17-4D62-A2C8-3EB6FA6C3B53}"/>
</file>

<file path=customXml/itemProps4.xml><?xml version="1.0" encoding="utf-8"?>
<ds:datastoreItem xmlns:ds="http://schemas.openxmlformats.org/officeDocument/2006/customXml" ds:itemID="{67863719-2CD5-4A81-B0A8-2CCCF91D931C}"/>
</file>

<file path=docProps/app.xml><?xml version="1.0" encoding="utf-8"?>
<Properties xmlns="http://schemas.openxmlformats.org/officeDocument/2006/extended-properties" xmlns:vt="http://schemas.openxmlformats.org/officeDocument/2006/docPropsVTypes">
  <Template>Normal</Template>
  <TotalTime>2</TotalTime>
  <Pages>8</Pages>
  <Words>2309</Words>
  <Characters>16357</Characters>
  <Application>Microsoft Office Word</Application>
  <DocSecurity>0</DocSecurity>
  <Lines>136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Aukštojo mokslo tarybos nuostatų patvirtinimo“ projekto (Nr</vt:lpstr>
      <vt:lpstr>Lietuvos Respublikos Vyriausybės nutarimo „Dėl Aukštojo mokslo tarybos nuostatų patvirtinimo“ projekto (Nr</vt:lpstr>
    </vt:vector>
  </TitlesOfParts>
  <Company>Hewlett-Packard Company</Company>
  <LinksUpToDate>false</LinksUpToDate>
  <CharactersWithSpaces>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f1292b62-ca5b-41c5-bf78-ba0536334a42</dc:title>
  <dc:subject/>
  <dc:creator>Dovile Krikščiukaitė</dc:creator>
  <cp:keywords/>
  <cp:lastModifiedBy>Lukošiūnienė Daina</cp:lastModifiedBy>
  <cp:revision>4</cp:revision>
  <cp:lastPrinted>2015-05-20T08:51:00Z</cp:lastPrinted>
  <dcterms:created xsi:type="dcterms:W3CDTF">2019-05-13T08:05:00Z</dcterms:created>
  <dcterms:modified xsi:type="dcterms:W3CDTF">2019-05-13T08:38:00Z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