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06fedd7c1684c729544a3b32fb0fa80"/>
        <w:lock w:val="sdtLocked"/>
        <w:richText/>
      </w:sdtPr>
      <w:sdtContent>
        <w:p w14:paraId="759348AA" w14:textId="77777777">
          <w:pPr>
            <w:tabs>
              <w:tab w:val="center" w:pos="4819"/>
              <w:tab w:val="right" w:pos="9638"/>
            </w:tabs>
          </w:pPr>
        </w:p>
        <w:p w14:paraId="11577465" w14:textId="77777777">
          <w:pPr>
            <w:spacing w:line="259" w:lineRule="auto"/>
            <w:ind w:firstLine="7440"/>
            <w:jc w:val="center"/>
            <w:rPr>
              <w:b/>
              <w:bCs/>
              <w:caps/>
              <w:szCs w:val="28"/>
            </w:rPr>
          </w:pPr>
          <w:r>
            <w:rPr>
              <w:b/>
              <w:bCs/>
              <w:szCs w:val="24"/>
            </w:rPr>
            <w:t>Projektas</w:t>
          </w:r>
        </w:p>
        <w:p w14:paraId="63190495" w14:textId="77777777">
          <w:pPr>
            <w:rPr>
              <w:sz w:val="14"/>
              <w:szCs w:val="14"/>
            </w:rPr>
          </w:pPr>
        </w:p>
        <w:p w14:paraId="51D1A351" w14:textId="77777777">
          <w:pPr>
            <w:jc w:val="center"/>
            <w:rPr>
              <w:b/>
              <w:caps/>
              <w:szCs w:val="28"/>
            </w:rPr>
          </w:pPr>
          <w:r>
            <w:rPr>
              <w:b/>
              <w:caps/>
              <w:szCs w:val="28"/>
            </w:rPr>
            <w:t>Lietuvos Respublikos Vyriausybė</w:t>
          </w:r>
        </w:p>
        <w:p w14:paraId="7273366F" w14:textId="77777777">
          <w:pPr>
            <w:jc w:val="center"/>
            <w:rPr>
              <w:b/>
              <w:caps/>
              <w:szCs w:val="28"/>
            </w:rPr>
          </w:pPr>
        </w:p>
        <w:p w14:paraId="48FC42A0" w14:textId="77777777">
          <w:pPr>
            <w:jc w:val="center"/>
            <w:rPr>
              <w:b/>
              <w:bCs/>
              <w:szCs w:val="28"/>
            </w:rPr>
          </w:pPr>
          <w:r>
            <w:rPr>
              <w:b/>
              <w:bCs/>
              <w:szCs w:val="28"/>
            </w:rPr>
            <w:t>NUTARIMAS</w:t>
          </w:r>
        </w:p>
        <w:p w14:paraId="1094C92C" w14:textId="77777777">
          <w:pPr>
            <w:widowControl w:val="0"/>
            <w:jc w:val="center"/>
            <w:outlineLvl w:val="1"/>
            <w:rPr>
              <w:b/>
              <w:caps/>
              <w:szCs w:val="24"/>
            </w:rPr>
          </w:pPr>
          <w:r>
            <w:rPr>
              <w:b/>
              <w:caps/>
              <w:szCs w:val="24"/>
            </w:rPr>
            <w:t>DĖL LIETUVOS RESPUBLIKOS VYRIAUSYBĖS 2010 M. BIRŽELIO 7 D. NUTARIMO</w:t>
          </w:r>
        </w:p>
        <w:p w14:paraId="36F656AE" w14:textId="77777777">
          <w:pPr>
            <w:widowControl w:val="0"/>
            <w:ind w:firstLine="62"/>
            <w:jc w:val="center"/>
            <w:outlineLvl w:val="1"/>
            <w:rPr>
              <w:b/>
              <w:caps/>
              <w:szCs w:val="24"/>
            </w:rPr>
          </w:pPr>
          <w:r>
            <w:rPr>
              <w:b/>
              <w:caps/>
              <w:szCs w:val="24"/>
            </w:rPr>
            <w:t xml:space="preserve">NR. 716 „DĖL </w:t>
          </w:r>
          <w:r>
            <w:rPr>
              <w:b/>
              <w:szCs w:val="24"/>
            </w:rPr>
            <w:t xml:space="preserve">NUOSTOLIŲ, PATIRTŲ VYKDANT VIEŠŲJŲ PASLAUGŲ ĮSIPAREIGOJIMĄ, KOMPENSAVIMO TVARKOS APRAŠO PATVIRTINIMO IR </w:t>
          </w:r>
          <w:r>
            <w:rPr>
              <w:b/>
              <w:caps/>
              <w:szCs w:val="24"/>
            </w:rPr>
            <w:t xml:space="preserve">Lietuvos Respublikos Vyriausybės 2004 m. rugpjūčio 19 d. nutarimO </w:t>
            <w:br/>
            <w:t>Nr. 1036 „Dėl įgaliojimų suteikimo“ PAKEITIMO“ PAKEITIMO</w:t>
          </w:r>
        </w:p>
        <w:p w14:paraId="236825CF" w14:textId="77777777">
          <w:pPr>
            <w:jc w:val="center"/>
            <w:rPr>
              <w:b/>
              <w:caps/>
              <w:szCs w:val="24"/>
            </w:rPr>
          </w:pPr>
        </w:p>
        <w:p w14:paraId="6D7F2C72" w14:textId="77777777">
          <w:pPr>
            <w:spacing w:line="259" w:lineRule="auto"/>
            <w:jc w:val="center"/>
            <w:rPr>
              <w:szCs w:val="24"/>
            </w:rPr>
          </w:pPr>
          <w:r>
            <w:rPr>
              <w:szCs w:val="24"/>
            </w:rPr>
            <w:t>2020 m. _________ __ d. Nr. ____</w:t>
          </w:r>
        </w:p>
        <w:p w14:paraId="42D8FEBC" w14:textId="77777777">
          <w:pPr>
            <w:rPr>
              <w:sz w:val="14"/>
              <w:szCs w:val="14"/>
            </w:rPr>
          </w:pPr>
        </w:p>
        <w:p w14:paraId="19B14CBD" w14:textId="77777777">
          <w:pPr>
            <w:tabs>
              <w:tab w:val="left" w:pos="1660"/>
            </w:tabs>
            <w:jc w:val="center"/>
            <w:rPr>
              <w:szCs w:val="24"/>
            </w:rPr>
          </w:pPr>
          <w:r>
            <w:rPr>
              <w:szCs w:val="24"/>
            </w:rPr>
            <w:t>Vilnius</w:t>
          </w:r>
        </w:p>
        <w:p w14:paraId="41D9AB5A" w14:textId="77777777">
          <w:pPr>
            <w:tabs>
              <w:tab w:val="left" w:pos="1660"/>
            </w:tabs>
            <w:jc w:val="center"/>
            <w:rPr>
              <w:szCs w:val="24"/>
            </w:rPr>
          </w:pPr>
        </w:p>
        <w:p w14:paraId="568F7A7B" w14:textId="77777777">
          <w:pPr>
            <w:widowControl w:val="0"/>
            <w:spacing w:line="276" w:lineRule="auto"/>
            <w:ind w:firstLine="1134"/>
            <w:jc w:val="both"/>
            <w:outlineLvl w:val="1"/>
            <w:rPr>
              <w:szCs w:val="24"/>
            </w:rPr>
          </w:pPr>
          <w:r>
            <w:rPr>
              <w:szCs w:val="24"/>
            </w:rPr>
            <w:t>Lietuvos Respublikos Vyriausybė n u t a r i a:</w:t>
          </w:r>
        </w:p>
        <w:sdt>
          <w:sdtPr>
            <w:alias w:val="1 p."/>
            <w:tag w:val="part_95f76e390576436a86e2337508e0b1fd"/>
            <w:lock w:val="sdtLocked"/>
            <w:richText/>
          </w:sdtPr>
          <w:sdtContent>
            <w:p w14:paraId="595A91E8" w14:textId="77777777">
              <w:pPr>
                <w:widowControl w:val="0"/>
                <w:spacing w:line="276" w:lineRule="auto"/>
                <w:ind w:firstLine="1134"/>
                <w:jc w:val="both"/>
                <w:outlineLvl w:val="1"/>
                <w:rPr>
                  <w:szCs w:val="24"/>
                </w:rPr>
              </w:pPr>
              <w:sdt>
                <w:sdtPr>
                  <w:alias w:val="Numeris"/>
                  <w:tag w:val="nr_95f76e390576436a86e2337508e0b1fd"/>
                  <w:lock w:val="sdtLocked"/>
                  <w:richText/>
                </w:sdtPr>
                <w:sdtContent>
                  <w:r>
                    <w:rPr>
                      <w:szCs w:val="24"/>
                    </w:rPr>
                    <w:t>1</w:t>
                  </w:r>
                </w:sdtContent>
              </w:sdt>
              <w:r>
                <w:rPr>
                  <w:szCs w:val="24"/>
                </w:rPr>
                <w:t>. Pakeisti Lietuvos Respublikos Vyriausybės 2010 m. birželio 7 d. nutarimą Nr. 716 „Dėl Nuostolių, patirtų vykdant viešųjų paslaugų įsipareigojimą, kompensavimo tvarkos aprašo patvirtinimo ir Lietuvos Respublikos Vyriausybės 2004 m. rugpjūčio 19 d. nutarimo Nr. 1036 „Dėl įgaliojimų suteikimo“ pakeitimo“ ir jį išdėstyti nauja redakcija:</w:t>
              </w:r>
            </w:p>
            <w:p w14:paraId="029C473A" w14:textId="77777777">
              <w:pPr>
                <w:widowControl w:val="0"/>
                <w:spacing w:line="276" w:lineRule="auto"/>
                <w:ind w:firstLine="720"/>
                <w:jc w:val="both"/>
                <w:outlineLvl w:val="1"/>
                <w:rPr>
                  <w:szCs w:val="24"/>
                </w:rPr>
              </w:pPr>
            </w:p>
            <w:p w14:paraId="40653CA9" w14:textId="77777777">
              <w:pPr>
                <w:rPr>
                  <w:sz w:val="6"/>
                  <w:szCs w:val="6"/>
                </w:rPr>
              </w:pPr>
            </w:p>
            <w:sdt>
              <w:sdtPr>
                <w:alias w:val="citata"/>
                <w:tag w:val="part_48913ce9dbac4074a69d50bc0f7f1b77"/>
                <w:lock w:val="sdtLocked"/>
                <w:richText/>
              </w:sdtPr>
              <w:sdtContent>
                <w:sdt>
                  <w:sdtPr>
                    <w:alias w:val="pagrindine"/>
                    <w:tag w:val="part_442567645d8f4716b58596c677ca8d2c"/>
                    <w:lock w:val="sdtLocked"/>
                    <w:richText/>
                  </w:sdtPr>
                  <w:sdtContent>
                    <w:p w14:paraId="06D4E8E8" w14:textId="77777777">
                      <w:pPr>
                        <w:widowControl w:val="0"/>
                        <w:jc w:val="center"/>
                        <w:outlineLvl w:val="1"/>
                        <w:rPr>
                          <w:b/>
                          <w:caps/>
                          <w:szCs w:val="28"/>
                        </w:rPr>
                      </w:pPr>
                      <w:r>
                        <w:rPr>
                          <w:bCs/>
                          <w:caps/>
                          <w:szCs w:val="28"/>
                        </w:rPr>
                        <w:t>„</w:t>
                      </w:r>
                      <w:r>
                        <w:rPr>
                          <w:b/>
                          <w:caps/>
                          <w:szCs w:val="28"/>
                        </w:rPr>
                        <w:t>Lietuvos Respublikos Vyriausybė</w:t>
                      </w:r>
                    </w:p>
                    <w:p w14:paraId="30F7B7AA" w14:textId="77777777">
                      <w:pPr>
                        <w:widowControl w:val="0"/>
                        <w:jc w:val="center"/>
                        <w:outlineLvl w:val="1"/>
                        <w:rPr>
                          <w:b/>
                          <w:caps/>
                          <w:szCs w:val="28"/>
                        </w:rPr>
                      </w:pPr>
                    </w:p>
                    <w:p w14:paraId="2A4DD51E" w14:textId="77777777">
                      <w:pPr>
                        <w:widowControl w:val="0"/>
                        <w:jc w:val="center"/>
                        <w:outlineLvl w:val="1"/>
                        <w:rPr>
                          <w:b/>
                          <w:caps/>
                          <w:szCs w:val="28"/>
                        </w:rPr>
                      </w:pPr>
                      <w:r>
                        <w:rPr>
                          <w:b/>
                          <w:caps/>
                          <w:szCs w:val="28"/>
                        </w:rPr>
                        <w:t>NUTARIMAS</w:t>
                      </w:r>
                    </w:p>
                    <w:p w14:paraId="06F5AA02" w14:textId="2D4FAD83">
                      <w:pPr>
                        <w:widowControl w:val="0"/>
                        <w:jc w:val="center"/>
                        <w:outlineLvl w:val="1"/>
                        <w:rPr>
                          <w:b/>
                          <w:bCs/>
                          <w:szCs w:val="24"/>
                        </w:rPr>
                      </w:pPr>
                      <w:r>
                        <w:rPr>
                          <w:b/>
                          <w:bCs/>
                          <w:szCs w:val="24"/>
                        </w:rPr>
                        <w:t>DĖL NUOSTOLIŲ, PATIRTŲ TEIKIANT VIEŠĄSIAS KELEIVIŲ VEŽIMO GELEŽINKELIŲ TRANSPORTU PASLAUGAS IR (AR) VIEŠĄSIAS KOMBINUOTOJO KELEIVIŲ VEŽIMO VIETINIAIS MARŠRUTAIS PASLAUGAS, JŲ POREIKIO NUSTATYMO IR KOMPENSAVIMO TVARKOS APRAŠO PATVIRTINIMO</w:t>
                      </w:r>
                    </w:p>
                    <w:p w14:paraId="1987B47E" w14:textId="77777777">
                      <w:pPr>
                        <w:widowControl w:val="0"/>
                        <w:spacing w:line="276" w:lineRule="auto"/>
                        <w:jc w:val="center"/>
                        <w:outlineLvl w:val="1"/>
                        <w:rPr>
                          <w:szCs w:val="24"/>
                        </w:rPr>
                      </w:pPr>
                    </w:p>
                    <w:p w14:paraId="06240E3C" w14:textId="77777777">
                      <w:pPr>
                        <w:widowControl w:val="0"/>
                        <w:spacing w:line="276" w:lineRule="auto"/>
                        <w:ind w:firstLine="1134"/>
                        <w:jc w:val="both"/>
                        <w:outlineLvl w:val="1"/>
                        <w:rPr>
                          <w:color w:val="000000"/>
                          <w:szCs w:val="24"/>
                        </w:rPr>
                      </w:pPr>
                      <w:r>
                        <w:rPr>
                          <w:szCs w:val="24"/>
                        </w:rPr>
                        <w:t xml:space="preserve">Vadovaudamasi Lietuvos Respublikos geležinkelių transporto kodekso 12 straipsnio </w:t>
                        <w:br/>
                        <w:t xml:space="preserve">9 dalimi, įgyvendindama 2007 m. spalio 23 d. Europos Parlamento ir Tarybos reglamentą (EB) </w:t>
                        <w:br/>
                        <w:t xml:space="preserve">Nr. 1370/2007 dėl keleivinio geležinkelių ir kelių transporto viešųjų paslaugų ir panaikinantį Tarybos reglamentus (EEB) Nr. 1191/69 ir (EEB) Nr. 1107/70, su pakeitimais, padarytais 2016 m. gruodžio </w:t>
                        <w:br/>
                        <w:t xml:space="preserve">14 d. Europos Parlamento ir Tarybos reglamentu (ES) 2016/2338, Lietuvos Respublikos Vyriausybė </w:t>
                        <w:br/>
                        <w:t>n u t a r i a:</w:t>
                      </w:r>
                      <w:r>
                        <w:rPr>
                          <w:color w:val="000000"/>
                          <w:szCs w:val="24"/>
                        </w:rPr>
                        <w:t xml:space="preserve"> </w:t>
                      </w:r>
                    </w:p>
                    <w:sdt>
                      <w:sdtPr>
                        <w:alias w:val="1 p."/>
                        <w:tag w:val="part_ed2eda1a561f459c8d00d764dab9b2ff"/>
                        <w:lock w:val="sdtLocked"/>
                        <w:richText/>
                      </w:sdtPr>
                      <w:sdtContent>
                        <w:p w14:paraId="3042B9B6" w14:textId="2CC0F62A">
                          <w:pPr>
                            <w:widowControl w:val="0"/>
                            <w:spacing w:line="276" w:lineRule="auto"/>
                            <w:ind w:firstLine="1134"/>
                            <w:jc w:val="both"/>
                            <w:outlineLvl w:val="1"/>
                            <w:rPr>
                              <w:szCs w:val="24"/>
                            </w:rPr>
                          </w:pPr>
                          <w:sdt>
                            <w:sdtPr>
                              <w:alias w:val="Numeris"/>
                              <w:tag w:val="nr_ed2eda1a561f459c8d00d764dab9b2ff"/>
                              <w:lock w:val="sdtLocked"/>
                              <w:richText/>
                            </w:sdtPr>
                            <w:sdtContent>
                              <w:r>
                                <w:rPr>
                                  <w:szCs w:val="24"/>
                                </w:rPr>
                                <w:t>1</w:t>
                              </w:r>
                            </w:sdtContent>
                          </w:sdt>
                          <w:r>
                            <w:rPr>
                              <w:szCs w:val="24"/>
                            </w:rPr>
                            <w:t>. Patvirtinti Nuostolių, patirtų teikiant</w:t>
                          </w:r>
                          <w:r>
                            <w:rPr>
                              <w:color w:val="000000"/>
                              <w:szCs w:val="24"/>
                            </w:rPr>
                            <w:t xml:space="preserve"> viešąsias keleivių vežimo geležinkelių transportu paslaugas ir (ar) viešąsias kombinuotojo keleivių vežimo vietiniais maršrutais paslaugas</w:t>
                          </w:r>
                          <w:r>
                            <w:rPr>
                              <w:szCs w:val="24"/>
                            </w:rPr>
                            <w:t>, jų poreikio nustatymo ir kompensavimo tvarkos aprašą (pridedama).</w:t>
                          </w:r>
                        </w:p>
                      </w:sdtContent>
                    </w:sdt>
                    <w:sdt>
                      <w:sdtPr>
                        <w:alias w:val="2 p."/>
                        <w:tag w:val="part_2bef54102527463e87d3eae4a8106776"/>
                        <w:lock w:val="sdtLocked"/>
                        <w:richText/>
                      </w:sdtPr>
                      <w:sdtContent>
                        <w:p w14:paraId="0ADB5183" w14:textId="40E41819">
                          <w:pPr>
                            <w:widowControl w:val="0"/>
                            <w:spacing w:line="276" w:lineRule="auto"/>
                            <w:ind w:firstLine="1134"/>
                            <w:jc w:val="both"/>
                            <w:outlineLvl w:val="1"/>
                            <w:rPr>
                              <w:color w:val="000000"/>
                              <w:szCs w:val="24"/>
                            </w:rPr>
                          </w:pPr>
                          <w:sdt>
                            <w:sdtPr>
                              <w:alias w:val="Numeris"/>
                              <w:tag w:val="nr_2bef54102527463e87d3eae4a8106776"/>
                              <w:lock w:val="sdtLocked"/>
                              <w:richText/>
                            </w:sdtPr>
                            <w:sdtContent>
                              <w:r>
                                <w:rPr>
                                  <w:szCs w:val="24"/>
                                </w:rPr>
                                <w:t>2</w:t>
                              </w:r>
                            </w:sdtContent>
                          </w:sdt>
                          <w:r>
                            <w:rPr>
                              <w:szCs w:val="24"/>
                            </w:rPr>
                            <w:t>. Pavesti Lietuvos Respublikos susisiekimo ministerijai vykdyti kompetentingos institucijos, užtikrinančios</w:t>
                          </w:r>
                          <w:r>
                            <w:rPr>
                              <w:color w:val="000000"/>
                              <w:szCs w:val="24"/>
                            </w:rPr>
                            <w:t xml:space="preserve"> viešųjų keleivių vežimo geležinkelių transportu paslaugų ir (ar) viešųjų kombinuotojo keleivių vežimo vietiniais maršrutais paslaugų teikimą, </w:t>
                          </w:r>
                          <w:r>
                            <w:rPr>
                              <w:szCs w:val="24"/>
                            </w:rPr>
                            <w:t>funkcijas, nustatytas Reglamente (EB) Nr. 1370/2007“.</w:t>
                          </w:r>
                        </w:p>
                      </w:sdtContent>
                    </w:sdt>
                  </w:sdtContent>
                </w:sdt>
              </w:sdtContent>
            </w:sdt>
          </w:sdtContent>
        </w:sdt>
        <w:sdt>
          <w:sdtPr>
            <w:alias w:val="2 p."/>
            <w:tag w:val="part_2110e78dbae94be69e1e5e27398026b5"/>
            <w:lock w:val="sdtLocked"/>
            <w:richText/>
          </w:sdtPr>
          <w:sdtContent>
            <w:p w14:paraId="1AD2D2A1" w14:textId="097D5EB6">
              <w:pPr>
                <w:spacing w:line="276" w:lineRule="auto"/>
                <w:ind w:firstLine="1134"/>
                <w:jc w:val="both"/>
                <w:rPr>
                  <w:szCs w:val="24"/>
                </w:rPr>
              </w:pPr>
              <w:sdt>
                <w:sdtPr>
                  <w:alias w:val="Numeris"/>
                  <w:tag w:val="nr_2110e78dbae94be69e1e5e27398026b5"/>
                  <w:lock w:val="sdtLocked"/>
                  <w:richText/>
                </w:sdtPr>
                <w:sdtContent>
                  <w:r>
                    <w:rPr>
                      <w:szCs w:val="24"/>
                    </w:rPr>
                    <w:t>2</w:t>
                  </w:r>
                </w:sdtContent>
              </w:sdt>
              <w:r>
                <w:rPr>
                  <w:szCs w:val="24"/>
                </w:rPr>
                <w:t xml:space="preserve">. Nustatyti, kad šiuo nutarimu pakeistos Nuostolių, patirtų teikiant viešąsias keleivių vežimo geležinkelių transportu paslaugas ir (ar) viešąsias kombinuotojo keleivių vežimo vietiniais maršrutais paslaugas, jų poreikio nustatymo ir kompensavimo tvarkos aprašo nuostatos taikomos nustatant </w:t>
              </w:r>
              <w:r>
                <w:rPr>
                  <w:color w:val="000000"/>
                  <w:szCs w:val="24"/>
                </w:rPr>
                <w:t xml:space="preserve">viešųjų paslaugų </w:t>
              </w:r>
              <w:r>
                <w:rPr>
                  <w:szCs w:val="24"/>
                </w:rPr>
                <w:t>poreikį, planuojant, apskaičiuojant ir mokant geležinkelio įmonėms (vežėjams) nuostolių, patirtų teikiant viešąsias paslaugas 2021 m. tarnybinio traukinių tvarkaraščio galiojimo laikotarpiu ir vėlesniais tarnybinio traukinių tvarkaraščio galiojimo laikotarpiais, kompensacijas.</w:t>
              </w:r>
            </w:p>
            <w:p w14:paraId="24E71B45" w14:textId="77777777">
              <w:pPr>
                <w:rPr>
                  <w:szCs w:val="24"/>
                </w:rPr>
              </w:pPr>
            </w:p>
            <w:p w14:paraId="510DE30F" w14:textId="77777777">
              <w:pPr>
                <w:rPr>
                  <w:szCs w:val="24"/>
                </w:rPr>
              </w:pPr>
            </w:p>
          </w:sdtContent>
        </w:sdt>
        <w:sdt>
          <w:sdtPr>
            <w:alias w:val="signatura"/>
            <w:tag w:val="part_708c4885ee354b4582c03ca6c2f32100"/>
            <w:lock w:val="sdtLocked"/>
            <w:richText/>
          </w:sdtPr>
          <w:sdtContent>
            <w:p w14:paraId="1CCC8ABF" w14:textId="77777777">
              <w:pPr>
                <w:rPr>
                  <w:szCs w:val="24"/>
                </w:rPr>
              </w:pPr>
              <w:r>
                <w:rPr>
                  <w:szCs w:val="24"/>
                </w:rPr>
                <w:t>Ministras Pirmininkas</w:t>
              </w:r>
            </w:p>
            <w:p w14:paraId="6DF3821F" w14:textId="77777777">
              <w:pPr>
                <w:rPr>
                  <w:szCs w:val="24"/>
                </w:rPr>
              </w:pPr>
            </w:p>
            <w:p w14:paraId="31D3DD11" w14:textId="77777777">
              <w:pPr>
                <w:rPr>
                  <w:szCs w:val="24"/>
                  <w:lang w:val="en-US"/>
                </w:rPr>
              </w:pPr>
              <w:r>
                <w:rPr>
                  <w:szCs w:val="24"/>
                </w:rPr>
                <w:t>Susisiekimo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2240" w:h="15840"/>
      <w:pgMar w:top="993" w:right="567" w:bottom="1134" w:left="1701"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8B1FF" w14:textId="77777777">
      <w:pPr>
        <w:rPr>
          <w:sz w:val="22"/>
          <w:szCs w:val="22"/>
          <w:lang w:val="en-US"/>
        </w:rPr>
      </w:pPr>
      <w:r>
        <w:rPr>
          <w:sz w:val="22"/>
          <w:szCs w:val="22"/>
          <w:lang w:val="en-US"/>
        </w:rPr>
        <w:separator/>
      </w:r>
    </w:p>
  </w:endnote>
  <w:endnote w:type="continuationSeparator" w:id="0">
    <w:p w14:paraId="602BB77B" w14:textId="77777777">
      <w:pPr>
        <w:rPr>
          <w:sz w:val="22"/>
          <w:szCs w:val="22"/>
          <w:lang w:val="en-US"/>
        </w:rPr>
      </w:pPr>
      <w:r>
        <w:rPr>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9F09"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5FB8"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DDD69"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0D3FE" w14:textId="77777777">
      <w:pPr>
        <w:rPr>
          <w:sz w:val="22"/>
          <w:szCs w:val="22"/>
          <w:lang w:val="en-US"/>
        </w:rPr>
      </w:pPr>
      <w:r>
        <w:rPr>
          <w:sz w:val="22"/>
          <w:szCs w:val="22"/>
          <w:lang w:val="en-US"/>
        </w:rPr>
        <w:separator/>
      </w:r>
    </w:p>
  </w:footnote>
  <w:footnote w:type="continuationSeparator" w:id="0">
    <w:p w14:paraId="1D86F459" w14:textId="77777777">
      <w:pPr>
        <w:rPr>
          <w:sz w:val="22"/>
          <w:szCs w:val="22"/>
          <w:lang w:val="en-US"/>
        </w:rPr>
      </w:pPr>
      <w:r>
        <w:rPr>
          <w:sz w:val="22"/>
          <w:szCs w:val="22"/>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E6247"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042D1" w14:textId="06B1362B">
    <w:pPr>
      <w:tabs>
        <w:tab w:val="center" w:pos="4819"/>
        <w:tab w:val="right" w:pos="9638"/>
      </w:tabs>
      <w:jc w:val="center"/>
    </w:pPr>
    <w:r>
      <w:fldChar w:fldCharType="begin"/>
    </w:r>
    <w:r>
      <w:instrText>PAGE   \* MERGEFORMAT</w:instrText>
    </w:r>
    <w:r>
      <w:fldChar w:fldCharType="separate"/>
    </w:r>
    <w:r>
      <w:t>2</w:t>
    </w:r>
    <w:r>
      <w:fldChar w:fldCharType="end"/>
    </w:r>
  </w:p>
  <w:p w14:paraId="1E81875F" w14:textId="77777777">
    <w:pPr>
      <w:tabs>
        <w:tab w:val="center" w:pos="4680"/>
        <w:tab w:val="right" w:pos="9360"/>
      </w:tabs>
      <w:jc w:val="right"/>
      <w:rPr>
        <w:b/>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48B4F"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D92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8e752dbb5314712b66aa1f631472da9" PartId="e06fedd7c1684c729544a3b32fb0fa80">
    <Part Type="punktas" Nr="1" Abbr="1 p." DocPartId="bde2e14c40c84fd3aaf9878fddb83f06" PartId="95f76e390576436a86e2337508e0b1fd">
      <Part Type="citata" DocPartId="4221f65652c24c7a91ba859e83bc50f0" PartId="48913ce9dbac4074a69d50bc0f7f1b77">
        <Part Type="pagrindine" DocPartId="533bcc8da3a14061b001a5ea5acd3813" PartId="442567645d8f4716b58596c677ca8d2c">
          <Part Type="punktas" Nr="1" Abbr="1 p." DocPartId="e7dbf4c4018e4993bef3c67836e0a5b5" PartId="ed2eda1a561f459c8d00d764dab9b2ff"/>
          <Part Type="punktas" Nr="2" Abbr="2 p." DocPartId="805031e52ee7487bb5c40fd7b144db69" PartId="2bef54102527463e87d3eae4a8106776"/>
        </Part>
      </Part>
    </Part>
    <Part Type="punktas" Nr="2" Abbr="2 p." DocPartId="5dc47942783c4b258d6f2e9a80933f61" PartId="2110e78dbae94be69e1e5e27398026b5"/>
    <Part Type="signatura" DocPartId="728a962d82aa4dba86456accc728a5a2" PartId="708c4885ee354b4582c03ca6c2f32100"/>
  </Part>
</Parts>
</file>

<file path=customXml/itemProps1.xml><?xml version="1.0" encoding="utf-8"?>
<ds:datastoreItem xmlns:ds="http://schemas.openxmlformats.org/officeDocument/2006/customXml" ds:itemID="{51773F25-0790-4A6A-A980-E7E3207BD55F}">
  <ds:schemaRefs>
    <ds:schemaRef ds:uri="http://schemas.openxmlformats.org/officeDocument/2006/bibliography"/>
  </ds:schemaRefs>
</ds:datastoreItem>
</file>

<file path=customXml/itemProps2.xml><?xml version="1.0" encoding="utf-8"?>
<ds:datastoreItem xmlns:ds="http://schemas.openxmlformats.org/officeDocument/2006/customXml" ds:itemID="{7E261E8A-5F24-4C97-BD09-E17EA95C0B8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2416</Characters>
  <Application>Microsoft Office Word</Application>
  <DocSecurity>4</DocSecurity>
  <Lines>56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2020-08-07T04:40:00Z</dcterms:created>
  <dc:creator>Marius Marčiulaitis</dc:creator>
  <cp:lastModifiedBy>Asseco</cp:lastModifiedBy>
  <dcterms:modified xsi:type="dcterms:W3CDTF">2020-08-07T04:40:00Z</dcterms:modified>
  <cp:revision>2</cp:revision>
</cp:coreProperties>
</file>