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A7B" w:rsidRPr="00420FF5" w:rsidRDefault="00150A7B" w:rsidP="000F766E">
      <w:pPr>
        <w:jc w:val="center"/>
        <w:rPr>
          <w:rFonts w:ascii="Helvetica" w:hAnsi="Helvetica"/>
        </w:rPr>
      </w:pPr>
      <w:r w:rsidRPr="00420FF5">
        <w:rPr>
          <w:noProof/>
          <w:lang w:eastAsia="lt-LT"/>
        </w:rPr>
        <w:drawing>
          <wp:inline distT="0" distB="0" distL="0" distR="0" wp14:anchorId="1BB62F81" wp14:editId="37492FA5">
            <wp:extent cx="552450" cy="5619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A7B" w:rsidRPr="00420FF5" w:rsidRDefault="00150A7B" w:rsidP="00150A7B">
      <w:pPr>
        <w:jc w:val="center"/>
        <w:rPr>
          <w:b/>
        </w:rPr>
      </w:pPr>
    </w:p>
    <w:p w:rsidR="00150A7B" w:rsidRPr="00420FF5" w:rsidRDefault="00150A7B" w:rsidP="00150A7B">
      <w:pPr>
        <w:pStyle w:val="Heading1"/>
        <w:jc w:val="center"/>
        <w:rPr>
          <w:u w:val="none"/>
        </w:rPr>
      </w:pPr>
      <w:r w:rsidRPr="00420FF5">
        <w:rPr>
          <w:u w:val="none"/>
        </w:rPr>
        <w:t>EUROPOS TEISĖS DEPARTAMENTAS</w:t>
      </w:r>
    </w:p>
    <w:p w:rsidR="00150A7B" w:rsidRPr="00420FF5" w:rsidRDefault="00150A7B" w:rsidP="00150A7B">
      <w:pPr>
        <w:tabs>
          <w:tab w:val="left" w:pos="5245"/>
        </w:tabs>
        <w:jc w:val="center"/>
        <w:rPr>
          <w:b/>
          <w:lang w:val="es-ES"/>
        </w:rPr>
      </w:pPr>
      <w:r w:rsidRPr="00420FF5">
        <w:rPr>
          <w:b/>
          <w:lang w:val="es-ES"/>
        </w:rPr>
        <w:t>PRIE LIETUVOS RESPUBLIKOS TEISINGUMO MINISTERIJOS</w:t>
      </w:r>
    </w:p>
    <w:p w:rsidR="00150A7B" w:rsidRPr="00420FF5" w:rsidRDefault="00150A7B" w:rsidP="00150A7B">
      <w:pPr>
        <w:pStyle w:val="Caption"/>
        <w:rPr>
          <w:sz w:val="24"/>
          <w:szCs w:val="24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02"/>
      </w:tblGrid>
      <w:tr w:rsidR="00150A7B" w:rsidRPr="00420FF5" w:rsidTr="00FC7077">
        <w:trPr>
          <w:trHeight w:hRule="exact" w:val="698"/>
          <w:jc w:val="center"/>
        </w:trPr>
        <w:tc>
          <w:tcPr>
            <w:tcW w:w="9402" w:type="dxa"/>
          </w:tcPr>
          <w:p w:rsidR="00150A7B" w:rsidRPr="00420FF5" w:rsidRDefault="00150A7B" w:rsidP="00FC7077">
            <w:pPr>
              <w:pStyle w:val="Header"/>
              <w:tabs>
                <w:tab w:val="left" w:pos="5670"/>
                <w:tab w:val="right" w:pos="7655"/>
              </w:tabs>
              <w:jc w:val="center"/>
            </w:pPr>
            <w:r w:rsidRPr="00420FF5">
              <w:t>Biudžetinė įstaiga, Vilniaus g. 23-7A, LT-01402 Vilnius, tel. 8 706 63 687, faks. 8 706 63 679,</w:t>
            </w:r>
          </w:p>
          <w:p w:rsidR="00150A7B" w:rsidRPr="00420FF5" w:rsidRDefault="00150A7B" w:rsidP="00C406A5">
            <w:pPr>
              <w:pStyle w:val="Header"/>
              <w:tabs>
                <w:tab w:val="left" w:pos="5670"/>
                <w:tab w:val="right" w:pos="7655"/>
              </w:tabs>
              <w:jc w:val="center"/>
            </w:pPr>
            <w:r w:rsidRPr="00420FF5">
              <w:t xml:space="preserve">el. p. </w:t>
            </w:r>
            <w:hyperlink r:id="rId9" w:history="1">
              <w:r w:rsidRPr="00420FF5">
                <w:rPr>
                  <w:rStyle w:val="Hyperlink"/>
                </w:rPr>
                <w:t>etd@etd.lt</w:t>
              </w:r>
            </w:hyperlink>
            <w:r w:rsidRPr="00420FF5">
              <w:t>. Duomenys kaupiami ir saugomi Juridinių asmenų registre, kodas 188600362</w:t>
            </w:r>
          </w:p>
        </w:tc>
      </w:tr>
    </w:tbl>
    <w:p w:rsidR="00150A7B" w:rsidRPr="00420FF5" w:rsidRDefault="00150A7B" w:rsidP="00150A7B"/>
    <w:tbl>
      <w:tblPr>
        <w:tblpPr w:leftFromText="180" w:rightFromText="180" w:vertAnchor="text" w:horzAnchor="margin" w:tblpXSpec="right" w:tblpY="184"/>
        <w:tblW w:w="0" w:type="auto"/>
        <w:tblLayout w:type="fixed"/>
        <w:tblLook w:val="0000" w:firstRow="0" w:lastRow="0" w:firstColumn="0" w:lastColumn="0" w:noHBand="0" w:noVBand="0"/>
      </w:tblPr>
      <w:tblGrid>
        <w:gridCol w:w="240"/>
        <w:gridCol w:w="1668"/>
        <w:gridCol w:w="2801"/>
      </w:tblGrid>
      <w:tr w:rsidR="00150A7B" w:rsidRPr="00420FF5" w:rsidTr="00150A7B">
        <w:trPr>
          <w:cantSplit/>
          <w:trHeight w:val="340"/>
        </w:trPr>
        <w:tc>
          <w:tcPr>
            <w:tcW w:w="240" w:type="dxa"/>
          </w:tcPr>
          <w:p w:rsidR="00150A7B" w:rsidRPr="00420FF5" w:rsidRDefault="00150A7B" w:rsidP="00150A7B">
            <w:pPr>
              <w:jc w:val="right"/>
            </w:pPr>
          </w:p>
        </w:tc>
        <w:tc>
          <w:tcPr>
            <w:tcW w:w="1668" w:type="dxa"/>
          </w:tcPr>
          <w:p w:rsidR="00150A7B" w:rsidRPr="00420FF5" w:rsidRDefault="009E50C8" w:rsidP="002A6EA1">
            <w:pPr>
              <w:ind w:right="-52"/>
            </w:pPr>
            <w:r>
              <w:t>201</w:t>
            </w:r>
            <w:r w:rsidR="00094182">
              <w:t>9-05</w:t>
            </w:r>
            <w:r w:rsidR="00BC0A92" w:rsidRPr="00420FF5">
              <w:t>-</w:t>
            </w:r>
          </w:p>
        </w:tc>
        <w:tc>
          <w:tcPr>
            <w:tcW w:w="2801" w:type="dxa"/>
          </w:tcPr>
          <w:p w:rsidR="00150A7B" w:rsidRPr="00420FF5" w:rsidRDefault="00150A7B" w:rsidP="00150A7B">
            <w:r w:rsidRPr="00420FF5">
              <w:t xml:space="preserve">Nr. </w:t>
            </w:r>
          </w:p>
        </w:tc>
      </w:tr>
      <w:tr w:rsidR="00150A7B" w:rsidRPr="00420FF5" w:rsidTr="00150A7B">
        <w:trPr>
          <w:cantSplit/>
          <w:trHeight w:val="340"/>
        </w:trPr>
        <w:tc>
          <w:tcPr>
            <w:tcW w:w="240" w:type="dxa"/>
          </w:tcPr>
          <w:p w:rsidR="00150A7B" w:rsidRPr="00420FF5" w:rsidRDefault="00150A7B" w:rsidP="00150A7B">
            <w:pPr>
              <w:jc w:val="right"/>
            </w:pPr>
          </w:p>
        </w:tc>
        <w:tc>
          <w:tcPr>
            <w:tcW w:w="1668" w:type="dxa"/>
          </w:tcPr>
          <w:p w:rsidR="00150A7B" w:rsidRPr="00420FF5" w:rsidRDefault="00150A7B" w:rsidP="006A6742">
            <w:pPr>
              <w:ind w:right="-52"/>
            </w:pPr>
            <w:r w:rsidRPr="00420FF5">
              <w:t xml:space="preserve">Į </w:t>
            </w:r>
            <w:r w:rsidR="006A6742">
              <w:t>2019-04-29</w:t>
            </w:r>
          </w:p>
        </w:tc>
        <w:tc>
          <w:tcPr>
            <w:tcW w:w="2801" w:type="dxa"/>
          </w:tcPr>
          <w:p w:rsidR="00150A7B" w:rsidRPr="00420FF5" w:rsidRDefault="00150A7B" w:rsidP="006A6742">
            <w:r w:rsidRPr="00420FF5">
              <w:t>Nr.</w:t>
            </w:r>
            <w:r w:rsidR="006A6745">
              <w:t xml:space="preserve"> </w:t>
            </w:r>
            <w:r w:rsidR="006A6742">
              <w:t>2-3315</w:t>
            </w:r>
          </w:p>
        </w:tc>
      </w:tr>
    </w:tbl>
    <w:p w:rsidR="00F740B5" w:rsidRPr="00420FF5" w:rsidRDefault="00F740B5">
      <w:pPr>
        <w:pStyle w:val="Adresas"/>
      </w:pPr>
    </w:p>
    <w:p w:rsidR="00BC0A92" w:rsidRPr="00017D06" w:rsidRDefault="006C1FBD">
      <w:pPr>
        <w:pStyle w:val="Adresas"/>
        <w:rPr>
          <w:sz w:val="23"/>
          <w:szCs w:val="23"/>
        </w:rPr>
      </w:pPr>
      <w:r w:rsidRPr="00017D06">
        <w:rPr>
          <w:sz w:val="23"/>
          <w:szCs w:val="23"/>
        </w:rPr>
        <w:t xml:space="preserve">Lietuvos </w:t>
      </w:r>
      <w:r w:rsidR="00A81C2D" w:rsidRPr="00017D06">
        <w:rPr>
          <w:sz w:val="23"/>
          <w:szCs w:val="23"/>
        </w:rPr>
        <w:t xml:space="preserve">Respublikos </w:t>
      </w:r>
      <w:r w:rsidR="00094182" w:rsidRPr="00017D06">
        <w:rPr>
          <w:sz w:val="23"/>
          <w:szCs w:val="23"/>
        </w:rPr>
        <w:t>susisiekimo</w:t>
      </w:r>
      <w:r w:rsidR="006F0024" w:rsidRPr="00017D06">
        <w:rPr>
          <w:sz w:val="23"/>
          <w:szCs w:val="23"/>
        </w:rPr>
        <w:t xml:space="preserve"> ministerijai</w:t>
      </w:r>
      <w:r w:rsidR="00BC0A92" w:rsidRPr="00017D06">
        <w:rPr>
          <w:sz w:val="23"/>
          <w:szCs w:val="23"/>
        </w:rPr>
        <w:t xml:space="preserve"> </w:t>
      </w:r>
    </w:p>
    <w:p w:rsidR="00F740B5" w:rsidRPr="00017D06" w:rsidRDefault="00F740B5">
      <w:pPr>
        <w:pStyle w:val="Kopija"/>
        <w:rPr>
          <w:sz w:val="23"/>
          <w:szCs w:val="23"/>
        </w:rPr>
      </w:pPr>
    </w:p>
    <w:p w:rsidR="00420FF5" w:rsidRPr="00017D06" w:rsidRDefault="00420FF5" w:rsidP="00BE3324">
      <w:pPr>
        <w:pStyle w:val="Pavadinimas1"/>
        <w:ind w:right="39"/>
        <w:jc w:val="both"/>
        <w:rPr>
          <w:b/>
          <w:sz w:val="23"/>
          <w:szCs w:val="23"/>
        </w:rPr>
      </w:pPr>
    </w:p>
    <w:p w:rsidR="00AF0548" w:rsidRPr="00017D06" w:rsidRDefault="006F0024" w:rsidP="006A6742">
      <w:pPr>
        <w:pStyle w:val="Pavadinimas1"/>
        <w:ind w:right="39"/>
        <w:jc w:val="both"/>
        <w:rPr>
          <w:b/>
          <w:sz w:val="23"/>
          <w:szCs w:val="23"/>
        </w:rPr>
      </w:pPr>
      <w:r w:rsidRPr="00017D06">
        <w:rPr>
          <w:b/>
          <w:sz w:val="23"/>
          <w:szCs w:val="23"/>
        </w:rPr>
        <w:t xml:space="preserve">Dėl </w:t>
      </w:r>
      <w:r w:rsidR="006A6742" w:rsidRPr="00017D06">
        <w:rPr>
          <w:b/>
          <w:sz w:val="23"/>
          <w:szCs w:val="23"/>
        </w:rPr>
        <w:t xml:space="preserve">Lietuvos Respublikos saugios laivybos įstatymo Nr. VIII-1897 1, 2, 3, 8, 13, 16, 19, 21, 26, 33, 37, 39, 40, 40(1), 48 ir 49 straipsnių pakeitimo įstatymo </w:t>
      </w:r>
      <w:r w:rsidR="00F244CA" w:rsidRPr="00017D06">
        <w:rPr>
          <w:b/>
          <w:sz w:val="23"/>
          <w:szCs w:val="23"/>
        </w:rPr>
        <w:t>projekto</w:t>
      </w:r>
      <w:r w:rsidR="006A6745" w:rsidRPr="00017D06">
        <w:rPr>
          <w:b/>
          <w:sz w:val="23"/>
          <w:szCs w:val="23"/>
        </w:rPr>
        <w:t xml:space="preserve"> </w:t>
      </w:r>
      <w:r w:rsidRPr="00017D06">
        <w:rPr>
          <w:b/>
          <w:sz w:val="23"/>
          <w:szCs w:val="23"/>
        </w:rPr>
        <w:t>derinimo</w:t>
      </w:r>
    </w:p>
    <w:p w:rsidR="00F740B5" w:rsidRPr="00017D06" w:rsidRDefault="00AF0548" w:rsidP="00AF0548">
      <w:pPr>
        <w:pStyle w:val="Pavadinimas1"/>
        <w:ind w:right="39"/>
        <w:jc w:val="both"/>
        <w:rPr>
          <w:sz w:val="23"/>
          <w:szCs w:val="23"/>
        </w:rPr>
      </w:pPr>
      <w:r w:rsidRPr="00017D06">
        <w:rPr>
          <w:b/>
          <w:sz w:val="23"/>
          <w:szCs w:val="23"/>
        </w:rPr>
        <w:t xml:space="preserve"> </w:t>
      </w:r>
    </w:p>
    <w:p w:rsidR="00F244CA" w:rsidRPr="00017D06" w:rsidRDefault="00C22F17" w:rsidP="006A6742">
      <w:pPr>
        <w:pStyle w:val="Tekstas"/>
        <w:ind w:firstLine="567"/>
        <w:rPr>
          <w:sz w:val="23"/>
          <w:szCs w:val="23"/>
        </w:rPr>
      </w:pPr>
      <w:r w:rsidRPr="00017D06">
        <w:rPr>
          <w:sz w:val="23"/>
          <w:szCs w:val="23"/>
        </w:rPr>
        <w:t>Išanali</w:t>
      </w:r>
      <w:r w:rsidR="00F244CA" w:rsidRPr="00017D06">
        <w:rPr>
          <w:sz w:val="23"/>
          <w:szCs w:val="23"/>
        </w:rPr>
        <w:t xml:space="preserve">zavę </w:t>
      </w:r>
      <w:r w:rsidRPr="00017D06">
        <w:rPr>
          <w:sz w:val="23"/>
          <w:szCs w:val="23"/>
        </w:rPr>
        <w:t xml:space="preserve">derinti pateiktą </w:t>
      </w:r>
      <w:r w:rsidR="006A6742" w:rsidRPr="00017D06">
        <w:rPr>
          <w:sz w:val="23"/>
          <w:szCs w:val="23"/>
        </w:rPr>
        <w:t>Lietuvos Respublikos saugios laivybos įstatymo Nr. VIII-1897 1, 2, 3, 8, 13, 16, 19, 21, 26, 33, 37, 39, 40, 40(1), 48 ir 49 straipsnių pakeitimo įstatymo projektą (toliau – Įstatymo projektas)</w:t>
      </w:r>
      <w:r w:rsidR="00F244CA" w:rsidRPr="00017D06">
        <w:rPr>
          <w:sz w:val="23"/>
          <w:szCs w:val="23"/>
        </w:rPr>
        <w:t>, teikiame keletą pastabų ir pasiūlymų dėl atitikties Europos Sąjungos teisei.</w:t>
      </w:r>
    </w:p>
    <w:p w:rsidR="00017D06" w:rsidRPr="00017D06" w:rsidRDefault="00FF5347" w:rsidP="00FF5347">
      <w:pPr>
        <w:pStyle w:val="Tekstas"/>
        <w:ind w:firstLine="567"/>
        <w:rPr>
          <w:sz w:val="23"/>
          <w:szCs w:val="23"/>
        </w:rPr>
      </w:pPr>
      <w:r w:rsidRPr="00017D06">
        <w:rPr>
          <w:sz w:val="23"/>
          <w:szCs w:val="23"/>
        </w:rPr>
        <w:t xml:space="preserve">1.  2009 m. balandžio 23 d. Europos Parlamento ir Tarybos direktyvos 2009/18/EB, nustatančios pagrindinius principus, taikomus avarijų jūrų transporto sektoriuje tyrimui, ir iš dalies keičiančios Tarybos direktyvą 1999/35/EB ir Europos Parlamento ir Tarybos direktyvą 2002/59/EB </w:t>
      </w:r>
      <w:r w:rsidR="00017D06" w:rsidRPr="00017D06">
        <w:rPr>
          <w:sz w:val="23"/>
          <w:szCs w:val="23"/>
        </w:rPr>
        <w:t xml:space="preserve">(toliau – Direktyva 2009/18/EB) </w:t>
      </w:r>
      <w:r w:rsidRPr="00017D06">
        <w:rPr>
          <w:sz w:val="23"/>
          <w:szCs w:val="23"/>
        </w:rPr>
        <w:t>3 straipsnio 2 dalyje nurodoma, kad direktyvoje vartojama sąvoka „Laivo avarija“ ir kitos nurodytos sąvokos suprantamos taip, kaip jos yra apibrėžtos TJO Jūrų laivų avarijų ir incidentų tyrimo kodekse</w:t>
      </w:r>
      <w:r w:rsidRPr="00017D06">
        <w:rPr>
          <w:rStyle w:val="FootnoteReference"/>
          <w:sz w:val="23"/>
          <w:szCs w:val="23"/>
        </w:rPr>
        <w:footnoteReference w:id="1"/>
      </w:r>
      <w:r w:rsidR="001D527A" w:rsidRPr="00017D06">
        <w:rPr>
          <w:sz w:val="23"/>
          <w:szCs w:val="23"/>
        </w:rPr>
        <w:t xml:space="preserve"> (toliau – Kodeksas)</w:t>
      </w:r>
      <w:r w:rsidRPr="00017D06">
        <w:rPr>
          <w:sz w:val="23"/>
          <w:szCs w:val="23"/>
        </w:rPr>
        <w:t xml:space="preserve"> </w:t>
      </w:r>
      <w:r w:rsidR="002A45FF" w:rsidRPr="00017D06">
        <w:rPr>
          <w:sz w:val="23"/>
          <w:szCs w:val="23"/>
        </w:rPr>
        <w:t xml:space="preserve">Nors Įstatymo projektu keičiamoje Lietuvos Respublikos saugios laivybos įstatymo Nr. VIII-1897 </w:t>
      </w:r>
      <w:r w:rsidR="00017D06" w:rsidRPr="00017D06">
        <w:rPr>
          <w:sz w:val="23"/>
          <w:szCs w:val="23"/>
        </w:rPr>
        <w:t>(t</w:t>
      </w:r>
      <w:r w:rsidR="002A45FF" w:rsidRPr="00017D06">
        <w:rPr>
          <w:sz w:val="23"/>
          <w:szCs w:val="23"/>
        </w:rPr>
        <w:t>oliau – Įstatymas) 2 straipsnio 6 d</w:t>
      </w:r>
      <w:r w:rsidR="001D527A" w:rsidRPr="00017D06">
        <w:rPr>
          <w:sz w:val="23"/>
          <w:szCs w:val="23"/>
        </w:rPr>
        <w:t>alyje stengiamasi identiškai inkorporuoti šią sąvoką į Lietuvos teisę, manome, tai daroma ne visiškai tiksliai. Pirma, Įstatymo projekte nurodoma, kad laivo avarija – vienas ar keli įvykiai eksploatuojant laivą, sukėlę bet kurį iš</w:t>
      </w:r>
      <w:r w:rsidR="00017D06" w:rsidRPr="00017D06">
        <w:rPr>
          <w:sz w:val="23"/>
          <w:szCs w:val="23"/>
        </w:rPr>
        <w:t xml:space="preserve"> toliau</w:t>
      </w:r>
      <w:r w:rsidR="001D527A" w:rsidRPr="00017D06">
        <w:rPr>
          <w:sz w:val="23"/>
          <w:szCs w:val="23"/>
        </w:rPr>
        <w:t xml:space="preserve"> nurodomų padarinių. Tačiau Kodekse nurodoma, kad </w:t>
      </w:r>
      <w:r w:rsidR="00D8453E" w:rsidRPr="00017D06">
        <w:rPr>
          <w:sz w:val="23"/>
          <w:szCs w:val="23"/>
        </w:rPr>
        <w:t>tokie įvykiai turi būti tiesiogiai susiję su laivo eksploatavimu</w:t>
      </w:r>
      <w:r w:rsidR="003F434B" w:rsidRPr="00017D06">
        <w:rPr>
          <w:sz w:val="23"/>
          <w:szCs w:val="23"/>
        </w:rPr>
        <w:t>.</w:t>
      </w:r>
      <w:r w:rsidR="00D8453E" w:rsidRPr="00017D06">
        <w:rPr>
          <w:sz w:val="23"/>
          <w:szCs w:val="23"/>
        </w:rPr>
        <w:t xml:space="preserve"> Antra, svarstytina ar 4 punkte vartojama sąvoka „konstrukciniai laivo pažeidimai“ yra tapati Kodekse vartojamai sąvokai „materialinė žala laivui“. Trečia, </w:t>
      </w:r>
      <w:r w:rsidR="00185F70" w:rsidRPr="00017D06">
        <w:rPr>
          <w:sz w:val="23"/>
          <w:szCs w:val="23"/>
        </w:rPr>
        <w:t>7 punkte nurodomi padariniai - didelis aplinkos užteršimas arba reali galimybė ją užteršti dėl laivo ar laivų pažeidimų.</w:t>
      </w:r>
      <w:r w:rsidR="00D8453E" w:rsidRPr="00017D06">
        <w:rPr>
          <w:sz w:val="23"/>
          <w:szCs w:val="23"/>
        </w:rPr>
        <w:t xml:space="preserve"> </w:t>
      </w:r>
      <w:r w:rsidR="00185F70" w:rsidRPr="00017D06">
        <w:rPr>
          <w:sz w:val="23"/>
          <w:szCs w:val="23"/>
        </w:rPr>
        <w:t>Tačiau Kodekse nurodoma, kad galimybė ją užteršti turėtų būti</w:t>
      </w:r>
      <w:r w:rsidR="003F434B" w:rsidRPr="00017D06">
        <w:rPr>
          <w:sz w:val="23"/>
          <w:szCs w:val="23"/>
        </w:rPr>
        <w:t xml:space="preserve"> „žymi“.</w:t>
      </w:r>
    </w:p>
    <w:p w:rsidR="00DC5F5B" w:rsidRPr="00017D06" w:rsidRDefault="003F434B" w:rsidP="00DC5F5B">
      <w:pPr>
        <w:pStyle w:val="Tekstas"/>
        <w:ind w:firstLine="567"/>
        <w:rPr>
          <w:sz w:val="23"/>
          <w:szCs w:val="23"/>
        </w:rPr>
      </w:pPr>
      <w:r w:rsidRPr="00017D06">
        <w:rPr>
          <w:sz w:val="23"/>
          <w:szCs w:val="23"/>
        </w:rPr>
        <w:t>2. Kaip nurodoma Įstatymo projekto</w:t>
      </w:r>
      <w:r w:rsidR="006A6742" w:rsidRPr="00017D06">
        <w:rPr>
          <w:sz w:val="23"/>
          <w:szCs w:val="23"/>
        </w:rPr>
        <w:t xml:space="preserve"> aiškinamajame rašte, juo tobulinamas </w:t>
      </w:r>
      <w:r w:rsidR="00017D06" w:rsidRPr="00017D06">
        <w:rPr>
          <w:sz w:val="23"/>
          <w:szCs w:val="23"/>
        </w:rPr>
        <w:t>Direktyvos</w:t>
      </w:r>
      <w:r w:rsidR="006A6742" w:rsidRPr="00017D06">
        <w:rPr>
          <w:sz w:val="23"/>
          <w:szCs w:val="23"/>
        </w:rPr>
        <w:t xml:space="preserve"> 2009/18/EB bei </w:t>
      </w:r>
      <w:r w:rsidR="00DC5F5B" w:rsidRPr="00017D06">
        <w:rPr>
          <w:sz w:val="23"/>
          <w:szCs w:val="23"/>
        </w:rPr>
        <w:t xml:space="preserve">2001 m. gruodžio 4 d. </w:t>
      </w:r>
      <w:r w:rsidR="006A6742" w:rsidRPr="00017D06">
        <w:rPr>
          <w:sz w:val="23"/>
          <w:szCs w:val="23"/>
        </w:rPr>
        <w:t>Europos</w:t>
      </w:r>
      <w:r w:rsidR="00DC5F5B" w:rsidRPr="00017D06">
        <w:rPr>
          <w:sz w:val="23"/>
          <w:szCs w:val="23"/>
        </w:rPr>
        <w:t xml:space="preserve"> Parlamento ir Tarybos direktyvos</w:t>
      </w:r>
      <w:r w:rsidR="006A6742" w:rsidRPr="00017D06">
        <w:rPr>
          <w:sz w:val="23"/>
          <w:szCs w:val="23"/>
        </w:rPr>
        <w:t xml:space="preserve"> 2001/96/EB </w:t>
      </w:r>
      <w:r w:rsidR="00DC5F5B" w:rsidRPr="00017D06">
        <w:rPr>
          <w:sz w:val="23"/>
          <w:szCs w:val="23"/>
        </w:rPr>
        <w:t>nustatančios</w:t>
      </w:r>
      <w:r w:rsidR="006A6742" w:rsidRPr="00017D06">
        <w:rPr>
          <w:sz w:val="23"/>
          <w:szCs w:val="23"/>
        </w:rPr>
        <w:t xml:space="preserve"> sausakrūvių laivų saugaus pakrovimo ir iškrovimo suderintus reikalavimus ir tvarką</w:t>
      </w:r>
      <w:r w:rsidR="00017D06" w:rsidRPr="00017D06">
        <w:rPr>
          <w:sz w:val="23"/>
          <w:szCs w:val="23"/>
        </w:rPr>
        <w:t xml:space="preserve"> </w:t>
      </w:r>
      <w:r w:rsidR="00DC5F5B" w:rsidRPr="00017D06">
        <w:rPr>
          <w:sz w:val="23"/>
          <w:szCs w:val="23"/>
        </w:rPr>
        <w:t xml:space="preserve">perkėlimas į Lietuvos teisę. </w:t>
      </w:r>
      <w:r w:rsidRPr="00017D06">
        <w:rPr>
          <w:sz w:val="23"/>
          <w:szCs w:val="23"/>
        </w:rPr>
        <w:t xml:space="preserve">Taip pat, atlikus analizę, akivaizdu, kad Įstatymo projekto nuostatos tobulina ir 2009 m. balandžio 23 d. Europos Parlamento ir Tarybos direktyvos 2009/15/EB dėl laivų patikrinimo ir apžiūros organizacijų ir atitinkamos jūrų administracijų veiklos bendrųjų taisyklių ir standartų bei 2017 m. vasario 15 d. Europos Parlamento ir Tarybos reglamento (ES) 2017/352, kuriuo nustatoma uosto paslaugų teikimo sistema ir bendros finansinio uostų skaidrumo taisyklės, perkėlimą ir (ar) įgyvendinimą Lietuvos teisėje. </w:t>
      </w:r>
      <w:r w:rsidR="00DC5F5B" w:rsidRPr="00017D06">
        <w:rPr>
          <w:sz w:val="23"/>
          <w:szCs w:val="23"/>
        </w:rPr>
        <w:t>Atsižvelgdami į tai prašome, laikantis Europos Sąjungos reikalų koordinavimo taisyklių, patvirtintų Lietuvos Respublikos Vyriausybės 2014 m. sausio 9 d. nutarimu Nr. 21, 69 ir 79 punktų, susives</w:t>
      </w:r>
      <w:r w:rsidRPr="00017D06">
        <w:rPr>
          <w:sz w:val="23"/>
          <w:szCs w:val="23"/>
        </w:rPr>
        <w:t>ti Įstatymo projektą į šių Europos Sąjungos teisės aktų</w:t>
      </w:r>
      <w:r w:rsidR="00DC5F5B" w:rsidRPr="00017D06">
        <w:rPr>
          <w:sz w:val="23"/>
          <w:szCs w:val="23"/>
        </w:rPr>
        <w:t xml:space="preserve"> perkėlimo ir įgyvendinimo planus Lietuvos narystės Europos Sąjungoje informacinėje sistemoje (LINESIS) ir įkelti parengtas</w:t>
      </w:r>
      <w:r w:rsidRPr="00017D06">
        <w:rPr>
          <w:sz w:val="23"/>
          <w:szCs w:val="23"/>
        </w:rPr>
        <w:t xml:space="preserve"> Europos Sąjungos teisės aktų</w:t>
      </w:r>
      <w:r w:rsidR="00DC5F5B" w:rsidRPr="00017D06">
        <w:rPr>
          <w:sz w:val="23"/>
          <w:szCs w:val="23"/>
        </w:rPr>
        <w:t xml:space="preserve"> ir Įstatymo projekto atitikties lenteles. </w:t>
      </w:r>
    </w:p>
    <w:p w:rsidR="006E2EF9" w:rsidRPr="00017D06" w:rsidRDefault="006E2EF9" w:rsidP="00A346EF">
      <w:pPr>
        <w:pStyle w:val="Tekstas"/>
        <w:ind w:firstLine="0"/>
        <w:rPr>
          <w:sz w:val="23"/>
          <w:szCs w:val="23"/>
        </w:rPr>
      </w:pPr>
    </w:p>
    <w:p w:rsidR="006A6745" w:rsidRPr="00017D06" w:rsidRDefault="006A6745" w:rsidP="006A6745">
      <w:pPr>
        <w:tabs>
          <w:tab w:val="left" w:pos="7320"/>
          <w:tab w:val="right" w:pos="9360"/>
        </w:tabs>
        <w:ind w:right="159"/>
        <w:rPr>
          <w:sz w:val="23"/>
          <w:szCs w:val="23"/>
        </w:rPr>
      </w:pPr>
      <w:r w:rsidRPr="00017D06">
        <w:rPr>
          <w:sz w:val="23"/>
          <w:szCs w:val="23"/>
        </w:rPr>
        <w:t xml:space="preserve">Europos Sąjungos institucinės ir </w:t>
      </w:r>
    </w:p>
    <w:p w:rsidR="006A6745" w:rsidRPr="00017D06" w:rsidRDefault="006A6745" w:rsidP="006A6745">
      <w:pPr>
        <w:tabs>
          <w:tab w:val="left" w:pos="7320"/>
          <w:tab w:val="right" w:pos="9360"/>
        </w:tabs>
        <w:ind w:right="159"/>
        <w:rPr>
          <w:sz w:val="23"/>
          <w:szCs w:val="23"/>
        </w:rPr>
      </w:pPr>
      <w:r w:rsidRPr="00017D06">
        <w:rPr>
          <w:sz w:val="23"/>
          <w:szCs w:val="23"/>
        </w:rPr>
        <w:t>administracinės teisės skyriaus vedėja,</w:t>
      </w:r>
    </w:p>
    <w:p w:rsidR="007A07D8" w:rsidRPr="00017D06" w:rsidRDefault="006A6745" w:rsidP="006A6745">
      <w:pPr>
        <w:tabs>
          <w:tab w:val="left" w:pos="7320"/>
          <w:tab w:val="right" w:pos="9360"/>
        </w:tabs>
        <w:ind w:right="159"/>
        <w:rPr>
          <w:sz w:val="23"/>
          <w:szCs w:val="23"/>
        </w:rPr>
      </w:pPr>
      <w:r w:rsidRPr="00017D06">
        <w:rPr>
          <w:sz w:val="23"/>
          <w:szCs w:val="23"/>
        </w:rPr>
        <w:t xml:space="preserve">atliekanti direktoriaus pavaduotojos funkcijas               </w:t>
      </w:r>
      <w:r w:rsidR="00B40623" w:rsidRPr="00017D06">
        <w:rPr>
          <w:sz w:val="23"/>
          <w:szCs w:val="23"/>
        </w:rPr>
        <w:t xml:space="preserve">     </w:t>
      </w:r>
      <w:r w:rsidR="00017D06">
        <w:rPr>
          <w:sz w:val="23"/>
          <w:szCs w:val="23"/>
        </w:rPr>
        <w:t xml:space="preserve">           </w:t>
      </w:r>
      <w:r w:rsidR="001922B8" w:rsidRPr="00017D06">
        <w:rPr>
          <w:sz w:val="23"/>
          <w:szCs w:val="23"/>
        </w:rPr>
        <w:t xml:space="preserve">  </w:t>
      </w:r>
      <w:r w:rsidR="00B40623" w:rsidRPr="00017D06">
        <w:rPr>
          <w:sz w:val="23"/>
          <w:szCs w:val="23"/>
        </w:rPr>
        <w:t xml:space="preserve">              Vytautė Kazl</w:t>
      </w:r>
      <w:r w:rsidRPr="00017D06">
        <w:rPr>
          <w:sz w:val="23"/>
          <w:szCs w:val="23"/>
        </w:rPr>
        <w:t>auskaitė-Švenčionienė</w:t>
      </w:r>
    </w:p>
    <w:p w:rsidR="00017D06" w:rsidRDefault="00017D06" w:rsidP="00BB1AD2"/>
    <w:p w:rsidR="003F434B" w:rsidRDefault="003F434B" w:rsidP="00BB1AD2"/>
    <w:p w:rsidR="00833A73" w:rsidRDefault="00833A73" w:rsidP="00BB1AD2"/>
    <w:p w:rsidR="00CB5247" w:rsidRPr="002F64FB" w:rsidRDefault="00CB5247">
      <w:pPr>
        <w:outlineLvl w:val="0"/>
        <w:rPr>
          <w:sz w:val="16"/>
          <w:szCs w:val="16"/>
        </w:rPr>
      </w:pPr>
      <w:r w:rsidRPr="002F64FB">
        <w:rPr>
          <w:sz w:val="16"/>
          <w:szCs w:val="16"/>
        </w:rPr>
        <w:t>Mykolas Šavelskis</w:t>
      </w:r>
      <w:r w:rsidR="0074566D" w:rsidRPr="002F64FB">
        <w:rPr>
          <w:sz w:val="16"/>
          <w:szCs w:val="16"/>
        </w:rPr>
        <w:t xml:space="preserve">, tel. </w:t>
      </w:r>
      <w:r w:rsidR="00F17096">
        <w:rPr>
          <w:sz w:val="16"/>
          <w:szCs w:val="16"/>
        </w:rPr>
        <w:t>8 706 63 696</w:t>
      </w:r>
      <w:r w:rsidR="0074566D" w:rsidRPr="002F64FB">
        <w:rPr>
          <w:sz w:val="16"/>
          <w:szCs w:val="16"/>
        </w:rPr>
        <w:t xml:space="preserve">, el. p. </w:t>
      </w:r>
      <w:r w:rsidRPr="002F64FB">
        <w:rPr>
          <w:sz w:val="16"/>
          <w:szCs w:val="16"/>
        </w:rPr>
        <w:t>mykolas.savelskis@etd.lt</w:t>
      </w:r>
    </w:p>
    <w:sectPr w:rsidR="00CB5247" w:rsidRPr="002F64FB" w:rsidSect="00017D06">
      <w:headerReference w:type="default" r:id="rId10"/>
      <w:pgSz w:w="11907" w:h="16840" w:code="9"/>
      <w:pgMar w:top="567" w:right="567" w:bottom="567" w:left="993" w:header="284" w:footer="873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7253" w:rsidRDefault="001B7253">
      <w:r>
        <w:separator/>
      </w:r>
    </w:p>
  </w:endnote>
  <w:endnote w:type="continuationSeparator" w:id="0">
    <w:p w:rsidR="001B7253" w:rsidRDefault="001B7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Helvetica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7253" w:rsidRDefault="001B7253">
      <w:r>
        <w:separator/>
      </w:r>
    </w:p>
  </w:footnote>
  <w:footnote w:type="continuationSeparator" w:id="0">
    <w:p w:rsidR="001B7253" w:rsidRDefault="001B7253">
      <w:r>
        <w:continuationSeparator/>
      </w:r>
    </w:p>
  </w:footnote>
  <w:footnote w:id="1">
    <w:p w:rsidR="00FF5347" w:rsidRDefault="00FF534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2A45FF" w:rsidRPr="002A45FF">
        <w:t xml:space="preserve"> Tarptautinės jūrų organizacijos Jūrų l</w:t>
      </w:r>
      <w:r w:rsidR="002A45FF">
        <w:t>aivų ir incidentų tyrimo kodeksas</w:t>
      </w:r>
      <w:r w:rsidR="002A45FF" w:rsidRPr="002A45FF">
        <w:t xml:space="preserve"> (2008 m. gegužės 16 d. Tarptautinės jūrų organizacijos Jūrų saugos komiteto rezoliucija 255(84) patvirtinto Jūrų laivų avarijų ir incidentų tyr</w:t>
      </w:r>
      <w:r w:rsidR="002A45FF">
        <w:t>imo kodekso naujausia redakcija)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1B00" w:rsidRDefault="00221B00">
    <w:pPr>
      <w:pStyle w:val="Header"/>
      <w:tabs>
        <w:tab w:val="clear" w:pos="4153"/>
        <w:tab w:val="clear" w:pos="8306"/>
      </w:tabs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17D06">
      <w:rPr>
        <w:rStyle w:val="PageNumber"/>
        <w:noProof/>
      </w:rPr>
      <w:t>2</w:t>
    </w:r>
    <w:r>
      <w:rPr>
        <w:rStyle w:val="PageNumber"/>
      </w:rPr>
      <w:fldChar w:fldCharType="end"/>
    </w:r>
  </w:p>
  <w:p w:rsidR="00221B00" w:rsidRDefault="00221B00">
    <w:pPr>
      <w:pStyle w:val="Header"/>
      <w:tabs>
        <w:tab w:val="clear" w:pos="4153"/>
        <w:tab w:val="clear" w:pos="8306"/>
      </w:tabs>
      <w:jc w:val="center"/>
      <w:rPr>
        <w:sz w:val="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055DB8"/>
    <w:multiLevelType w:val="hybridMultilevel"/>
    <w:tmpl w:val="C026E406"/>
    <w:lvl w:ilvl="0" w:tplc="F384A0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0AF4335"/>
    <w:multiLevelType w:val="hybridMultilevel"/>
    <w:tmpl w:val="620A9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463D1"/>
    <w:multiLevelType w:val="hybridMultilevel"/>
    <w:tmpl w:val="E5600F8C"/>
    <w:lvl w:ilvl="0" w:tplc="C9DA60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57A4F88"/>
    <w:multiLevelType w:val="hybridMultilevel"/>
    <w:tmpl w:val="EA660810"/>
    <w:lvl w:ilvl="0" w:tplc="EEDE56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2A93B89"/>
    <w:multiLevelType w:val="hybridMultilevel"/>
    <w:tmpl w:val="67F2045C"/>
    <w:lvl w:ilvl="0" w:tplc="0427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645C7C82"/>
    <w:multiLevelType w:val="hybridMultilevel"/>
    <w:tmpl w:val="F208D78C"/>
    <w:lvl w:ilvl="0" w:tplc="6CEABE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C0967ED"/>
    <w:multiLevelType w:val="hybridMultilevel"/>
    <w:tmpl w:val="6F3012CC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2xKOnudbNbZ7GNya7ABTpA/1v6RnZU4s1NwmXPoph+bNWPsz3/J/sUUJuP0/sB9VqyVtDt3mjCsRy4vmboqQ+g==" w:salt="0gI+VvNWCpivHapsWu8oWw=="/>
  <w:defaultTabStop w:val="720"/>
  <w:hyphenationZone w:val="396"/>
  <w:drawingGridHorizontalSpacing w:val="120"/>
  <w:drawingGridVerticalSpacing w:val="163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21F"/>
    <w:rsid w:val="00007EDF"/>
    <w:rsid w:val="00017793"/>
    <w:rsid w:val="00017D06"/>
    <w:rsid w:val="00025DD3"/>
    <w:rsid w:val="00031FA3"/>
    <w:rsid w:val="00057C29"/>
    <w:rsid w:val="0006064A"/>
    <w:rsid w:val="00060891"/>
    <w:rsid w:val="00060A6A"/>
    <w:rsid w:val="00064284"/>
    <w:rsid w:val="00072143"/>
    <w:rsid w:val="00072369"/>
    <w:rsid w:val="00073286"/>
    <w:rsid w:val="000819AE"/>
    <w:rsid w:val="0008234B"/>
    <w:rsid w:val="000829B2"/>
    <w:rsid w:val="00084346"/>
    <w:rsid w:val="00094182"/>
    <w:rsid w:val="00095EC3"/>
    <w:rsid w:val="00097D32"/>
    <w:rsid w:val="000A197B"/>
    <w:rsid w:val="000A273D"/>
    <w:rsid w:val="000B4659"/>
    <w:rsid w:val="000C03E3"/>
    <w:rsid w:val="000C5433"/>
    <w:rsid w:val="000C685D"/>
    <w:rsid w:val="000E0CFF"/>
    <w:rsid w:val="000E1883"/>
    <w:rsid w:val="000F5722"/>
    <w:rsid w:val="000F766E"/>
    <w:rsid w:val="001017F7"/>
    <w:rsid w:val="00113DF3"/>
    <w:rsid w:val="0011760A"/>
    <w:rsid w:val="001238CB"/>
    <w:rsid w:val="0012409E"/>
    <w:rsid w:val="00125A9B"/>
    <w:rsid w:val="00126D25"/>
    <w:rsid w:val="0013204A"/>
    <w:rsid w:val="0013787B"/>
    <w:rsid w:val="001451F4"/>
    <w:rsid w:val="00150A7B"/>
    <w:rsid w:val="00163045"/>
    <w:rsid w:val="001646B6"/>
    <w:rsid w:val="00174366"/>
    <w:rsid w:val="00176668"/>
    <w:rsid w:val="00183B61"/>
    <w:rsid w:val="00185F70"/>
    <w:rsid w:val="00190232"/>
    <w:rsid w:val="00190526"/>
    <w:rsid w:val="00191016"/>
    <w:rsid w:val="001922B8"/>
    <w:rsid w:val="001A208D"/>
    <w:rsid w:val="001A4B9D"/>
    <w:rsid w:val="001A7674"/>
    <w:rsid w:val="001A7E53"/>
    <w:rsid w:val="001A7F6F"/>
    <w:rsid w:val="001B2BA7"/>
    <w:rsid w:val="001B64E6"/>
    <w:rsid w:val="001B7253"/>
    <w:rsid w:val="001C3C1F"/>
    <w:rsid w:val="001C3E33"/>
    <w:rsid w:val="001C483B"/>
    <w:rsid w:val="001D4085"/>
    <w:rsid w:val="001D527A"/>
    <w:rsid w:val="001D6514"/>
    <w:rsid w:val="001E068E"/>
    <w:rsid w:val="001E0F2B"/>
    <w:rsid w:val="001E610A"/>
    <w:rsid w:val="00210452"/>
    <w:rsid w:val="00214E1B"/>
    <w:rsid w:val="002163AE"/>
    <w:rsid w:val="00221B00"/>
    <w:rsid w:val="00221B67"/>
    <w:rsid w:val="002240E4"/>
    <w:rsid w:val="0024336B"/>
    <w:rsid w:val="002439E4"/>
    <w:rsid w:val="00246994"/>
    <w:rsid w:val="002562A8"/>
    <w:rsid w:val="00257E30"/>
    <w:rsid w:val="00260874"/>
    <w:rsid w:val="00261F97"/>
    <w:rsid w:val="0027561F"/>
    <w:rsid w:val="00275B6E"/>
    <w:rsid w:val="00280E13"/>
    <w:rsid w:val="00284634"/>
    <w:rsid w:val="002861AD"/>
    <w:rsid w:val="002972DF"/>
    <w:rsid w:val="002974B5"/>
    <w:rsid w:val="002A45FF"/>
    <w:rsid w:val="002A6EA1"/>
    <w:rsid w:val="002B11D8"/>
    <w:rsid w:val="002B1C54"/>
    <w:rsid w:val="002C6DC3"/>
    <w:rsid w:val="002D435C"/>
    <w:rsid w:val="002F13D4"/>
    <w:rsid w:val="002F2548"/>
    <w:rsid w:val="002F25FD"/>
    <w:rsid w:val="002F3441"/>
    <w:rsid w:val="002F39CE"/>
    <w:rsid w:val="002F42DB"/>
    <w:rsid w:val="002F64FB"/>
    <w:rsid w:val="00312871"/>
    <w:rsid w:val="003169EA"/>
    <w:rsid w:val="00317476"/>
    <w:rsid w:val="00322452"/>
    <w:rsid w:val="00322BDA"/>
    <w:rsid w:val="003459BB"/>
    <w:rsid w:val="00347D71"/>
    <w:rsid w:val="003508CF"/>
    <w:rsid w:val="003530FE"/>
    <w:rsid w:val="003534BB"/>
    <w:rsid w:val="003539C3"/>
    <w:rsid w:val="00360108"/>
    <w:rsid w:val="0036028C"/>
    <w:rsid w:val="00372FC1"/>
    <w:rsid w:val="003821F2"/>
    <w:rsid w:val="0038356D"/>
    <w:rsid w:val="0038723A"/>
    <w:rsid w:val="00390C6E"/>
    <w:rsid w:val="003A0FE6"/>
    <w:rsid w:val="003A1261"/>
    <w:rsid w:val="003A14AF"/>
    <w:rsid w:val="003B339B"/>
    <w:rsid w:val="003B6525"/>
    <w:rsid w:val="003B7C94"/>
    <w:rsid w:val="003D5C54"/>
    <w:rsid w:val="003E039B"/>
    <w:rsid w:val="003E0C8B"/>
    <w:rsid w:val="003E37E6"/>
    <w:rsid w:val="003E6DA9"/>
    <w:rsid w:val="003E72B3"/>
    <w:rsid w:val="003E76E4"/>
    <w:rsid w:val="003E783F"/>
    <w:rsid w:val="003F063A"/>
    <w:rsid w:val="003F434B"/>
    <w:rsid w:val="003F72B3"/>
    <w:rsid w:val="0040624F"/>
    <w:rsid w:val="00416E76"/>
    <w:rsid w:val="00420FF5"/>
    <w:rsid w:val="004464F7"/>
    <w:rsid w:val="004548E2"/>
    <w:rsid w:val="00455953"/>
    <w:rsid w:val="00460BE9"/>
    <w:rsid w:val="00477344"/>
    <w:rsid w:val="00480E06"/>
    <w:rsid w:val="00485C2B"/>
    <w:rsid w:val="00491A66"/>
    <w:rsid w:val="00495AB9"/>
    <w:rsid w:val="004A1BFD"/>
    <w:rsid w:val="004A53FD"/>
    <w:rsid w:val="004A5807"/>
    <w:rsid w:val="004A6118"/>
    <w:rsid w:val="004C40FE"/>
    <w:rsid w:val="004D2F59"/>
    <w:rsid w:val="004E1426"/>
    <w:rsid w:val="004E3A5E"/>
    <w:rsid w:val="004E6048"/>
    <w:rsid w:val="004F616D"/>
    <w:rsid w:val="00502714"/>
    <w:rsid w:val="0051164A"/>
    <w:rsid w:val="00513400"/>
    <w:rsid w:val="005260EF"/>
    <w:rsid w:val="005321BE"/>
    <w:rsid w:val="00543635"/>
    <w:rsid w:val="00557E6E"/>
    <w:rsid w:val="00562876"/>
    <w:rsid w:val="00567465"/>
    <w:rsid w:val="00571524"/>
    <w:rsid w:val="00572E53"/>
    <w:rsid w:val="00574930"/>
    <w:rsid w:val="00580F69"/>
    <w:rsid w:val="00583A39"/>
    <w:rsid w:val="005A6976"/>
    <w:rsid w:val="005B6772"/>
    <w:rsid w:val="005D36A9"/>
    <w:rsid w:val="005E1980"/>
    <w:rsid w:val="005F3EC1"/>
    <w:rsid w:val="00615E4A"/>
    <w:rsid w:val="006173ED"/>
    <w:rsid w:val="0062274E"/>
    <w:rsid w:val="00626BE3"/>
    <w:rsid w:val="00636B6A"/>
    <w:rsid w:val="0063745B"/>
    <w:rsid w:val="00637E35"/>
    <w:rsid w:val="0064026E"/>
    <w:rsid w:val="006433CA"/>
    <w:rsid w:val="0064423E"/>
    <w:rsid w:val="006468F8"/>
    <w:rsid w:val="00653F41"/>
    <w:rsid w:val="0065673C"/>
    <w:rsid w:val="00657281"/>
    <w:rsid w:val="00662279"/>
    <w:rsid w:val="00667D8F"/>
    <w:rsid w:val="00675535"/>
    <w:rsid w:val="00682FF0"/>
    <w:rsid w:val="00683E9D"/>
    <w:rsid w:val="0068652C"/>
    <w:rsid w:val="00690024"/>
    <w:rsid w:val="006A6742"/>
    <w:rsid w:val="006A6745"/>
    <w:rsid w:val="006A7D53"/>
    <w:rsid w:val="006B677A"/>
    <w:rsid w:val="006C1FBD"/>
    <w:rsid w:val="006C2E01"/>
    <w:rsid w:val="006D121F"/>
    <w:rsid w:val="006D51AB"/>
    <w:rsid w:val="006D58A1"/>
    <w:rsid w:val="006D76F6"/>
    <w:rsid w:val="006E2EF9"/>
    <w:rsid w:val="006E42BB"/>
    <w:rsid w:val="006E576F"/>
    <w:rsid w:val="006F0024"/>
    <w:rsid w:val="006F1718"/>
    <w:rsid w:val="006F1ED4"/>
    <w:rsid w:val="006F2E59"/>
    <w:rsid w:val="006F4DCB"/>
    <w:rsid w:val="00700D7E"/>
    <w:rsid w:val="00700E7C"/>
    <w:rsid w:val="00703D82"/>
    <w:rsid w:val="00725883"/>
    <w:rsid w:val="007279F7"/>
    <w:rsid w:val="007303AA"/>
    <w:rsid w:val="007305FD"/>
    <w:rsid w:val="00734CE1"/>
    <w:rsid w:val="0074566D"/>
    <w:rsid w:val="00750221"/>
    <w:rsid w:val="00750585"/>
    <w:rsid w:val="0075339F"/>
    <w:rsid w:val="007540D3"/>
    <w:rsid w:val="00760760"/>
    <w:rsid w:val="00764E62"/>
    <w:rsid w:val="007975A5"/>
    <w:rsid w:val="007A04D1"/>
    <w:rsid w:val="007A07D8"/>
    <w:rsid w:val="007C0369"/>
    <w:rsid w:val="007C3BB5"/>
    <w:rsid w:val="007C43DC"/>
    <w:rsid w:val="007D61BB"/>
    <w:rsid w:val="007D6961"/>
    <w:rsid w:val="007E0689"/>
    <w:rsid w:val="007E387F"/>
    <w:rsid w:val="007E78E4"/>
    <w:rsid w:val="0080610D"/>
    <w:rsid w:val="00833A73"/>
    <w:rsid w:val="00835649"/>
    <w:rsid w:val="00856909"/>
    <w:rsid w:val="00864205"/>
    <w:rsid w:val="00881B0E"/>
    <w:rsid w:val="008827CD"/>
    <w:rsid w:val="00890F09"/>
    <w:rsid w:val="008969D9"/>
    <w:rsid w:val="008A27EE"/>
    <w:rsid w:val="008A4387"/>
    <w:rsid w:val="008A5381"/>
    <w:rsid w:val="008A7402"/>
    <w:rsid w:val="008C0250"/>
    <w:rsid w:val="008C5F15"/>
    <w:rsid w:val="008D02D8"/>
    <w:rsid w:val="009007CA"/>
    <w:rsid w:val="00903411"/>
    <w:rsid w:val="00904296"/>
    <w:rsid w:val="00906D01"/>
    <w:rsid w:val="00922087"/>
    <w:rsid w:val="009222FA"/>
    <w:rsid w:val="009226D7"/>
    <w:rsid w:val="0092281F"/>
    <w:rsid w:val="00934AAD"/>
    <w:rsid w:val="00945F43"/>
    <w:rsid w:val="009477BC"/>
    <w:rsid w:val="00951C52"/>
    <w:rsid w:val="00956F59"/>
    <w:rsid w:val="00964542"/>
    <w:rsid w:val="009658B3"/>
    <w:rsid w:val="00966616"/>
    <w:rsid w:val="009748DE"/>
    <w:rsid w:val="0098494B"/>
    <w:rsid w:val="009912CB"/>
    <w:rsid w:val="00996D47"/>
    <w:rsid w:val="009A0642"/>
    <w:rsid w:val="009B0C38"/>
    <w:rsid w:val="009B4633"/>
    <w:rsid w:val="009B4B5E"/>
    <w:rsid w:val="009D01AF"/>
    <w:rsid w:val="009D6B10"/>
    <w:rsid w:val="009E2D14"/>
    <w:rsid w:val="009E50C8"/>
    <w:rsid w:val="009E5ACD"/>
    <w:rsid w:val="009E75EC"/>
    <w:rsid w:val="009F6669"/>
    <w:rsid w:val="00A00DF3"/>
    <w:rsid w:val="00A10D15"/>
    <w:rsid w:val="00A141DE"/>
    <w:rsid w:val="00A16A1D"/>
    <w:rsid w:val="00A218D8"/>
    <w:rsid w:val="00A346EF"/>
    <w:rsid w:val="00A34E85"/>
    <w:rsid w:val="00A46C86"/>
    <w:rsid w:val="00A5332C"/>
    <w:rsid w:val="00A60554"/>
    <w:rsid w:val="00A63109"/>
    <w:rsid w:val="00A65FFC"/>
    <w:rsid w:val="00A71547"/>
    <w:rsid w:val="00A74B7E"/>
    <w:rsid w:val="00A75935"/>
    <w:rsid w:val="00A77F5C"/>
    <w:rsid w:val="00A81C2D"/>
    <w:rsid w:val="00A83D34"/>
    <w:rsid w:val="00A840C2"/>
    <w:rsid w:val="00A84307"/>
    <w:rsid w:val="00A86A89"/>
    <w:rsid w:val="00A87409"/>
    <w:rsid w:val="00A931BB"/>
    <w:rsid w:val="00A9348C"/>
    <w:rsid w:val="00A94811"/>
    <w:rsid w:val="00AA6DA6"/>
    <w:rsid w:val="00AB2B8D"/>
    <w:rsid w:val="00AD050E"/>
    <w:rsid w:val="00AD0C8D"/>
    <w:rsid w:val="00AD439E"/>
    <w:rsid w:val="00AE01C1"/>
    <w:rsid w:val="00AE0837"/>
    <w:rsid w:val="00AF0548"/>
    <w:rsid w:val="00AF4B54"/>
    <w:rsid w:val="00AF5941"/>
    <w:rsid w:val="00AF72B6"/>
    <w:rsid w:val="00B01B3B"/>
    <w:rsid w:val="00B02EEE"/>
    <w:rsid w:val="00B055C8"/>
    <w:rsid w:val="00B05FC3"/>
    <w:rsid w:val="00B14CF2"/>
    <w:rsid w:val="00B17C74"/>
    <w:rsid w:val="00B17D8E"/>
    <w:rsid w:val="00B202E8"/>
    <w:rsid w:val="00B24278"/>
    <w:rsid w:val="00B30F61"/>
    <w:rsid w:val="00B40623"/>
    <w:rsid w:val="00B40F2D"/>
    <w:rsid w:val="00B41299"/>
    <w:rsid w:val="00B41950"/>
    <w:rsid w:val="00B44F9A"/>
    <w:rsid w:val="00B523A3"/>
    <w:rsid w:val="00B6594E"/>
    <w:rsid w:val="00B6776D"/>
    <w:rsid w:val="00B74842"/>
    <w:rsid w:val="00B777A7"/>
    <w:rsid w:val="00B82BC4"/>
    <w:rsid w:val="00BA3A5A"/>
    <w:rsid w:val="00BB1AD2"/>
    <w:rsid w:val="00BB4FF0"/>
    <w:rsid w:val="00BB7AB9"/>
    <w:rsid w:val="00BC0644"/>
    <w:rsid w:val="00BC0A92"/>
    <w:rsid w:val="00BC23D3"/>
    <w:rsid w:val="00BC3EC4"/>
    <w:rsid w:val="00BC43F9"/>
    <w:rsid w:val="00BD5AE7"/>
    <w:rsid w:val="00BD7FA2"/>
    <w:rsid w:val="00BE0F09"/>
    <w:rsid w:val="00BE3324"/>
    <w:rsid w:val="00BF6DFF"/>
    <w:rsid w:val="00C02C53"/>
    <w:rsid w:val="00C13BE2"/>
    <w:rsid w:val="00C20010"/>
    <w:rsid w:val="00C22F17"/>
    <w:rsid w:val="00C25103"/>
    <w:rsid w:val="00C338F6"/>
    <w:rsid w:val="00C341CE"/>
    <w:rsid w:val="00C4037D"/>
    <w:rsid w:val="00C406A5"/>
    <w:rsid w:val="00C622CA"/>
    <w:rsid w:val="00C639AC"/>
    <w:rsid w:val="00C657CD"/>
    <w:rsid w:val="00C706A1"/>
    <w:rsid w:val="00C83FF8"/>
    <w:rsid w:val="00CA1876"/>
    <w:rsid w:val="00CA29BC"/>
    <w:rsid w:val="00CA65F0"/>
    <w:rsid w:val="00CB3952"/>
    <w:rsid w:val="00CB498D"/>
    <w:rsid w:val="00CB5247"/>
    <w:rsid w:val="00CB6BDF"/>
    <w:rsid w:val="00CB796C"/>
    <w:rsid w:val="00CC37E6"/>
    <w:rsid w:val="00CC398A"/>
    <w:rsid w:val="00CD16D6"/>
    <w:rsid w:val="00CD35D7"/>
    <w:rsid w:val="00CD4E54"/>
    <w:rsid w:val="00CE04B2"/>
    <w:rsid w:val="00CF2322"/>
    <w:rsid w:val="00CF2A7A"/>
    <w:rsid w:val="00CF4C67"/>
    <w:rsid w:val="00D047B8"/>
    <w:rsid w:val="00D075F4"/>
    <w:rsid w:val="00D077AA"/>
    <w:rsid w:val="00D13C90"/>
    <w:rsid w:val="00D208D4"/>
    <w:rsid w:val="00D36853"/>
    <w:rsid w:val="00D42B42"/>
    <w:rsid w:val="00D449BD"/>
    <w:rsid w:val="00D462EE"/>
    <w:rsid w:val="00D46C5E"/>
    <w:rsid w:val="00D51E3B"/>
    <w:rsid w:val="00D55AEC"/>
    <w:rsid w:val="00D66F7C"/>
    <w:rsid w:val="00D70379"/>
    <w:rsid w:val="00D7058A"/>
    <w:rsid w:val="00D765F1"/>
    <w:rsid w:val="00D83DC6"/>
    <w:rsid w:val="00D8453E"/>
    <w:rsid w:val="00D85322"/>
    <w:rsid w:val="00DA1A7A"/>
    <w:rsid w:val="00DA2D56"/>
    <w:rsid w:val="00DC5F5B"/>
    <w:rsid w:val="00DD0CCF"/>
    <w:rsid w:val="00DD1500"/>
    <w:rsid w:val="00DD3500"/>
    <w:rsid w:val="00DE0297"/>
    <w:rsid w:val="00E03143"/>
    <w:rsid w:val="00E038B1"/>
    <w:rsid w:val="00E12E24"/>
    <w:rsid w:val="00E16D06"/>
    <w:rsid w:val="00E24C93"/>
    <w:rsid w:val="00E258F0"/>
    <w:rsid w:val="00E2641A"/>
    <w:rsid w:val="00E3025E"/>
    <w:rsid w:val="00E56B62"/>
    <w:rsid w:val="00E57458"/>
    <w:rsid w:val="00E64C03"/>
    <w:rsid w:val="00E82299"/>
    <w:rsid w:val="00E866EB"/>
    <w:rsid w:val="00E904E2"/>
    <w:rsid w:val="00E90FFE"/>
    <w:rsid w:val="00EA26EE"/>
    <w:rsid w:val="00EA55A3"/>
    <w:rsid w:val="00EA61BA"/>
    <w:rsid w:val="00EA712B"/>
    <w:rsid w:val="00EA7FB7"/>
    <w:rsid w:val="00EB5603"/>
    <w:rsid w:val="00EC0777"/>
    <w:rsid w:val="00EC12BF"/>
    <w:rsid w:val="00EC4983"/>
    <w:rsid w:val="00EC5839"/>
    <w:rsid w:val="00EC59CC"/>
    <w:rsid w:val="00EC7568"/>
    <w:rsid w:val="00EE30E4"/>
    <w:rsid w:val="00EF3386"/>
    <w:rsid w:val="00F0367B"/>
    <w:rsid w:val="00F06DB4"/>
    <w:rsid w:val="00F10A8E"/>
    <w:rsid w:val="00F159D3"/>
    <w:rsid w:val="00F16A9B"/>
    <w:rsid w:val="00F17096"/>
    <w:rsid w:val="00F22DEE"/>
    <w:rsid w:val="00F244CA"/>
    <w:rsid w:val="00F26F0C"/>
    <w:rsid w:val="00F31879"/>
    <w:rsid w:val="00F321E6"/>
    <w:rsid w:val="00F4352A"/>
    <w:rsid w:val="00F46775"/>
    <w:rsid w:val="00F473EB"/>
    <w:rsid w:val="00F47A7B"/>
    <w:rsid w:val="00F64360"/>
    <w:rsid w:val="00F649DA"/>
    <w:rsid w:val="00F720AC"/>
    <w:rsid w:val="00F740B5"/>
    <w:rsid w:val="00F75FA5"/>
    <w:rsid w:val="00F8428B"/>
    <w:rsid w:val="00FA0379"/>
    <w:rsid w:val="00FA5D57"/>
    <w:rsid w:val="00FB3240"/>
    <w:rsid w:val="00FB7908"/>
    <w:rsid w:val="00FC4EAC"/>
    <w:rsid w:val="00FD0E11"/>
    <w:rsid w:val="00FD0F76"/>
    <w:rsid w:val="00FD2EB5"/>
    <w:rsid w:val="00FE4549"/>
    <w:rsid w:val="00FF5347"/>
    <w:rsid w:val="00FF6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6A6F65C-483C-43E6-BB42-92802721C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,Diagrama Diagrama Diagrama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right" w:pos="8306"/>
      </w:tabs>
      <w:jc w:val="right"/>
    </w:pPr>
    <w:rPr>
      <w:sz w:val="16"/>
    </w:rPr>
  </w:style>
  <w:style w:type="character" w:styleId="PageNumber">
    <w:name w:val="page number"/>
    <w:basedOn w:val="DefaultParagraphFont"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3B6525"/>
    <w:rPr>
      <w:rFonts w:ascii="Tahoma" w:hAnsi="Tahoma" w:cs="Tahoma"/>
      <w:sz w:val="16"/>
      <w:szCs w:val="16"/>
    </w:rPr>
  </w:style>
  <w:style w:type="paragraph" w:customStyle="1" w:styleId="Pavadinimas1">
    <w:name w:val="Pavadinimas1"/>
    <w:basedOn w:val="Normal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Normal"/>
    <w:pPr>
      <w:ind w:right="318"/>
    </w:pPr>
  </w:style>
  <w:style w:type="paragraph" w:customStyle="1" w:styleId="Kopija">
    <w:name w:val="Kopija"/>
    <w:basedOn w:val="Adresas"/>
    <w:pPr>
      <w:ind w:right="3999"/>
    </w:pPr>
  </w:style>
  <w:style w:type="paragraph" w:customStyle="1" w:styleId="Institucija">
    <w:name w:val="Institucija"/>
    <w:basedOn w:val="Header"/>
    <w:pPr>
      <w:tabs>
        <w:tab w:val="clear" w:pos="4153"/>
        <w:tab w:val="clear" w:pos="8306"/>
      </w:tabs>
      <w:jc w:val="center"/>
    </w:pPr>
    <w:rPr>
      <w:b/>
      <w:bCs/>
      <w:sz w:val="26"/>
    </w:rPr>
  </w:style>
  <w:style w:type="paragraph" w:customStyle="1" w:styleId="Tekstas">
    <w:name w:val="Tekstas"/>
    <w:basedOn w:val="Normal"/>
    <w:pPr>
      <w:spacing w:before="40" w:after="40"/>
      <w:ind w:right="40" w:firstLine="1247"/>
      <w:jc w:val="both"/>
    </w:pPr>
  </w:style>
  <w:style w:type="character" w:customStyle="1" w:styleId="BalloonTextChar">
    <w:name w:val="Balloon Text Char"/>
    <w:basedOn w:val="DefaultParagraphFont"/>
    <w:link w:val="BalloonText"/>
    <w:rsid w:val="003B6525"/>
    <w:rPr>
      <w:rFonts w:ascii="Tahoma" w:hAnsi="Tahoma" w:cs="Tahoma"/>
      <w:sz w:val="16"/>
      <w:szCs w:val="16"/>
      <w:lang w:eastAsia="en-US"/>
    </w:rPr>
  </w:style>
  <w:style w:type="character" w:customStyle="1" w:styleId="HeaderChar">
    <w:name w:val="Header Char"/>
    <w:aliases w:val="Char Char,Diagrama Diagrama Diagrama Char"/>
    <w:basedOn w:val="DefaultParagraphFont"/>
    <w:link w:val="Header"/>
    <w:uiPriority w:val="99"/>
    <w:rsid w:val="00150A7B"/>
    <w:rPr>
      <w:sz w:val="24"/>
      <w:szCs w:val="24"/>
      <w:lang w:eastAsia="en-US"/>
    </w:rPr>
  </w:style>
  <w:style w:type="paragraph" w:styleId="Caption">
    <w:name w:val="caption"/>
    <w:basedOn w:val="Normal"/>
    <w:next w:val="Normal"/>
    <w:qFormat/>
    <w:rsid w:val="00150A7B"/>
    <w:pPr>
      <w:jc w:val="center"/>
    </w:pPr>
    <w:rPr>
      <w:b/>
      <w:sz w:val="28"/>
      <w:szCs w:val="20"/>
    </w:rPr>
  </w:style>
  <w:style w:type="paragraph" w:customStyle="1" w:styleId="DiagramaDiagramaDiagramaDiagramaDiagramaDiagramaDiagramaDiagramaDiagrama">
    <w:name w:val="Diagrama Diagrama Diagrama Diagrama Diagrama Diagrama Diagrama Diagrama Diagrama"/>
    <w:basedOn w:val="Normal"/>
    <w:rsid w:val="00284634"/>
    <w:pPr>
      <w:spacing w:after="160" w:line="240" w:lineRule="exact"/>
    </w:pPr>
    <w:rPr>
      <w:rFonts w:ascii="Tahoma" w:eastAsia="MS Mincho" w:hAnsi="Tahoma"/>
      <w:sz w:val="20"/>
      <w:szCs w:val="20"/>
      <w:lang w:val="en-US"/>
    </w:rPr>
  </w:style>
  <w:style w:type="character" w:styleId="CommentReference">
    <w:name w:val="annotation reference"/>
    <w:basedOn w:val="DefaultParagraphFont"/>
    <w:semiHidden/>
    <w:unhideWhenUsed/>
    <w:rsid w:val="00095EC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95EC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95EC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95E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95EC3"/>
    <w:rPr>
      <w:b/>
      <w:bCs/>
      <w:lang w:eastAsia="en-US"/>
    </w:rPr>
  </w:style>
  <w:style w:type="paragraph" w:styleId="FootnoteText">
    <w:name w:val="footnote text"/>
    <w:basedOn w:val="Normal"/>
    <w:link w:val="FootnoteTextChar"/>
    <w:semiHidden/>
    <w:unhideWhenUsed/>
    <w:rsid w:val="006D58A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D58A1"/>
    <w:rPr>
      <w:lang w:eastAsia="en-US"/>
    </w:rPr>
  </w:style>
  <w:style w:type="character" w:styleId="FootnoteReference">
    <w:name w:val="footnote reference"/>
    <w:basedOn w:val="DefaultParagraphFont"/>
    <w:semiHidden/>
    <w:unhideWhenUsed/>
    <w:rsid w:val="006D58A1"/>
    <w:rPr>
      <w:vertAlign w:val="superscript"/>
    </w:rPr>
  </w:style>
  <w:style w:type="paragraph" w:customStyle="1" w:styleId="Default">
    <w:name w:val="Default"/>
    <w:rsid w:val="006A6742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7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38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37207">
                      <w:marLeft w:val="3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688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717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992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75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532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11581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90041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0240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841133">
                                                          <w:marLeft w:val="0"/>
                                                          <w:marRight w:val="0"/>
                                                          <w:marTop w:val="15"/>
                                                          <w:marBottom w:val="7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6085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028876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7252747">
                                                                      <w:marLeft w:val="-225"/>
                                                                      <w:marRight w:val="-22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81684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654736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td@etd.l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rate\Documents\Blankas\Siunciamas_rastas_L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8EDCA-4565-427F-8009-21A19C986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Siunciamas_rastas_LT.dot</Template>
  <TotalTime>0</TotalTime>
  <Pages>1</Pages>
  <Words>2399</Words>
  <Characters>1368</Characters>
  <Application>Microsoft Office Word</Application>
  <DocSecurity>8</DocSecurity>
  <Lines>11</Lines>
  <Paragraphs>7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  <vt:variant>
        <vt:lpstr>Antraštės</vt:lpstr>
      </vt:variant>
      <vt:variant>
        <vt:i4>2</vt:i4>
      </vt:variant>
    </vt:vector>
  </HeadingPairs>
  <TitlesOfParts>
    <vt:vector size="4" baseType="lpstr">
      <vt:lpstr>Blankas</vt:lpstr>
      <vt:lpstr>Blankas</vt:lpstr>
      <vt:lpstr>EUROPOS TEISĖS DEPARTAMENTAS</vt:lpstr>
      <vt:lpstr>Mykolas Šavelskis, tel. 8 706 63 732, el. p. mykolas.savelskis@etd.lt</vt:lpstr>
    </vt:vector>
  </TitlesOfParts>
  <Company>TM</Company>
  <LinksUpToDate>false</LinksUpToDate>
  <CharactersWithSpaces>3760</CharactersWithSpaces>
  <SharedDoc>false</SharedDoc>
  <HLinks>
    <vt:vector size="12" baseType="variant">
      <vt:variant>
        <vt:i4>7864322</vt:i4>
      </vt:variant>
      <vt:variant>
        <vt:i4>12</vt:i4>
      </vt:variant>
      <vt:variant>
        <vt:i4>0</vt:i4>
      </vt:variant>
      <vt:variant>
        <vt:i4>5</vt:i4>
      </vt:variant>
      <vt:variant>
        <vt:lpwstr>mailto:r.vaisviliene@etd.lt</vt:lpwstr>
      </vt:variant>
      <vt:variant>
        <vt:lpwstr/>
      </vt:variant>
      <vt:variant>
        <vt:i4>917540</vt:i4>
      </vt:variant>
      <vt:variant>
        <vt:i4>3</vt:i4>
      </vt:variant>
      <vt:variant>
        <vt:i4>0</vt:i4>
      </vt:variant>
      <vt:variant>
        <vt:i4>5</vt:i4>
      </vt:variant>
      <vt:variant>
        <vt:lpwstr>mailto:etd@etd.lt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Blankas</dc:title>
  <dc:creator>Jurate Cerniauskiene</dc:creator>
  <cp:lastModifiedBy>Edita Karaliūtė</cp:lastModifiedBy>
  <cp:revision>1</cp:revision>
  <cp:lastPrinted>2019-03-28T12:59:00Z</cp:lastPrinted>
  <dcterms:created xsi:type="dcterms:W3CDTF">2019-09-19T11:57:00Z</dcterms:created>
  <dcterms:modified xsi:type="dcterms:W3CDTF">2019-09-19T11:57:00Z</dcterms:modified>
</cp:coreProperties>
</file>