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0D" w:rsidRPr="000771FB" w:rsidRDefault="00394A0D" w:rsidP="005D441E"/>
    <w:p w:rsidR="00BE3841" w:rsidRPr="000771FB" w:rsidRDefault="00BE3841" w:rsidP="00070989">
      <w:pPr>
        <w:spacing w:after="0" w:line="240" w:lineRule="auto"/>
        <w:jc w:val="center"/>
        <w:rPr>
          <w:rFonts w:ascii="Times New Roman" w:hAnsi="Times New Roman" w:cs="Times New Roman"/>
          <w:b/>
          <w:sz w:val="24"/>
          <w:szCs w:val="24"/>
        </w:rPr>
      </w:pPr>
      <w:r w:rsidRPr="000771FB">
        <w:rPr>
          <w:rFonts w:ascii="Times New Roman" w:hAnsi="Times New Roman" w:cs="Times New Roman"/>
          <w:b/>
          <w:sz w:val="24"/>
          <w:szCs w:val="24"/>
        </w:rPr>
        <w:t xml:space="preserve">LIETUVOS RESPUBLIKOS VYRIAUSYBĖS NUTARIMO </w:t>
      </w:r>
    </w:p>
    <w:p w:rsidR="009E2ACC" w:rsidRPr="000771FB" w:rsidRDefault="00BE3841" w:rsidP="00070989">
      <w:pPr>
        <w:spacing w:after="0" w:line="240" w:lineRule="auto"/>
        <w:jc w:val="center"/>
        <w:rPr>
          <w:rFonts w:ascii="Times New Roman" w:hAnsi="Times New Roman" w:cs="Times New Roman"/>
          <w:b/>
          <w:color w:val="000000" w:themeColor="text1"/>
          <w:sz w:val="24"/>
          <w:szCs w:val="24"/>
        </w:rPr>
      </w:pPr>
      <w:r w:rsidRPr="000771FB">
        <w:rPr>
          <w:rFonts w:ascii="Times New Roman" w:hAnsi="Times New Roman" w:cs="Times New Roman"/>
          <w:b/>
          <w:sz w:val="24"/>
          <w:szCs w:val="24"/>
        </w:rPr>
        <w:t>„DĖL</w:t>
      </w:r>
      <w:r w:rsidRPr="000771FB">
        <w:rPr>
          <w:rFonts w:ascii="Times New Roman" w:hAnsi="Times New Roman" w:cs="Times New Roman"/>
          <w:b/>
          <w:color w:val="FF0000"/>
          <w:sz w:val="24"/>
          <w:szCs w:val="24"/>
        </w:rPr>
        <w:t xml:space="preserve"> </w:t>
      </w:r>
      <w:r w:rsidRPr="000771FB">
        <w:rPr>
          <w:rFonts w:ascii="Times New Roman" w:hAnsi="Times New Roman" w:cs="Times New Roman"/>
          <w:b/>
          <w:sz w:val="24"/>
          <w:szCs w:val="24"/>
        </w:rPr>
        <w:t xml:space="preserve">LIETUVOS RESPUBLIKOS VYRIAUSYBĖS 2016 M. SPALIO 5 D. NUTARIMO </w:t>
      </w:r>
      <w:r w:rsidRPr="000771FB">
        <w:rPr>
          <w:rFonts w:ascii="Times New Roman" w:hAnsi="Times New Roman" w:cs="Times New Roman"/>
          <w:b/>
          <w:color w:val="000000" w:themeColor="text1"/>
          <w:sz w:val="24"/>
          <w:szCs w:val="24"/>
        </w:rPr>
        <w:t>NR. 988 „DĖL VALSTYBĖS PARAMOS PRIEGLOBSČIO GAVĖJŲ INTEGRACIJAI TEIKIMO TVARKOS APRAŠO PATVIRTINIMO“ PAKEITIMO“ PROJEKTO</w:t>
      </w:r>
      <w:r w:rsidR="009E2ACC" w:rsidRPr="000771FB">
        <w:rPr>
          <w:rFonts w:ascii="Times New Roman" w:hAnsi="Times New Roman" w:cs="Times New Roman"/>
          <w:b/>
          <w:color w:val="000000" w:themeColor="text1"/>
          <w:sz w:val="24"/>
          <w:szCs w:val="24"/>
        </w:rPr>
        <w:t xml:space="preserve">  </w:t>
      </w:r>
    </w:p>
    <w:p w:rsidR="009E2ACC" w:rsidRPr="000771FB" w:rsidRDefault="009E2ACC" w:rsidP="00070989">
      <w:pPr>
        <w:spacing w:after="0" w:line="240" w:lineRule="auto"/>
        <w:jc w:val="center"/>
        <w:rPr>
          <w:rFonts w:ascii="Times New Roman" w:hAnsi="Times New Roman" w:cs="Times New Roman"/>
          <w:b/>
          <w:color w:val="000000" w:themeColor="text1"/>
          <w:sz w:val="24"/>
          <w:szCs w:val="24"/>
        </w:rPr>
      </w:pPr>
    </w:p>
    <w:p w:rsidR="00BE3841" w:rsidRPr="000771FB" w:rsidRDefault="00BE3841" w:rsidP="00070989">
      <w:pPr>
        <w:spacing w:after="0" w:line="240" w:lineRule="auto"/>
        <w:jc w:val="center"/>
        <w:rPr>
          <w:rFonts w:ascii="Times New Roman" w:hAnsi="Times New Roman" w:cs="Times New Roman"/>
          <w:b/>
          <w:color w:val="000000" w:themeColor="text1"/>
          <w:sz w:val="24"/>
          <w:szCs w:val="24"/>
        </w:rPr>
      </w:pPr>
      <w:r w:rsidRPr="000771FB">
        <w:rPr>
          <w:rFonts w:ascii="Times New Roman" w:hAnsi="Times New Roman" w:cs="Times New Roman"/>
          <w:b/>
          <w:color w:val="000000" w:themeColor="text1"/>
          <w:sz w:val="24"/>
          <w:szCs w:val="24"/>
        </w:rPr>
        <w:t>DERINIMO PAŽYMA</w:t>
      </w:r>
    </w:p>
    <w:p w:rsidR="00BE3841" w:rsidRPr="000771FB" w:rsidRDefault="00BE3841" w:rsidP="00070989">
      <w:pPr>
        <w:jc w:val="center"/>
        <w:rPr>
          <w:rFonts w:ascii="Times New Roman" w:hAnsi="Times New Roman" w:cs="Times New Roman"/>
          <w:sz w:val="24"/>
          <w:szCs w:val="24"/>
        </w:rPr>
      </w:pPr>
    </w:p>
    <w:tbl>
      <w:tblPr>
        <w:tblStyle w:val="Lentelstinklelis"/>
        <w:tblW w:w="15210" w:type="dxa"/>
        <w:tblInd w:w="-455" w:type="dxa"/>
        <w:tblLook w:val="04A0" w:firstRow="1" w:lastRow="0" w:firstColumn="1" w:lastColumn="0" w:noHBand="0" w:noVBand="1"/>
      </w:tblPr>
      <w:tblGrid>
        <w:gridCol w:w="2425"/>
        <w:gridCol w:w="5935"/>
        <w:gridCol w:w="6850"/>
      </w:tblGrid>
      <w:tr w:rsidR="00BE3841" w:rsidRPr="000771FB" w:rsidTr="009248D7">
        <w:tc>
          <w:tcPr>
            <w:tcW w:w="2425" w:type="dxa"/>
          </w:tcPr>
          <w:p w:rsidR="00BE3841" w:rsidRPr="000771FB" w:rsidRDefault="009E2ACC" w:rsidP="009248D7">
            <w:pPr>
              <w:jc w:val="center"/>
              <w:rPr>
                <w:rFonts w:ascii="Times New Roman" w:hAnsi="Times New Roman" w:cs="Times New Roman"/>
                <w:b/>
                <w:i/>
                <w:sz w:val="24"/>
                <w:szCs w:val="24"/>
              </w:rPr>
            </w:pPr>
            <w:r w:rsidRPr="000771FB">
              <w:rPr>
                <w:rFonts w:ascii="Times New Roman" w:hAnsi="Times New Roman" w:cs="Times New Roman"/>
                <w:b/>
                <w:bCs/>
                <w:color w:val="000000"/>
                <w:sz w:val="24"/>
                <w:szCs w:val="24"/>
              </w:rPr>
              <w:t>Institucijos pavadinimas, rašto data ir numeris</w:t>
            </w:r>
          </w:p>
        </w:tc>
        <w:tc>
          <w:tcPr>
            <w:tcW w:w="5935" w:type="dxa"/>
          </w:tcPr>
          <w:p w:rsidR="00BE3841" w:rsidRPr="000771FB" w:rsidRDefault="009E2ACC" w:rsidP="009248D7">
            <w:pPr>
              <w:pStyle w:val="AssecoParagraphNormalFirstLine"/>
              <w:spacing w:line="276" w:lineRule="auto"/>
              <w:ind w:left="1069" w:hanging="360"/>
              <w:jc w:val="center"/>
              <w:rPr>
                <w:rFonts w:ascii="Times New Roman" w:hAnsi="Times New Roman" w:cs="Times New Roman"/>
                <w:b/>
                <w:bCs/>
                <w:i/>
                <w:iCs/>
                <w:sz w:val="24"/>
                <w:szCs w:val="24"/>
              </w:rPr>
            </w:pPr>
            <w:r w:rsidRPr="000771FB">
              <w:rPr>
                <w:rFonts w:ascii="Times New Roman" w:hAnsi="Times New Roman" w:cs="Times New Roman"/>
                <w:b/>
                <w:bCs/>
                <w:color w:val="000000"/>
                <w:sz w:val="24"/>
                <w:szCs w:val="24"/>
              </w:rPr>
              <w:t>Pastabos ir pasiūlymai</w:t>
            </w:r>
          </w:p>
        </w:tc>
        <w:tc>
          <w:tcPr>
            <w:tcW w:w="6850" w:type="dxa"/>
          </w:tcPr>
          <w:p w:rsidR="00BE3841" w:rsidRPr="000771FB" w:rsidRDefault="009E2ACC" w:rsidP="009248D7">
            <w:pPr>
              <w:jc w:val="center"/>
              <w:rPr>
                <w:rFonts w:ascii="Times New Roman" w:hAnsi="Times New Roman" w:cs="Times New Roman"/>
                <w:b/>
                <w:i/>
                <w:sz w:val="24"/>
                <w:szCs w:val="24"/>
              </w:rPr>
            </w:pPr>
            <w:r w:rsidRPr="000771FB">
              <w:rPr>
                <w:rFonts w:ascii="Times New Roman" w:hAnsi="Times New Roman" w:cs="Times New Roman"/>
                <w:b/>
                <w:bCs/>
                <w:color w:val="000000"/>
                <w:sz w:val="24"/>
                <w:szCs w:val="24"/>
              </w:rPr>
              <w:t>Argumentai, kodėl neatsižvelgta į institucijų pastabas ir pasiūlymus</w:t>
            </w:r>
          </w:p>
        </w:tc>
      </w:tr>
      <w:tr w:rsidR="001D5BDA" w:rsidRPr="000771FB" w:rsidTr="009248D7">
        <w:tc>
          <w:tcPr>
            <w:tcW w:w="2425" w:type="dxa"/>
          </w:tcPr>
          <w:p w:rsidR="001D5BDA" w:rsidRPr="000771FB" w:rsidRDefault="001D5BDA" w:rsidP="00A82696">
            <w:pPr>
              <w:jc w:val="center"/>
              <w:rPr>
                <w:rFonts w:ascii="Times New Roman" w:hAnsi="Times New Roman" w:cs="Times New Roman"/>
                <w:sz w:val="24"/>
                <w:szCs w:val="24"/>
              </w:rPr>
            </w:pPr>
            <w:r w:rsidRPr="000771FB">
              <w:rPr>
                <w:rFonts w:ascii="Times New Roman" w:hAnsi="Times New Roman" w:cs="Times New Roman"/>
                <w:sz w:val="24"/>
                <w:szCs w:val="24"/>
              </w:rPr>
              <w:t>Lietuvos Respublikos teisingumo ministerijos</w:t>
            </w:r>
            <w:r w:rsidR="000771FB">
              <w:rPr>
                <w:rFonts w:ascii="Times New Roman" w:hAnsi="Times New Roman" w:cs="Times New Roman"/>
                <w:sz w:val="24"/>
                <w:szCs w:val="24"/>
              </w:rPr>
              <w:t xml:space="preserve"> </w:t>
            </w:r>
            <w:r w:rsidRPr="000771FB">
              <w:rPr>
                <w:rFonts w:ascii="Times New Roman" w:hAnsi="Times New Roman" w:cs="Times New Roman"/>
                <w:sz w:val="24"/>
                <w:szCs w:val="24"/>
              </w:rPr>
              <w:t>2020 m. liepos 9 d. raštas Nr.</w:t>
            </w:r>
            <w:r w:rsidR="000771FB">
              <w:rPr>
                <w:rFonts w:ascii="Times New Roman" w:hAnsi="Times New Roman" w:cs="Times New Roman"/>
                <w:sz w:val="24"/>
                <w:szCs w:val="24"/>
              </w:rPr>
              <w:t> </w:t>
            </w:r>
            <w:r w:rsidRPr="000771FB">
              <w:rPr>
                <w:rFonts w:ascii="Times New Roman" w:hAnsi="Times New Roman" w:cs="Times New Roman"/>
                <w:sz w:val="24"/>
                <w:szCs w:val="24"/>
              </w:rPr>
              <w:t>(1.6E) 2T-1038</w:t>
            </w: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sz w:val="24"/>
                <w:szCs w:val="24"/>
              </w:rPr>
            </w:pPr>
          </w:p>
          <w:p w:rsidR="001D5BDA" w:rsidRPr="000771FB" w:rsidRDefault="001D5BDA" w:rsidP="001D5BDA">
            <w:pPr>
              <w:jc w:val="center"/>
              <w:rPr>
                <w:rFonts w:ascii="Times New Roman" w:hAnsi="Times New Roman" w:cs="Times New Roman"/>
                <w:b/>
                <w:bCs/>
                <w:color w:val="000000"/>
                <w:sz w:val="24"/>
                <w:szCs w:val="24"/>
              </w:rPr>
            </w:pPr>
          </w:p>
        </w:tc>
        <w:tc>
          <w:tcPr>
            <w:tcW w:w="5935" w:type="dxa"/>
          </w:tcPr>
          <w:p w:rsidR="0056611D" w:rsidRPr="000771FB" w:rsidRDefault="0056611D" w:rsidP="0056611D">
            <w:pPr>
              <w:pStyle w:val="Sraopastraipa"/>
              <w:numPr>
                <w:ilvl w:val="0"/>
                <w:numId w:val="1"/>
              </w:numPr>
              <w:ind w:left="0" w:firstLine="993"/>
              <w:jc w:val="both"/>
              <w:rPr>
                <w:lang w:eastAsia="en-US"/>
              </w:rPr>
            </w:pPr>
            <w:r w:rsidRPr="000771FB">
              <w:rPr>
                <w:lang w:eastAsia="en-US"/>
              </w:rPr>
              <w:lastRenderedPageBreak/>
              <w:t>Konstitucinis Teismas yra konstatavęs, jog atskiros socialinės paramos rūšys, asmenys, kuriems skiriama socialinė parama, socialinės paramos skyrimo ir mokėjimo pagrindai, sąlygos, dydžiai pagal Lietuvos Respublikos Konstituciją gali būti nustatyti tik įstatymu (</w:t>
            </w:r>
            <w:r w:rsidRPr="000771FB">
              <w:rPr>
                <w:i/>
                <w:lang w:eastAsia="en-US"/>
              </w:rPr>
              <w:t>inter alia</w:t>
            </w:r>
            <w:r w:rsidRPr="000771FB">
              <w:rPr>
                <w:lang w:eastAsia="en-US"/>
              </w:rPr>
              <w:t xml:space="preserve"> 2004 m. kovo 5 d., 2014 m. balandžio 14 d. nutarimai), o Konstitucijos 52 straipsnyje nurodytų santykių poįstatyminiu teisiniu reguliavimu negalima nustatyti asmens teisės į socialinę paramą atsiradimo sąlygų, taip pat riboti šios teisės apimties. Įvertinant Konstitucinio teismo doktriną, manytina, kad esminės socialinės ir kitos paramos sąlygos, garantuojamos valstybės asmeniui, nepriklausomai nuo jo tautybės ar pilietybės, turėtų būti įvirtintos įstatymo lygmeniu, įgyvendinamųjų teisės aktų reguliavimui paliekant tik šių sąlygų realizavimo procedūrinius aspektus. Atsižvelgiant į tai, siūlome perkelti nutarimo projektu reglamentuojamų santykių reguliavimą į įstatymų lygmenį.</w:t>
            </w:r>
          </w:p>
          <w:p w:rsidR="001D5BDA" w:rsidRPr="000771FB" w:rsidRDefault="0056611D" w:rsidP="0056611D">
            <w:pPr>
              <w:pStyle w:val="AssecoParagraphNormalFirstLine"/>
              <w:spacing w:line="276" w:lineRule="auto"/>
              <w:rPr>
                <w:rFonts w:ascii="Times New Roman" w:hAnsi="Times New Roman" w:cs="Times New Roman"/>
                <w:b/>
                <w:bCs/>
                <w:color w:val="000000"/>
                <w:sz w:val="24"/>
                <w:szCs w:val="24"/>
              </w:rPr>
            </w:pPr>
            <w:r w:rsidRPr="000771FB">
              <w:rPr>
                <w:rFonts w:ascii="Times New Roman" w:hAnsi="Times New Roman" w:cs="Times New Roman"/>
                <w:sz w:val="24"/>
                <w:szCs w:val="24"/>
                <w:lang w:eastAsia="en-US"/>
              </w:rPr>
              <w:t xml:space="preserve">Tuo pačiu atkreiptinas dėmesys, kad Aprašo 24.1 p. atveju net ir pačiame apraše lieka nenustatyti aiškūs kriterijai, kuriais remiantis būtų nustatomas konkretus išmokos įsikurti dydis (vartojama konstrukcija „iki ...“) bei </w:t>
            </w:r>
            <w:r w:rsidRPr="000771FB">
              <w:rPr>
                <w:rFonts w:ascii="Times New Roman" w:hAnsi="Times New Roman" w:cs="Times New Roman"/>
                <w:sz w:val="24"/>
                <w:szCs w:val="24"/>
                <w:lang w:eastAsia="en-US"/>
              </w:rPr>
              <w:lastRenderedPageBreak/>
              <w:t>institucija, sprendžianti dėl konkretaus dydžio taikymo.</w:t>
            </w:r>
          </w:p>
        </w:tc>
        <w:tc>
          <w:tcPr>
            <w:tcW w:w="6850" w:type="dxa"/>
          </w:tcPr>
          <w:p w:rsidR="000A3889" w:rsidRPr="000771FB" w:rsidRDefault="000A3889" w:rsidP="000A3889">
            <w:pPr>
              <w:jc w:val="both"/>
              <w:rPr>
                <w:rFonts w:ascii="Times New Roman" w:hAnsi="Times New Roman" w:cs="Times New Roman"/>
                <w:sz w:val="24"/>
                <w:szCs w:val="24"/>
              </w:rPr>
            </w:pPr>
            <w:r w:rsidRPr="000771FB">
              <w:rPr>
                <w:rFonts w:ascii="Times New Roman" w:hAnsi="Times New Roman" w:cs="Times New Roman"/>
                <w:b/>
                <w:sz w:val="24"/>
                <w:szCs w:val="24"/>
              </w:rPr>
              <w:lastRenderedPageBreak/>
              <w:t>Atsižvelgta iš dalies.</w:t>
            </w:r>
          </w:p>
          <w:p w:rsidR="000A3889" w:rsidRPr="000771FB" w:rsidRDefault="000A3889" w:rsidP="000A3889">
            <w:pPr>
              <w:jc w:val="both"/>
              <w:rPr>
                <w:rFonts w:ascii="Times New Roman" w:hAnsi="Times New Roman" w:cs="Times New Roman"/>
                <w:sz w:val="24"/>
                <w:szCs w:val="24"/>
              </w:rPr>
            </w:pPr>
            <w:r w:rsidRPr="000771FB">
              <w:rPr>
                <w:rFonts w:ascii="Times New Roman" w:hAnsi="Times New Roman" w:cs="Times New Roman"/>
                <w:sz w:val="24"/>
                <w:szCs w:val="24"/>
              </w:rPr>
              <w:t>Atkreipiame dėmesį</w:t>
            </w:r>
            <w:r w:rsidR="006A7B61">
              <w:rPr>
                <w:rFonts w:ascii="Times New Roman" w:hAnsi="Times New Roman" w:cs="Times New Roman"/>
                <w:sz w:val="24"/>
                <w:szCs w:val="24"/>
              </w:rPr>
              <w:t xml:space="preserve"> į tai</w:t>
            </w:r>
            <w:r w:rsidRPr="000771FB">
              <w:rPr>
                <w:rFonts w:ascii="Times New Roman" w:hAnsi="Times New Roman" w:cs="Times New Roman"/>
                <w:sz w:val="24"/>
                <w:szCs w:val="24"/>
              </w:rPr>
              <w:t xml:space="preserve">, kad teikiamu Lietuvos Respublikos Vyriausybės nutarimo „Dėl </w:t>
            </w:r>
            <w:r w:rsidRPr="000771FB">
              <w:rPr>
                <w:rFonts w:ascii="Times New Roman" w:eastAsia="Calibri" w:hAnsi="Times New Roman" w:cs="Times New Roman"/>
                <w:sz w:val="24"/>
                <w:szCs w:val="24"/>
              </w:rPr>
              <w:t>Lietuvos Respublikos Vyriausybės 2016</w:t>
            </w:r>
            <w:r w:rsidR="001B4C58">
              <w:rPr>
                <w:rFonts w:ascii="Times New Roman" w:eastAsia="Calibri" w:hAnsi="Times New Roman" w:cs="Times New Roman"/>
                <w:sz w:val="24"/>
                <w:szCs w:val="24"/>
              </w:rPr>
              <w:t> </w:t>
            </w:r>
            <w:r w:rsidRPr="000771FB">
              <w:rPr>
                <w:rFonts w:ascii="Times New Roman" w:eastAsia="Calibri" w:hAnsi="Times New Roman" w:cs="Times New Roman"/>
                <w:sz w:val="24"/>
                <w:szCs w:val="24"/>
              </w:rPr>
              <w:t>m. spalio 5 d. nutarimo Nr. 998 „Dėl Valstybės paramos prieglobsčio gavėjų integracijai teikimo tvarkos aprašo patvirtinimo“ pakeitimo</w:t>
            </w:r>
            <w:r w:rsidRPr="000771FB">
              <w:rPr>
                <w:rFonts w:ascii="Times New Roman" w:hAnsi="Times New Roman" w:cs="Times New Roman"/>
                <w:sz w:val="24"/>
                <w:szCs w:val="24"/>
              </w:rPr>
              <w:t xml:space="preserve">“ projektu (toliau – Nutarimo projektas) nesiekiama keisti esamo teisinio reguliavimo, nustatyti naujų socialinės paramos rūšių, apibrėžti asmenų, kuriems skiriama socialinė parama, įtvirtinti naujų socialinės paramos skyrimo ir mokėjimo pagrindų ar sąlygų.  Valstybės paramos prieglobsčio gavėjų integracijai teikimo tvarkos aprašą Lietuvos Respublikos Vyriausybė patvirtino 2016 m. </w:t>
            </w:r>
            <w:r w:rsidRPr="000771FB">
              <w:rPr>
                <w:rFonts w:ascii="Times New Roman" w:hAnsi="Times New Roman" w:cs="Times New Roman"/>
                <w:color w:val="000000"/>
                <w:sz w:val="24"/>
                <w:szCs w:val="24"/>
              </w:rPr>
              <w:t>spalio 5</w:t>
            </w:r>
            <w:r w:rsidR="003C40A6">
              <w:rPr>
                <w:rFonts w:ascii="Times New Roman" w:hAnsi="Times New Roman" w:cs="Times New Roman"/>
                <w:color w:val="000000"/>
                <w:sz w:val="24"/>
                <w:szCs w:val="24"/>
              </w:rPr>
              <w:t> </w:t>
            </w:r>
            <w:r w:rsidRPr="000771FB">
              <w:rPr>
                <w:rFonts w:ascii="Times New Roman" w:hAnsi="Times New Roman" w:cs="Times New Roman"/>
                <w:color w:val="000000"/>
                <w:sz w:val="24"/>
                <w:szCs w:val="24"/>
              </w:rPr>
              <w:t>d.</w:t>
            </w:r>
            <w:r w:rsidR="001B4C58">
              <w:rPr>
                <w:rFonts w:ascii="Times New Roman" w:hAnsi="Times New Roman" w:cs="Times New Roman"/>
                <w:color w:val="000000"/>
                <w:sz w:val="24"/>
                <w:szCs w:val="24"/>
              </w:rPr>
              <w:t xml:space="preserve"> </w:t>
            </w:r>
            <w:r w:rsidRPr="000771FB">
              <w:rPr>
                <w:rFonts w:ascii="Times New Roman" w:hAnsi="Times New Roman" w:cs="Times New Roman"/>
                <w:color w:val="000000"/>
                <w:sz w:val="24"/>
                <w:szCs w:val="24"/>
              </w:rPr>
              <w:t>nutarimu Nr. 998</w:t>
            </w:r>
            <w:r w:rsidRPr="000771FB">
              <w:rPr>
                <w:rFonts w:ascii="Times New Roman" w:hAnsi="Times New Roman" w:cs="Times New Roman"/>
                <w:sz w:val="24"/>
                <w:szCs w:val="24"/>
              </w:rPr>
              <w:t xml:space="preserve"> </w:t>
            </w:r>
            <w:r w:rsidRPr="000771FB">
              <w:rPr>
                <w:rFonts w:ascii="Times New Roman" w:eastAsia="Calibri" w:hAnsi="Times New Roman" w:cs="Times New Roman"/>
                <w:sz w:val="24"/>
                <w:szCs w:val="24"/>
              </w:rPr>
              <w:t xml:space="preserve">„Dėl Valstybės paramos prieglobsčio gavėjų integracijai teikimo tvarkos aprašo patvirtinimo“ </w:t>
            </w:r>
            <w:r w:rsidRPr="000771FB">
              <w:rPr>
                <w:rFonts w:ascii="Times New Roman" w:hAnsi="Times New Roman" w:cs="Times New Roman"/>
                <w:sz w:val="24"/>
                <w:szCs w:val="24"/>
              </w:rPr>
              <w:t xml:space="preserve">(toliau – Aprašas), vadovaudamasi </w:t>
            </w:r>
            <w:r w:rsidRPr="000771FB">
              <w:rPr>
                <w:rFonts w:ascii="Times New Roman" w:hAnsi="Times New Roman" w:cs="Times New Roman"/>
                <w:color w:val="000000"/>
                <w:sz w:val="24"/>
                <w:szCs w:val="24"/>
              </w:rPr>
              <w:t xml:space="preserve">Lietuvos Respublikos įstatymo „Dėl užsieniečių teisinės padėties“ 108 straipsniu. Šio straipsnio </w:t>
            </w:r>
            <w:r w:rsidRPr="000771FB">
              <w:rPr>
                <w:rFonts w:ascii="Times New Roman" w:hAnsi="Times New Roman" w:cs="Times New Roman"/>
                <w:sz w:val="24"/>
                <w:szCs w:val="24"/>
              </w:rPr>
              <w:t>5</w:t>
            </w:r>
            <w:r w:rsidR="00CA3E6A">
              <w:rPr>
                <w:rFonts w:ascii="Times New Roman" w:hAnsi="Times New Roman" w:cs="Times New Roman"/>
                <w:sz w:val="24"/>
                <w:szCs w:val="24"/>
              </w:rPr>
              <w:t> </w:t>
            </w:r>
            <w:r w:rsidRPr="000771FB">
              <w:rPr>
                <w:rFonts w:ascii="Times New Roman" w:hAnsi="Times New Roman" w:cs="Times New Roman"/>
                <w:sz w:val="24"/>
                <w:szCs w:val="24"/>
              </w:rPr>
              <w:t xml:space="preserve">dalyje nustatyta, kad </w:t>
            </w:r>
            <w:r w:rsidRPr="000771FB">
              <w:rPr>
                <w:rFonts w:ascii="Times New Roman" w:hAnsi="Times New Roman" w:cs="Times New Roman"/>
                <w:color w:val="000000"/>
                <w:sz w:val="24"/>
                <w:szCs w:val="24"/>
                <w:lang w:eastAsia="lt-LT"/>
              </w:rPr>
              <w:t>Lietuvos valstybės paramos šiame straipsnyje nurodytų užsieniečių integracijai teikimo sąlygas ir tvarką bei pašalpų, išmokų ir kompensacijų dydžius nustato Lietuvos Respublikos Vyriausybė</w:t>
            </w:r>
            <w:r w:rsidRPr="000771FB">
              <w:rPr>
                <w:rFonts w:ascii="Times New Roman" w:hAnsi="Times New Roman" w:cs="Times New Roman"/>
                <w:sz w:val="24"/>
                <w:szCs w:val="24"/>
              </w:rPr>
              <w:t>.</w:t>
            </w:r>
          </w:p>
          <w:p w:rsidR="000A3889" w:rsidRPr="000771FB" w:rsidRDefault="000A3889" w:rsidP="000A3889">
            <w:pPr>
              <w:jc w:val="both"/>
              <w:rPr>
                <w:rFonts w:ascii="Times New Roman" w:hAnsi="Times New Roman" w:cs="Times New Roman"/>
                <w:sz w:val="24"/>
                <w:szCs w:val="24"/>
              </w:rPr>
            </w:pPr>
            <w:r w:rsidRPr="000771FB">
              <w:rPr>
                <w:rFonts w:ascii="Times New Roman" w:hAnsi="Times New Roman" w:cs="Times New Roman"/>
                <w:sz w:val="24"/>
                <w:szCs w:val="24"/>
              </w:rPr>
              <w:t>Teikiamu Nutarimo projektu daromi tam tikrų galiojančių Aprašo nuostatų pakeitimai, kurie turi būti patvirtinti nedelsiant dėl išaugusio prieglobsčio prašytojų skaičiaus (Migracijos departamento prie Lietuvos Respublikos vidaus reikalų ministerijos duomenimis</w:t>
            </w:r>
            <w:r w:rsidR="00A776C9">
              <w:rPr>
                <w:rFonts w:ascii="Times New Roman" w:hAnsi="Times New Roman" w:cs="Times New Roman"/>
                <w:sz w:val="24"/>
                <w:szCs w:val="24"/>
              </w:rPr>
              <w:t>,</w:t>
            </w:r>
            <w:r w:rsidRPr="000771FB">
              <w:rPr>
                <w:rFonts w:ascii="Times New Roman" w:hAnsi="Times New Roman" w:cs="Times New Roman"/>
                <w:sz w:val="24"/>
                <w:szCs w:val="24"/>
              </w:rPr>
              <w:t xml:space="preserve"> 2019 m., lyginant su ankstesniais metais, beveik 50 proc. išaugo </w:t>
            </w:r>
            <w:r w:rsidRPr="000771FB">
              <w:rPr>
                <w:rFonts w:ascii="Times New Roman" w:hAnsi="Times New Roman" w:cs="Times New Roman"/>
                <w:sz w:val="24"/>
                <w:szCs w:val="24"/>
              </w:rPr>
              <w:lastRenderedPageBreak/>
              <w:t>prieglobsčio prašytojų skaičius; Jungtinių Tautų vyriausiojo pabėgėli</w:t>
            </w:r>
            <w:r w:rsidR="002005BA">
              <w:rPr>
                <w:rFonts w:ascii="Times New Roman" w:hAnsi="Times New Roman" w:cs="Times New Roman"/>
                <w:sz w:val="24"/>
                <w:szCs w:val="24"/>
              </w:rPr>
              <w:t>ų</w:t>
            </w:r>
            <w:r w:rsidRPr="000771FB">
              <w:rPr>
                <w:rFonts w:ascii="Times New Roman" w:hAnsi="Times New Roman" w:cs="Times New Roman"/>
                <w:sz w:val="24"/>
                <w:szCs w:val="24"/>
              </w:rPr>
              <w:t xml:space="preserve"> komisaro valdybos duomenimis, baigiantis 2019</w:t>
            </w:r>
            <w:r w:rsidR="002005BA">
              <w:rPr>
                <w:rFonts w:ascii="Times New Roman" w:hAnsi="Times New Roman" w:cs="Times New Roman"/>
                <w:sz w:val="24"/>
                <w:szCs w:val="24"/>
              </w:rPr>
              <w:t> </w:t>
            </w:r>
            <w:r w:rsidRPr="000771FB">
              <w:rPr>
                <w:rFonts w:ascii="Times New Roman" w:hAnsi="Times New Roman" w:cs="Times New Roman"/>
                <w:sz w:val="24"/>
                <w:szCs w:val="24"/>
              </w:rPr>
              <w:t>metams</w:t>
            </w:r>
            <w:r w:rsidR="002005BA">
              <w:rPr>
                <w:rFonts w:ascii="Times New Roman" w:hAnsi="Times New Roman" w:cs="Times New Roman"/>
                <w:sz w:val="24"/>
                <w:szCs w:val="24"/>
              </w:rPr>
              <w:t>,</w:t>
            </w:r>
            <w:r w:rsidRPr="000771FB">
              <w:rPr>
                <w:rFonts w:ascii="Times New Roman" w:hAnsi="Times New Roman" w:cs="Times New Roman"/>
                <w:sz w:val="24"/>
                <w:szCs w:val="24"/>
              </w:rPr>
              <w:t xml:space="preserve"> užfiksuotas rekordinis (79,5 mln.) savo namus palikusių žmonių skaičius)</w:t>
            </w:r>
            <w:r w:rsidR="002005BA">
              <w:rPr>
                <w:rFonts w:ascii="Times New Roman" w:hAnsi="Times New Roman" w:cs="Times New Roman"/>
                <w:sz w:val="24"/>
                <w:szCs w:val="24"/>
              </w:rPr>
              <w:t>.</w:t>
            </w:r>
            <w:r w:rsidRPr="000771FB">
              <w:rPr>
                <w:rFonts w:ascii="Times New Roman" w:hAnsi="Times New Roman" w:cs="Times New Roman"/>
                <w:sz w:val="24"/>
                <w:szCs w:val="24"/>
              </w:rPr>
              <w:t xml:space="preserve"> Nutarimo projekte numatytais atitinkamais Aprašo nuostatų pakeitimais siekiama, užtikrinant deramą pagarbą prieglobsčio gavėjų teisėms ir teisėtiems interesams, sukurti lankstesnę ir prieglobsčio gavėjus labiau motyvuojančią valstybės paramos integracijai teikimo sistemą.</w:t>
            </w:r>
          </w:p>
          <w:p w:rsidR="000A3889" w:rsidRPr="000771FB" w:rsidRDefault="000A3889" w:rsidP="000A3889">
            <w:pPr>
              <w:jc w:val="both"/>
              <w:rPr>
                <w:rFonts w:ascii="Times New Roman" w:hAnsi="Times New Roman" w:cs="Times New Roman"/>
                <w:sz w:val="24"/>
                <w:szCs w:val="24"/>
              </w:rPr>
            </w:pPr>
          </w:p>
          <w:p w:rsidR="0056611D" w:rsidRPr="000771FB" w:rsidRDefault="000A3889" w:rsidP="000A3889">
            <w:pPr>
              <w:jc w:val="both"/>
              <w:rPr>
                <w:rFonts w:ascii="Times New Roman" w:hAnsi="Times New Roman" w:cs="Times New Roman"/>
                <w:sz w:val="24"/>
                <w:szCs w:val="24"/>
              </w:rPr>
            </w:pPr>
            <w:r w:rsidRPr="000771FB">
              <w:rPr>
                <w:rFonts w:ascii="Times New Roman" w:hAnsi="Times New Roman" w:cs="Times New Roman"/>
                <w:sz w:val="24"/>
                <w:szCs w:val="24"/>
              </w:rPr>
              <w:t xml:space="preserve">Patikslinta Nutarimo projekto </w:t>
            </w:r>
            <w:r w:rsidRPr="000771FB">
              <w:rPr>
                <w:rFonts w:ascii="Times New Roman" w:hAnsi="Times New Roman" w:cs="Times New Roman"/>
                <w:color w:val="000000"/>
                <w:sz w:val="24"/>
                <w:szCs w:val="24"/>
              </w:rPr>
              <w:t xml:space="preserve">2.20 punktu keičiamo </w:t>
            </w:r>
            <w:r w:rsidRPr="000771FB">
              <w:rPr>
                <w:rFonts w:ascii="Times New Roman" w:hAnsi="Times New Roman" w:cs="Times New Roman"/>
                <w:sz w:val="24"/>
                <w:szCs w:val="24"/>
              </w:rPr>
              <w:t>Aprašo 24</w:t>
            </w:r>
            <w:r w:rsidR="002005BA">
              <w:rPr>
                <w:rFonts w:ascii="Times New Roman" w:hAnsi="Times New Roman" w:cs="Times New Roman"/>
                <w:sz w:val="24"/>
                <w:szCs w:val="24"/>
              </w:rPr>
              <w:t> </w:t>
            </w:r>
            <w:r w:rsidRPr="000771FB">
              <w:rPr>
                <w:rFonts w:ascii="Times New Roman" w:hAnsi="Times New Roman" w:cs="Times New Roman"/>
                <w:sz w:val="24"/>
                <w:szCs w:val="24"/>
              </w:rPr>
              <w:t>punkto redakcija.</w:t>
            </w:r>
          </w:p>
          <w:p w:rsidR="0056611D" w:rsidRPr="000771FB" w:rsidRDefault="0056611D" w:rsidP="0056611D">
            <w:pPr>
              <w:rPr>
                <w:rFonts w:ascii="Times New Roman" w:hAnsi="Times New Roman" w:cs="Times New Roman"/>
                <w:b/>
                <w:bCs/>
                <w:color w:val="000000"/>
                <w:sz w:val="24"/>
                <w:szCs w:val="24"/>
              </w:rPr>
            </w:pPr>
          </w:p>
        </w:tc>
      </w:tr>
      <w:tr w:rsidR="001D5BDA" w:rsidRPr="000771FB" w:rsidTr="009248D7">
        <w:tc>
          <w:tcPr>
            <w:tcW w:w="2425" w:type="dxa"/>
          </w:tcPr>
          <w:p w:rsidR="001D5BDA" w:rsidRPr="000771FB" w:rsidRDefault="001D5BDA" w:rsidP="009248D7">
            <w:pPr>
              <w:rPr>
                <w:rFonts w:ascii="Times New Roman" w:hAnsi="Times New Roman" w:cs="Times New Roman"/>
                <w:sz w:val="24"/>
                <w:szCs w:val="24"/>
              </w:rPr>
            </w:pPr>
          </w:p>
        </w:tc>
        <w:tc>
          <w:tcPr>
            <w:tcW w:w="5935" w:type="dxa"/>
          </w:tcPr>
          <w:p w:rsidR="001D5BDA" w:rsidRPr="000771FB" w:rsidRDefault="001D5BDA" w:rsidP="009248D7">
            <w:pPr>
              <w:pStyle w:val="AssecoParagraphNormalFirstLine"/>
              <w:spacing w:line="276" w:lineRule="auto"/>
              <w:rPr>
                <w:rFonts w:ascii="Times New Roman" w:hAnsi="Times New Roman" w:cs="Times New Roman"/>
                <w:sz w:val="24"/>
                <w:szCs w:val="24"/>
              </w:rPr>
            </w:pPr>
            <w:r w:rsidRPr="000771FB">
              <w:rPr>
                <w:rFonts w:ascii="Times New Roman" w:hAnsi="Times New Roman" w:cs="Times New Roman"/>
                <w:sz w:val="24"/>
                <w:szCs w:val="24"/>
              </w:rPr>
              <w:t xml:space="preserve">2) </w:t>
            </w:r>
            <w:r w:rsidRPr="000771FB">
              <w:rPr>
                <w:rFonts w:ascii="Times New Roman" w:hAnsi="Times New Roman" w:cs="Times New Roman"/>
                <w:sz w:val="24"/>
                <w:szCs w:val="24"/>
                <w:lang w:eastAsia="en-US"/>
              </w:rPr>
              <w:t>Valstybės paramos prieglobsčio gavėjų integracijai teikimo tvarkos aprašo (toliau – Aprašo) pakeitimais siūloma įtvirtinti Individualaus integracijos plano institutą. Visgi šio plano nesilaikymas ar nevykdymas nenumato neigiamų pasekmių (teisės į paramą netekimo ar sutarties dėl paramos integracijai teikimo nutraukimo). Nors pagal Aprašo 19, 24.2, 24.6 p. ir būtų atsižvelgiama į šio plano įgyvendinimo pažangą, net ir visiškai šio plano nesilaikančiam asmeniui kiltų sąlyginai nedidelės neigiamos pasekmės, išsaugant teisę į paramą. Manytina Individualaus integracijos plano vykdymas turėtų tapti sudėtine sutarties dėl paramos integracijai teikimo vykdymo dalimi, o šio plano nesilaikymas galėtų būti vertinamas kaip esminis sutarties pažeidimas (atitinkamas sąlygas nustačius sutartyje).</w:t>
            </w:r>
          </w:p>
          <w:p w:rsidR="001D5BDA" w:rsidRPr="000771FB" w:rsidRDefault="001D5BDA" w:rsidP="009248D7">
            <w:pPr>
              <w:pStyle w:val="AssecoParagraphNormalFirstLine"/>
              <w:spacing w:line="276" w:lineRule="auto"/>
              <w:rPr>
                <w:rFonts w:ascii="Times New Roman" w:hAnsi="Times New Roman" w:cs="Times New Roman"/>
                <w:sz w:val="24"/>
                <w:szCs w:val="24"/>
              </w:rPr>
            </w:pPr>
          </w:p>
        </w:tc>
        <w:tc>
          <w:tcPr>
            <w:tcW w:w="6850" w:type="dxa"/>
          </w:tcPr>
          <w:p w:rsidR="001D5BDA" w:rsidRPr="000771FB" w:rsidRDefault="001D5BDA" w:rsidP="009248D7">
            <w:pPr>
              <w:tabs>
                <w:tab w:val="left" w:pos="0"/>
              </w:tabs>
              <w:jc w:val="both"/>
              <w:rPr>
                <w:rFonts w:ascii="Times New Roman" w:hAnsi="Times New Roman" w:cs="Times New Roman"/>
                <w:b/>
                <w:sz w:val="24"/>
                <w:szCs w:val="24"/>
              </w:rPr>
            </w:pPr>
            <w:r w:rsidRPr="000771FB">
              <w:rPr>
                <w:rFonts w:ascii="Times New Roman" w:hAnsi="Times New Roman" w:cs="Times New Roman"/>
                <w:b/>
                <w:sz w:val="24"/>
                <w:szCs w:val="24"/>
              </w:rPr>
              <w:t xml:space="preserve">Neatsižvelgta. </w:t>
            </w:r>
          </w:p>
          <w:p w:rsidR="001D5BDA" w:rsidRPr="000771FB" w:rsidRDefault="001D5BDA" w:rsidP="009248D7">
            <w:pPr>
              <w:tabs>
                <w:tab w:val="left" w:pos="0"/>
              </w:tabs>
              <w:jc w:val="both"/>
              <w:rPr>
                <w:rFonts w:ascii="Times New Roman" w:hAnsi="Times New Roman" w:cs="Times New Roman"/>
                <w:b/>
                <w:sz w:val="24"/>
                <w:szCs w:val="24"/>
              </w:rPr>
            </w:pPr>
          </w:p>
          <w:p w:rsidR="001D5BDA" w:rsidRPr="000771FB" w:rsidRDefault="001D5BDA" w:rsidP="009248D7">
            <w:pPr>
              <w:pStyle w:val="Default"/>
              <w:jc w:val="both"/>
              <w:rPr>
                <w:rFonts w:ascii="Times New Roman" w:hAnsi="Times New Roman" w:cs="Times New Roman"/>
              </w:rPr>
            </w:pPr>
            <w:r w:rsidRPr="000771FB">
              <w:rPr>
                <w:rFonts w:ascii="Times New Roman" w:hAnsi="Times New Roman" w:cs="Times New Roman"/>
              </w:rPr>
              <w:t>Paaiškiname, kad Individualus integracijos planas bus sud</w:t>
            </w:r>
            <w:r w:rsidR="00C35C86">
              <w:rPr>
                <w:rFonts w:ascii="Times New Roman" w:hAnsi="Times New Roman" w:cs="Times New Roman"/>
              </w:rPr>
              <w:t>edamoji</w:t>
            </w:r>
            <w:r w:rsidRPr="000771FB">
              <w:rPr>
                <w:rFonts w:ascii="Times New Roman" w:hAnsi="Times New Roman" w:cs="Times New Roman"/>
              </w:rPr>
              <w:t xml:space="preserve"> sutarties dali</w:t>
            </w:r>
            <w:r w:rsidR="00192683">
              <w:rPr>
                <w:rFonts w:ascii="Times New Roman" w:hAnsi="Times New Roman" w:cs="Times New Roman"/>
              </w:rPr>
              <w:t>s</w:t>
            </w:r>
            <w:r w:rsidR="00C35C86">
              <w:rPr>
                <w:rFonts w:ascii="Times New Roman" w:hAnsi="Times New Roman" w:cs="Times New Roman"/>
              </w:rPr>
              <w:t>. Jei</w:t>
            </w:r>
            <w:r w:rsidRPr="000771FB">
              <w:rPr>
                <w:rFonts w:ascii="Times New Roman" w:hAnsi="Times New Roman" w:cs="Times New Roman"/>
              </w:rPr>
              <w:t xml:space="preserve"> </w:t>
            </w:r>
            <w:r w:rsidRPr="00C35C86">
              <w:rPr>
                <w:rFonts w:ascii="Times New Roman" w:hAnsi="Times New Roman" w:cs="Times New Roman"/>
              </w:rPr>
              <w:t>jo ne</w:t>
            </w:r>
            <w:r w:rsidR="00AA4482">
              <w:rPr>
                <w:rFonts w:ascii="Times New Roman" w:hAnsi="Times New Roman" w:cs="Times New Roman"/>
              </w:rPr>
              <w:t xml:space="preserve">bus </w:t>
            </w:r>
            <w:r w:rsidRPr="00C35C86">
              <w:rPr>
                <w:rFonts w:ascii="Times New Roman" w:hAnsi="Times New Roman" w:cs="Times New Roman"/>
              </w:rPr>
              <w:t>laik</w:t>
            </w:r>
            <w:r w:rsidR="00AA4482">
              <w:rPr>
                <w:rFonts w:ascii="Times New Roman" w:hAnsi="Times New Roman" w:cs="Times New Roman"/>
              </w:rPr>
              <w:t>omasi,</w:t>
            </w:r>
            <w:r w:rsidRPr="00C35C86">
              <w:rPr>
                <w:rFonts w:ascii="Times New Roman" w:hAnsi="Times New Roman" w:cs="Times New Roman"/>
              </w:rPr>
              <w:t xml:space="preserve"> </w:t>
            </w:r>
            <w:r w:rsidR="00AA4482">
              <w:rPr>
                <w:rFonts w:ascii="Times New Roman" w:hAnsi="Times New Roman" w:cs="Times New Roman"/>
              </w:rPr>
              <w:t>bus</w:t>
            </w:r>
            <w:r w:rsidR="00AA4482" w:rsidRPr="00C35C86">
              <w:rPr>
                <w:rFonts w:ascii="Times New Roman" w:hAnsi="Times New Roman" w:cs="Times New Roman"/>
              </w:rPr>
              <w:t xml:space="preserve"> </w:t>
            </w:r>
            <w:r w:rsidRPr="00C35C86">
              <w:rPr>
                <w:rFonts w:ascii="Times New Roman" w:hAnsi="Times New Roman" w:cs="Times New Roman"/>
              </w:rPr>
              <w:t>tam tikrų pasekmių</w:t>
            </w:r>
            <w:r w:rsidRPr="000771FB">
              <w:rPr>
                <w:rFonts w:ascii="Times New Roman" w:hAnsi="Times New Roman" w:cs="Times New Roman"/>
              </w:rPr>
              <w:t xml:space="preserve">, pvz., prieglobsčio gavėjui, kuris nevykdys plano, bus skiriama mažesnė parama nei maksimali galima skirti, jei planas būtų įgyvendintas. Tačiau šio plano nesilaikymas neturėtų būti vertinamas kaip esminis sutarties pažeidimas, nes valstybė privalo užtikrinti bazinius prieglobsčio gavėjų poreikius, o Nutarimo projektu daromų pakeitimų tikslas – skatinti prieglobsčio gavėjus aktyviau naudotis integracijos priemonėmis. </w:t>
            </w:r>
          </w:p>
          <w:p w:rsidR="001D5BDA" w:rsidRPr="000771FB" w:rsidRDefault="001D5BDA" w:rsidP="00365080">
            <w:pPr>
              <w:pStyle w:val="Default"/>
              <w:jc w:val="both"/>
              <w:rPr>
                <w:rFonts w:ascii="Times New Roman" w:hAnsi="Times New Roman" w:cs="Times New Roman"/>
                <w:bCs/>
              </w:rPr>
            </w:pPr>
            <w:r w:rsidRPr="000771FB">
              <w:rPr>
                <w:rFonts w:ascii="Times New Roman" w:hAnsi="Times New Roman" w:cs="Times New Roman"/>
              </w:rPr>
              <w:t>Be to, atkreipiame dėmesį</w:t>
            </w:r>
            <w:r w:rsidR="006A7B61">
              <w:rPr>
                <w:rFonts w:ascii="Times New Roman" w:hAnsi="Times New Roman" w:cs="Times New Roman"/>
              </w:rPr>
              <w:t xml:space="preserve"> į tai</w:t>
            </w:r>
            <w:r w:rsidRPr="000771FB">
              <w:rPr>
                <w:rFonts w:ascii="Times New Roman" w:hAnsi="Times New Roman" w:cs="Times New Roman"/>
              </w:rPr>
              <w:t>, kad Aprašo VII skyriuje nurodytos sąlygos, k</w:t>
            </w:r>
            <w:r w:rsidR="00FB5BC0">
              <w:rPr>
                <w:rFonts w:ascii="Times New Roman" w:hAnsi="Times New Roman" w:cs="Times New Roman"/>
              </w:rPr>
              <w:t>urioms esant</w:t>
            </w:r>
            <w:r w:rsidRPr="000771FB">
              <w:rPr>
                <w:rFonts w:ascii="Times New Roman" w:hAnsi="Times New Roman" w:cs="Times New Roman"/>
              </w:rPr>
              <w:t xml:space="preserve"> parama prieglobsčio gavėj</w:t>
            </w:r>
            <w:r w:rsidR="00365080">
              <w:rPr>
                <w:rFonts w:ascii="Times New Roman" w:hAnsi="Times New Roman" w:cs="Times New Roman"/>
              </w:rPr>
              <w:t>o</w:t>
            </w:r>
            <w:r w:rsidRPr="000771FB">
              <w:rPr>
                <w:rFonts w:ascii="Times New Roman" w:hAnsi="Times New Roman" w:cs="Times New Roman"/>
              </w:rPr>
              <w:t xml:space="preserve"> </w:t>
            </w:r>
            <w:r w:rsidR="00365080" w:rsidRPr="000771FB">
              <w:rPr>
                <w:rFonts w:ascii="Times New Roman" w:hAnsi="Times New Roman" w:cs="Times New Roman"/>
              </w:rPr>
              <w:t>integracijai</w:t>
            </w:r>
            <w:bookmarkStart w:id="0" w:name="_GoBack"/>
            <w:bookmarkEnd w:id="0"/>
            <w:r w:rsidRPr="000771FB">
              <w:rPr>
                <w:rFonts w:ascii="Times New Roman" w:hAnsi="Times New Roman" w:cs="Times New Roman"/>
              </w:rPr>
              <w:t xml:space="preserve"> nutraukiama.</w:t>
            </w:r>
            <w:r w:rsidRPr="000771FB" w:rsidDel="00CA73C5">
              <w:rPr>
                <w:rFonts w:ascii="Times New Roman" w:hAnsi="Times New Roman" w:cs="Times New Roman"/>
              </w:rPr>
              <w:t xml:space="preserve"> </w:t>
            </w:r>
          </w:p>
        </w:tc>
      </w:tr>
    </w:tbl>
    <w:p w:rsidR="00BE3841" w:rsidRPr="000771FB" w:rsidRDefault="00BE3841" w:rsidP="005D441E"/>
    <w:sectPr w:rsidR="00BE3841" w:rsidRPr="000771FB" w:rsidSect="005D441E">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E4C"/>
    <w:multiLevelType w:val="hybridMultilevel"/>
    <w:tmpl w:val="B3D8FDD4"/>
    <w:lvl w:ilvl="0" w:tplc="A656B3B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C053BA4"/>
    <w:multiLevelType w:val="hybridMultilevel"/>
    <w:tmpl w:val="6C86B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D74DA1"/>
    <w:multiLevelType w:val="hybridMultilevel"/>
    <w:tmpl w:val="8A2ACF84"/>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120E88"/>
    <w:multiLevelType w:val="hybridMultilevel"/>
    <w:tmpl w:val="AEBCF454"/>
    <w:lvl w:ilvl="0" w:tplc="0ABE9850">
      <w:start w:val="5"/>
      <w:numFmt w:val="decimal"/>
      <w:lvlText w:val="%1)"/>
      <w:lvlJc w:val="left"/>
      <w:pPr>
        <w:ind w:left="1308" w:hanging="360"/>
      </w:pPr>
      <w:rPr>
        <w:rFonts w:hint="default"/>
      </w:rPr>
    </w:lvl>
    <w:lvl w:ilvl="1" w:tplc="04270019" w:tentative="1">
      <w:start w:val="1"/>
      <w:numFmt w:val="lowerLetter"/>
      <w:lvlText w:val="%2."/>
      <w:lvlJc w:val="left"/>
      <w:pPr>
        <w:ind w:left="2028" w:hanging="360"/>
      </w:pPr>
    </w:lvl>
    <w:lvl w:ilvl="2" w:tplc="0427001B" w:tentative="1">
      <w:start w:val="1"/>
      <w:numFmt w:val="lowerRoman"/>
      <w:lvlText w:val="%3."/>
      <w:lvlJc w:val="right"/>
      <w:pPr>
        <w:ind w:left="2748" w:hanging="180"/>
      </w:pPr>
    </w:lvl>
    <w:lvl w:ilvl="3" w:tplc="0427000F" w:tentative="1">
      <w:start w:val="1"/>
      <w:numFmt w:val="decimal"/>
      <w:lvlText w:val="%4."/>
      <w:lvlJc w:val="left"/>
      <w:pPr>
        <w:ind w:left="3468" w:hanging="360"/>
      </w:pPr>
    </w:lvl>
    <w:lvl w:ilvl="4" w:tplc="04270019" w:tentative="1">
      <w:start w:val="1"/>
      <w:numFmt w:val="lowerLetter"/>
      <w:lvlText w:val="%5."/>
      <w:lvlJc w:val="left"/>
      <w:pPr>
        <w:ind w:left="4188" w:hanging="360"/>
      </w:pPr>
    </w:lvl>
    <w:lvl w:ilvl="5" w:tplc="0427001B" w:tentative="1">
      <w:start w:val="1"/>
      <w:numFmt w:val="lowerRoman"/>
      <w:lvlText w:val="%6."/>
      <w:lvlJc w:val="right"/>
      <w:pPr>
        <w:ind w:left="4908" w:hanging="180"/>
      </w:pPr>
    </w:lvl>
    <w:lvl w:ilvl="6" w:tplc="0427000F" w:tentative="1">
      <w:start w:val="1"/>
      <w:numFmt w:val="decimal"/>
      <w:lvlText w:val="%7."/>
      <w:lvlJc w:val="left"/>
      <w:pPr>
        <w:ind w:left="5628" w:hanging="360"/>
      </w:pPr>
    </w:lvl>
    <w:lvl w:ilvl="7" w:tplc="04270019" w:tentative="1">
      <w:start w:val="1"/>
      <w:numFmt w:val="lowerLetter"/>
      <w:lvlText w:val="%8."/>
      <w:lvlJc w:val="left"/>
      <w:pPr>
        <w:ind w:left="6348" w:hanging="360"/>
      </w:pPr>
    </w:lvl>
    <w:lvl w:ilvl="8" w:tplc="0427001B" w:tentative="1">
      <w:start w:val="1"/>
      <w:numFmt w:val="lowerRoman"/>
      <w:lvlText w:val="%9."/>
      <w:lvlJc w:val="right"/>
      <w:pPr>
        <w:ind w:left="7068" w:hanging="180"/>
      </w:pPr>
    </w:lvl>
  </w:abstractNum>
  <w:abstractNum w:abstractNumId="4">
    <w:nsid w:val="1A1F5A36"/>
    <w:multiLevelType w:val="hybridMultilevel"/>
    <w:tmpl w:val="4E50CFBA"/>
    <w:lvl w:ilvl="0" w:tplc="C960FA56">
      <w:start w:val="5"/>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5">
    <w:nsid w:val="1E8C247B"/>
    <w:multiLevelType w:val="multilevel"/>
    <w:tmpl w:val="3822BAE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nsid w:val="40D915C3"/>
    <w:multiLevelType w:val="multilevel"/>
    <w:tmpl w:val="3822BAE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448A34FC"/>
    <w:multiLevelType w:val="hybridMultilevel"/>
    <w:tmpl w:val="780CC6D2"/>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E44BEB"/>
    <w:multiLevelType w:val="multilevel"/>
    <w:tmpl w:val="3822BAE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5FB14E61"/>
    <w:multiLevelType w:val="hybridMultilevel"/>
    <w:tmpl w:val="64B037E0"/>
    <w:lvl w:ilvl="0" w:tplc="6046DE4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33F458F"/>
    <w:multiLevelType w:val="hybridMultilevel"/>
    <w:tmpl w:val="C646E72C"/>
    <w:lvl w:ilvl="0" w:tplc="79DEB4DA">
      <w:start w:val="5"/>
      <w:numFmt w:val="decimal"/>
      <w:lvlText w:val="%1)"/>
      <w:lvlJc w:val="left"/>
      <w:pPr>
        <w:ind w:left="1176" w:hanging="360"/>
      </w:pPr>
      <w:rPr>
        <w:rFonts w:hint="default"/>
      </w:rPr>
    </w:lvl>
    <w:lvl w:ilvl="1" w:tplc="04270019" w:tentative="1">
      <w:start w:val="1"/>
      <w:numFmt w:val="lowerLetter"/>
      <w:lvlText w:val="%2."/>
      <w:lvlJc w:val="left"/>
      <w:pPr>
        <w:ind w:left="1896" w:hanging="360"/>
      </w:pPr>
    </w:lvl>
    <w:lvl w:ilvl="2" w:tplc="0427001B" w:tentative="1">
      <w:start w:val="1"/>
      <w:numFmt w:val="lowerRoman"/>
      <w:lvlText w:val="%3."/>
      <w:lvlJc w:val="right"/>
      <w:pPr>
        <w:ind w:left="2616" w:hanging="180"/>
      </w:pPr>
    </w:lvl>
    <w:lvl w:ilvl="3" w:tplc="0427000F" w:tentative="1">
      <w:start w:val="1"/>
      <w:numFmt w:val="decimal"/>
      <w:lvlText w:val="%4."/>
      <w:lvlJc w:val="left"/>
      <w:pPr>
        <w:ind w:left="3336" w:hanging="360"/>
      </w:pPr>
    </w:lvl>
    <w:lvl w:ilvl="4" w:tplc="04270019" w:tentative="1">
      <w:start w:val="1"/>
      <w:numFmt w:val="lowerLetter"/>
      <w:lvlText w:val="%5."/>
      <w:lvlJc w:val="left"/>
      <w:pPr>
        <w:ind w:left="4056" w:hanging="360"/>
      </w:pPr>
    </w:lvl>
    <w:lvl w:ilvl="5" w:tplc="0427001B" w:tentative="1">
      <w:start w:val="1"/>
      <w:numFmt w:val="lowerRoman"/>
      <w:lvlText w:val="%6."/>
      <w:lvlJc w:val="right"/>
      <w:pPr>
        <w:ind w:left="4776" w:hanging="180"/>
      </w:pPr>
    </w:lvl>
    <w:lvl w:ilvl="6" w:tplc="0427000F" w:tentative="1">
      <w:start w:val="1"/>
      <w:numFmt w:val="decimal"/>
      <w:lvlText w:val="%7."/>
      <w:lvlJc w:val="left"/>
      <w:pPr>
        <w:ind w:left="5496" w:hanging="360"/>
      </w:pPr>
    </w:lvl>
    <w:lvl w:ilvl="7" w:tplc="04270019" w:tentative="1">
      <w:start w:val="1"/>
      <w:numFmt w:val="lowerLetter"/>
      <w:lvlText w:val="%8."/>
      <w:lvlJc w:val="left"/>
      <w:pPr>
        <w:ind w:left="6216" w:hanging="360"/>
      </w:pPr>
    </w:lvl>
    <w:lvl w:ilvl="8" w:tplc="0427001B" w:tentative="1">
      <w:start w:val="1"/>
      <w:numFmt w:val="lowerRoman"/>
      <w:lvlText w:val="%9."/>
      <w:lvlJc w:val="right"/>
      <w:pPr>
        <w:ind w:left="6936" w:hanging="180"/>
      </w:pPr>
    </w:lvl>
  </w:abstractNum>
  <w:abstractNum w:abstractNumId="11">
    <w:nsid w:val="7A637F25"/>
    <w:multiLevelType w:val="hybridMultilevel"/>
    <w:tmpl w:val="CBFE6FAC"/>
    <w:lvl w:ilvl="0" w:tplc="28744FE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AAC6D37"/>
    <w:multiLevelType w:val="multilevel"/>
    <w:tmpl w:val="3822BAEE"/>
    <w:lvl w:ilvl="0">
      <w:start w:val="1"/>
      <w:numFmt w:val="decimal"/>
      <w:lvlText w:val="%1)"/>
      <w:lvlJc w:val="left"/>
      <w:pPr>
        <w:ind w:left="2344" w:hanging="360"/>
      </w:pPr>
      <w:rPr>
        <w:rFonts w:hint="default"/>
      </w:rPr>
    </w:lvl>
    <w:lvl w:ilvl="1">
      <w:start w:val="1"/>
      <w:numFmt w:val="decimal"/>
      <w:isLgl/>
      <w:lvlText w:val="%1.%2."/>
      <w:lvlJc w:val="left"/>
      <w:pPr>
        <w:ind w:left="234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064" w:hanging="1080"/>
      </w:pPr>
      <w:rPr>
        <w:rFonts w:hint="default"/>
      </w:rPr>
    </w:lvl>
    <w:lvl w:ilvl="6">
      <w:start w:val="1"/>
      <w:numFmt w:val="decimal"/>
      <w:isLgl/>
      <w:lvlText w:val="%1.%2.%3.%4.%5.%6.%7."/>
      <w:lvlJc w:val="left"/>
      <w:pPr>
        <w:ind w:left="3424" w:hanging="1440"/>
      </w:pPr>
      <w:rPr>
        <w:rFonts w:hint="default"/>
      </w:rPr>
    </w:lvl>
    <w:lvl w:ilvl="7">
      <w:start w:val="1"/>
      <w:numFmt w:val="decimal"/>
      <w:isLgl/>
      <w:lvlText w:val="%1.%2.%3.%4.%5.%6.%7.%8."/>
      <w:lvlJc w:val="left"/>
      <w:pPr>
        <w:ind w:left="3424" w:hanging="1440"/>
      </w:pPr>
      <w:rPr>
        <w:rFonts w:hint="default"/>
      </w:rPr>
    </w:lvl>
    <w:lvl w:ilvl="8">
      <w:start w:val="1"/>
      <w:numFmt w:val="decimal"/>
      <w:isLgl/>
      <w:lvlText w:val="%1.%2.%3.%4.%5.%6.%7.%8.%9."/>
      <w:lvlJc w:val="left"/>
      <w:pPr>
        <w:ind w:left="3784" w:hanging="1800"/>
      </w:pPr>
      <w:rPr>
        <w:rFonts w:hint="default"/>
      </w:rPr>
    </w:lvl>
  </w:abstractNum>
  <w:num w:numId="1">
    <w:abstractNumId w:val="12"/>
  </w:num>
  <w:num w:numId="2">
    <w:abstractNumId w:val="5"/>
  </w:num>
  <w:num w:numId="3">
    <w:abstractNumId w:val="8"/>
  </w:num>
  <w:num w:numId="4">
    <w:abstractNumId w:val="6"/>
  </w:num>
  <w:num w:numId="5">
    <w:abstractNumId w:val="0"/>
  </w:num>
  <w:num w:numId="6">
    <w:abstractNumId w:val="10"/>
  </w:num>
  <w:num w:numId="7">
    <w:abstractNumId w:val="4"/>
  </w:num>
  <w:num w:numId="8">
    <w:abstractNumId w:val="7"/>
  </w:num>
  <w:num w:numId="9">
    <w:abstractNumId w:val="3"/>
  </w:num>
  <w:num w:numId="10">
    <w:abstractNumId w:val="11"/>
  </w:num>
  <w:num w:numId="11">
    <w:abstractNumId w:val="2"/>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1E"/>
    <w:rsid w:val="00031EE3"/>
    <w:rsid w:val="000629CE"/>
    <w:rsid w:val="00070989"/>
    <w:rsid w:val="000771FB"/>
    <w:rsid w:val="000A3889"/>
    <w:rsid w:val="000F5CFE"/>
    <w:rsid w:val="001556A3"/>
    <w:rsid w:val="00184B25"/>
    <w:rsid w:val="00191D28"/>
    <w:rsid w:val="00192683"/>
    <w:rsid w:val="001B4C58"/>
    <w:rsid w:val="001B553F"/>
    <w:rsid w:val="001D2766"/>
    <w:rsid w:val="001D5BDA"/>
    <w:rsid w:val="002005BA"/>
    <w:rsid w:val="00202852"/>
    <w:rsid w:val="0020719A"/>
    <w:rsid w:val="00270DE1"/>
    <w:rsid w:val="00271D68"/>
    <w:rsid w:val="00292744"/>
    <w:rsid w:val="002B17FA"/>
    <w:rsid w:val="00311FEB"/>
    <w:rsid w:val="00331322"/>
    <w:rsid w:val="00365080"/>
    <w:rsid w:val="00391819"/>
    <w:rsid w:val="00394A0D"/>
    <w:rsid w:val="003B73FD"/>
    <w:rsid w:val="003C40A6"/>
    <w:rsid w:val="003C6C36"/>
    <w:rsid w:val="00410506"/>
    <w:rsid w:val="00420ED0"/>
    <w:rsid w:val="00423EC2"/>
    <w:rsid w:val="00472481"/>
    <w:rsid w:val="0048191B"/>
    <w:rsid w:val="00487751"/>
    <w:rsid w:val="00493683"/>
    <w:rsid w:val="004A132B"/>
    <w:rsid w:val="004C0C39"/>
    <w:rsid w:val="0051395D"/>
    <w:rsid w:val="0052548C"/>
    <w:rsid w:val="00564DF0"/>
    <w:rsid w:val="0056611D"/>
    <w:rsid w:val="005D441E"/>
    <w:rsid w:val="006063F0"/>
    <w:rsid w:val="006126EB"/>
    <w:rsid w:val="0061731D"/>
    <w:rsid w:val="00630850"/>
    <w:rsid w:val="006316A5"/>
    <w:rsid w:val="00632199"/>
    <w:rsid w:val="0064047F"/>
    <w:rsid w:val="00647311"/>
    <w:rsid w:val="00677832"/>
    <w:rsid w:val="006918BA"/>
    <w:rsid w:val="006A7B61"/>
    <w:rsid w:val="006B2D22"/>
    <w:rsid w:val="006C79DC"/>
    <w:rsid w:val="0070212E"/>
    <w:rsid w:val="00706FED"/>
    <w:rsid w:val="0073202B"/>
    <w:rsid w:val="00771427"/>
    <w:rsid w:val="007C155B"/>
    <w:rsid w:val="007D0C90"/>
    <w:rsid w:val="007E1BF3"/>
    <w:rsid w:val="007E2DDC"/>
    <w:rsid w:val="00804C9E"/>
    <w:rsid w:val="00814211"/>
    <w:rsid w:val="00886AA6"/>
    <w:rsid w:val="00904EC8"/>
    <w:rsid w:val="00915E6B"/>
    <w:rsid w:val="009263A7"/>
    <w:rsid w:val="00955418"/>
    <w:rsid w:val="009B79FC"/>
    <w:rsid w:val="009E28F3"/>
    <w:rsid w:val="009E2ACC"/>
    <w:rsid w:val="009E7CB0"/>
    <w:rsid w:val="009F14DC"/>
    <w:rsid w:val="00A11A32"/>
    <w:rsid w:val="00A266A3"/>
    <w:rsid w:val="00A67DE3"/>
    <w:rsid w:val="00A75EB5"/>
    <w:rsid w:val="00A776C9"/>
    <w:rsid w:val="00A8211E"/>
    <w:rsid w:val="00A82696"/>
    <w:rsid w:val="00AA4482"/>
    <w:rsid w:val="00AC46DC"/>
    <w:rsid w:val="00B5603A"/>
    <w:rsid w:val="00B67520"/>
    <w:rsid w:val="00B92311"/>
    <w:rsid w:val="00BB01B8"/>
    <w:rsid w:val="00BE3841"/>
    <w:rsid w:val="00C31FD9"/>
    <w:rsid w:val="00C35C86"/>
    <w:rsid w:val="00C66579"/>
    <w:rsid w:val="00CA3E6A"/>
    <w:rsid w:val="00CA73C5"/>
    <w:rsid w:val="00CE1EC5"/>
    <w:rsid w:val="00D26A00"/>
    <w:rsid w:val="00D31BE0"/>
    <w:rsid w:val="00D37E37"/>
    <w:rsid w:val="00D6593E"/>
    <w:rsid w:val="00D76318"/>
    <w:rsid w:val="00D773E8"/>
    <w:rsid w:val="00D81ED5"/>
    <w:rsid w:val="00DA1482"/>
    <w:rsid w:val="00DD2576"/>
    <w:rsid w:val="00E11011"/>
    <w:rsid w:val="00E52319"/>
    <w:rsid w:val="00E93B8F"/>
    <w:rsid w:val="00EB28D3"/>
    <w:rsid w:val="00F166CB"/>
    <w:rsid w:val="00F31B16"/>
    <w:rsid w:val="00F7549D"/>
    <w:rsid w:val="00FA3C0F"/>
    <w:rsid w:val="00FB5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441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41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rsid w:val="005D441E"/>
    <w:pPr>
      <w:spacing w:after="0" w:line="240" w:lineRule="auto"/>
      <w:ind w:firstLine="709"/>
      <w:jc w:val="both"/>
    </w:pPr>
    <w:rPr>
      <w:rFonts w:ascii="Calibri" w:eastAsia="Times New Roman" w:hAnsi="Calibri" w:cs="Calibri"/>
      <w:lang w:eastAsia="lt-LT"/>
    </w:rPr>
  </w:style>
  <w:style w:type="paragraph" w:styleId="Sraopastraipa">
    <w:name w:val="List Paragraph"/>
    <w:basedOn w:val="prastasis"/>
    <w:link w:val="SraopastraipaDiagrama"/>
    <w:uiPriority w:val="34"/>
    <w:qFormat/>
    <w:rsid w:val="00A8211E"/>
    <w:pPr>
      <w:suppressAutoHyphens/>
      <w:ind w:left="720"/>
      <w:contextualSpacing/>
    </w:pPr>
    <w:rPr>
      <w:rFonts w:ascii="Times New Roman" w:eastAsia="Times New Roman" w:hAnsi="Times New Roman" w:cs="Times New Roman"/>
      <w:sz w:val="24"/>
      <w:szCs w:val="24"/>
      <w:lang w:eastAsia="ar-SA"/>
    </w:rPr>
  </w:style>
  <w:style w:type="character" w:customStyle="1" w:styleId="SraopastraipaDiagrama">
    <w:name w:val="Sąrašo pastraipa Diagrama"/>
    <w:link w:val="Sraopastraipa"/>
    <w:uiPriority w:val="34"/>
    <w:qFormat/>
    <w:rsid w:val="00A8211E"/>
    <w:rPr>
      <w:rFonts w:ascii="Times New Roman" w:eastAsia="Times New Roman" w:hAnsi="Times New Roman" w:cs="Times New Roman"/>
      <w:sz w:val="24"/>
      <w:szCs w:val="24"/>
      <w:lang w:val="lt-LT" w:eastAsia="ar-SA"/>
    </w:rPr>
  </w:style>
  <w:style w:type="character" w:styleId="Komentaronuoroda">
    <w:name w:val="annotation reference"/>
    <w:basedOn w:val="Numatytasispastraiposriftas"/>
    <w:uiPriority w:val="99"/>
    <w:semiHidden/>
    <w:unhideWhenUsed/>
    <w:rsid w:val="00472481"/>
    <w:rPr>
      <w:sz w:val="16"/>
      <w:szCs w:val="16"/>
    </w:rPr>
  </w:style>
  <w:style w:type="paragraph" w:styleId="Komentarotekstas">
    <w:name w:val="annotation text"/>
    <w:basedOn w:val="prastasis"/>
    <w:link w:val="KomentarotekstasDiagrama"/>
    <w:uiPriority w:val="99"/>
    <w:unhideWhenUsed/>
    <w:rsid w:val="004724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2481"/>
    <w:rPr>
      <w:sz w:val="20"/>
      <w:szCs w:val="20"/>
      <w:lang w:val="lt-LT"/>
    </w:rPr>
  </w:style>
  <w:style w:type="paragraph" w:styleId="Komentarotema">
    <w:name w:val="annotation subject"/>
    <w:basedOn w:val="Komentarotekstas"/>
    <w:next w:val="Komentarotekstas"/>
    <w:link w:val="KomentarotemaDiagrama"/>
    <w:uiPriority w:val="99"/>
    <w:semiHidden/>
    <w:unhideWhenUsed/>
    <w:rsid w:val="00472481"/>
    <w:rPr>
      <w:b/>
      <w:bCs/>
    </w:rPr>
  </w:style>
  <w:style w:type="character" w:customStyle="1" w:styleId="KomentarotemaDiagrama">
    <w:name w:val="Komentaro tema Diagrama"/>
    <w:basedOn w:val="KomentarotekstasDiagrama"/>
    <w:link w:val="Komentarotema"/>
    <w:uiPriority w:val="99"/>
    <w:semiHidden/>
    <w:rsid w:val="00472481"/>
    <w:rPr>
      <w:b/>
      <w:bCs/>
      <w:sz w:val="20"/>
      <w:szCs w:val="20"/>
      <w:lang w:val="lt-LT"/>
    </w:rPr>
  </w:style>
  <w:style w:type="paragraph" w:styleId="Debesliotekstas">
    <w:name w:val="Balloon Text"/>
    <w:basedOn w:val="prastasis"/>
    <w:link w:val="DebesliotekstasDiagrama"/>
    <w:uiPriority w:val="99"/>
    <w:semiHidden/>
    <w:unhideWhenUsed/>
    <w:rsid w:val="004724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2481"/>
    <w:rPr>
      <w:rFonts w:ascii="Tahoma" w:hAnsi="Tahoma" w:cs="Tahoma"/>
      <w:sz w:val="16"/>
      <w:szCs w:val="16"/>
      <w:lang w:val="lt-LT"/>
    </w:rPr>
  </w:style>
  <w:style w:type="paragraph" w:styleId="Paprastasistekstas">
    <w:name w:val="Plain Text"/>
    <w:basedOn w:val="prastasis"/>
    <w:link w:val="PaprastasistekstasDiagrama"/>
    <w:uiPriority w:val="99"/>
    <w:semiHidden/>
    <w:unhideWhenUsed/>
    <w:rsid w:val="00391819"/>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391819"/>
    <w:rPr>
      <w:rFonts w:ascii="Calibri" w:hAnsi="Calibri"/>
      <w:szCs w:val="21"/>
      <w:lang w:val="lt-LT"/>
    </w:rPr>
  </w:style>
  <w:style w:type="paragraph" w:customStyle="1" w:styleId="Default">
    <w:name w:val="Default"/>
    <w:rsid w:val="009263A7"/>
    <w:pPr>
      <w:autoSpaceDE w:val="0"/>
      <w:autoSpaceDN w:val="0"/>
      <w:adjustRightInd w:val="0"/>
      <w:spacing w:after="0" w:line="240" w:lineRule="auto"/>
    </w:pPr>
    <w:rPr>
      <w:rFonts w:ascii="Calibri" w:hAnsi="Calibri" w:cs="Calibri"/>
      <w:color w:val="000000"/>
      <w:sz w:val="24"/>
      <w:szCs w:val="24"/>
      <w:lang w:val="lt-LT"/>
    </w:rPr>
  </w:style>
  <w:style w:type="character" w:styleId="Hipersaitas">
    <w:name w:val="Hyperlink"/>
    <w:basedOn w:val="Numatytasispastraiposriftas"/>
    <w:uiPriority w:val="99"/>
    <w:semiHidden/>
    <w:unhideWhenUsed/>
    <w:rsid w:val="004A132B"/>
    <w:rPr>
      <w:color w:val="0000FF"/>
      <w:u w:val="single"/>
    </w:rPr>
  </w:style>
  <w:style w:type="paragraph" w:styleId="Pagrindinistekstas">
    <w:name w:val="Body Text"/>
    <w:basedOn w:val="prastasis"/>
    <w:link w:val="PagrindinistekstasDiagrama"/>
    <w:rsid w:val="007E1BF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E1BF3"/>
    <w:rPr>
      <w:rFonts w:ascii="Times New Roman" w:eastAsia="Times New Roman" w:hAnsi="Times New Roman" w:cs="Times New Roman"/>
      <w:sz w:val="24"/>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441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41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coParagraphNormalFirstLine">
    <w:name w:val="Asseco Paragraph Normal First Line"/>
    <w:basedOn w:val="prastasis"/>
    <w:rsid w:val="005D441E"/>
    <w:pPr>
      <w:spacing w:after="0" w:line="240" w:lineRule="auto"/>
      <w:ind w:firstLine="709"/>
      <w:jc w:val="both"/>
    </w:pPr>
    <w:rPr>
      <w:rFonts w:ascii="Calibri" w:eastAsia="Times New Roman" w:hAnsi="Calibri" w:cs="Calibri"/>
      <w:lang w:eastAsia="lt-LT"/>
    </w:rPr>
  </w:style>
  <w:style w:type="paragraph" w:styleId="Sraopastraipa">
    <w:name w:val="List Paragraph"/>
    <w:basedOn w:val="prastasis"/>
    <w:link w:val="SraopastraipaDiagrama"/>
    <w:uiPriority w:val="34"/>
    <w:qFormat/>
    <w:rsid w:val="00A8211E"/>
    <w:pPr>
      <w:suppressAutoHyphens/>
      <w:ind w:left="720"/>
      <w:contextualSpacing/>
    </w:pPr>
    <w:rPr>
      <w:rFonts w:ascii="Times New Roman" w:eastAsia="Times New Roman" w:hAnsi="Times New Roman" w:cs="Times New Roman"/>
      <w:sz w:val="24"/>
      <w:szCs w:val="24"/>
      <w:lang w:eastAsia="ar-SA"/>
    </w:rPr>
  </w:style>
  <w:style w:type="character" w:customStyle="1" w:styleId="SraopastraipaDiagrama">
    <w:name w:val="Sąrašo pastraipa Diagrama"/>
    <w:link w:val="Sraopastraipa"/>
    <w:uiPriority w:val="34"/>
    <w:qFormat/>
    <w:rsid w:val="00A8211E"/>
    <w:rPr>
      <w:rFonts w:ascii="Times New Roman" w:eastAsia="Times New Roman" w:hAnsi="Times New Roman" w:cs="Times New Roman"/>
      <w:sz w:val="24"/>
      <w:szCs w:val="24"/>
      <w:lang w:val="lt-LT" w:eastAsia="ar-SA"/>
    </w:rPr>
  </w:style>
  <w:style w:type="character" w:styleId="Komentaronuoroda">
    <w:name w:val="annotation reference"/>
    <w:basedOn w:val="Numatytasispastraiposriftas"/>
    <w:uiPriority w:val="99"/>
    <w:semiHidden/>
    <w:unhideWhenUsed/>
    <w:rsid w:val="00472481"/>
    <w:rPr>
      <w:sz w:val="16"/>
      <w:szCs w:val="16"/>
    </w:rPr>
  </w:style>
  <w:style w:type="paragraph" w:styleId="Komentarotekstas">
    <w:name w:val="annotation text"/>
    <w:basedOn w:val="prastasis"/>
    <w:link w:val="KomentarotekstasDiagrama"/>
    <w:uiPriority w:val="99"/>
    <w:unhideWhenUsed/>
    <w:rsid w:val="004724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2481"/>
    <w:rPr>
      <w:sz w:val="20"/>
      <w:szCs w:val="20"/>
      <w:lang w:val="lt-LT"/>
    </w:rPr>
  </w:style>
  <w:style w:type="paragraph" w:styleId="Komentarotema">
    <w:name w:val="annotation subject"/>
    <w:basedOn w:val="Komentarotekstas"/>
    <w:next w:val="Komentarotekstas"/>
    <w:link w:val="KomentarotemaDiagrama"/>
    <w:uiPriority w:val="99"/>
    <w:semiHidden/>
    <w:unhideWhenUsed/>
    <w:rsid w:val="00472481"/>
    <w:rPr>
      <w:b/>
      <w:bCs/>
    </w:rPr>
  </w:style>
  <w:style w:type="character" w:customStyle="1" w:styleId="KomentarotemaDiagrama">
    <w:name w:val="Komentaro tema Diagrama"/>
    <w:basedOn w:val="KomentarotekstasDiagrama"/>
    <w:link w:val="Komentarotema"/>
    <w:uiPriority w:val="99"/>
    <w:semiHidden/>
    <w:rsid w:val="00472481"/>
    <w:rPr>
      <w:b/>
      <w:bCs/>
      <w:sz w:val="20"/>
      <w:szCs w:val="20"/>
      <w:lang w:val="lt-LT"/>
    </w:rPr>
  </w:style>
  <w:style w:type="paragraph" w:styleId="Debesliotekstas">
    <w:name w:val="Balloon Text"/>
    <w:basedOn w:val="prastasis"/>
    <w:link w:val="DebesliotekstasDiagrama"/>
    <w:uiPriority w:val="99"/>
    <w:semiHidden/>
    <w:unhideWhenUsed/>
    <w:rsid w:val="004724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2481"/>
    <w:rPr>
      <w:rFonts w:ascii="Tahoma" w:hAnsi="Tahoma" w:cs="Tahoma"/>
      <w:sz w:val="16"/>
      <w:szCs w:val="16"/>
      <w:lang w:val="lt-LT"/>
    </w:rPr>
  </w:style>
  <w:style w:type="paragraph" w:styleId="Paprastasistekstas">
    <w:name w:val="Plain Text"/>
    <w:basedOn w:val="prastasis"/>
    <w:link w:val="PaprastasistekstasDiagrama"/>
    <w:uiPriority w:val="99"/>
    <w:semiHidden/>
    <w:unhideWhenUsed/>
    <w:rsid w:val="00391819"/>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391819"/>
    <w:rPr>
      <w:rFonts w:ascii="Calibri" w:hAnsi="Calibri"/>
      <w:szCs w:val="21"/>
      <w:lang w:val="lt-LT"/>
    </w:rPr>
  </w:style>
  <w:style w:type="paragraph" w:customStyle="1" w:styleId="Default">
    <w:name w:val="Default"/>
    <w:rsid w:val="009263A7"/>
    <w:pPr>
      <w:autoSpaceDE w:val="0"/>
      <w:autoSpaceDN w:val="0"/>
      <w:adjustRightInd w:val="0"/>
      <w:spacing w:after="0" w:line="240" w:lineRule="auto"/>
    </w:pPr>
    <w:rPr>
      <w:rFonts w:ascii="Calibri" w:hAnsi="Calibri" w:cs="Calibri"/>
      <w:color w:val="000000"/>
      <w:sz w:val="24"/>
      <w:szCs w:val="24"/>
      <w:lang w:val="lt-LT"/>
    </w:rPr>
  </w:style>
  <w:style w:type="character" w:styleId="Hipersaitas">
    <w:name w:val="Hyperlink"/>
    <w:basedOn w:val="Numatytasispastraiposriftas"/>
    <w:uiPriority w:val="99"/>
    <w:semiHidden/>
    <w:unhideWhenUsed/>
    <w:rsid w:val="004A132B"/>
    <w:rPr>
      <w:color w:val="0000FF"/>
      <w:u w:val="single"/>
    </w:rPr>
  </w:style>
  <w:style w:type="paragraph" w:styleId="Pagrindinistekstas">
    <w:name w:val="Body Text"/>
    <w:basedOn w:val="prastasis"/>
    <w:link w:val="PagrindinistekstasDiagrama"/>
    <w:rsid w:val="007E1BF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E1BF3"/>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1475">
      <w:bodyDiv w:val="1"/>
      <w:marLeft w:val="0"/>
      <w:marRight w:val="0"/>
      <w:marTop w:val="0"/>
      <w:marBottom w:val="0"/>
      <w:divBdr>
        <w:top w:val="none" w:sz="0" w:space="0" w:color="auto"/>
        <w:left w:val="none" w:sz="0" w:space="0" w:color="auto"/>
        <w:bottom w:val="none" w:sz="0" w:space="0" w:color="auto"/>
        <w:right w:val="none" w:sz="0" w:space="0" w:color="auto"/>
      </w:divBdr>
    </w:div>
    <w:div w:id="1860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3356</Words>
  <Characters>1913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2020-09-15T13:30:00Z</dcterms:created>
  <dc:creator>Gintaras Valiulis</dc:creator>
  <cp:lastModifiedBy>Aistė Gerikaitė-Šukienė</cp:lastModifiedBy>
  <dcterms:modified xsi:type="dcterms:W3CDTF">2020-09-15T13:30:00Z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-1606358402</vt:i4>
  </property>
  <property fmtid="{D5CDD505-2E9C-101B-9397-08002B2CF9AE}" pid="3" name="_NewReviewCycle">
    <vt:lpwstr/>
  </property>
  <property fmtid="{D5CDD505-2E9C-101B-9397-08002B2CF9AE}" pid="4" name="_EmailSubject">
    <vt:lpwstr>LRV nutarimo keitimo derinimas - toks prie labai skubesnių, jei galima :)</vt:lpwstr>
  </property>
  <property fmtid="{D5CDD505-2E9C-101B-9397-08002B2CF9AE}" pid="5" name="_AuthorEmail">
    <vt:lpwstr>Aiste.Gerikaite@socmin.lt</vt:lpwstr>
  </property>
  <property fmtid="{D5CDD505-2E9C-101B-9397-08002B2CF9AE}" pid="6" name="_AuthorEmailDisplayName">
    <vt:lpwstr>Aistė Gerikaitė-Šukienė</vt:lpwstr>
  </property>
  <property fmtid="{D5CDD505-2E9C-101B-9397-08002B2CF9AE}" pid="7" name="_PreviousAdHocReviewCycleID">
    <vt:i4>2063764134</vt:i4>
  </property>
  <property fmtid="{D5CDD505-2E9C-101B-9397-08002B2CF9AE}" pid="8" name="_ReviewingToolsShownOnce">
    <vt:lpwstr/>
  </property>
</Properties>
</file>