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2434F" w14:textId="77777777" w:rsidR="00FD1D5E" w:rsidRPr="00E975E8" w:rsidRDefault="00ED0642" w:rsidP="00454F7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E975E8">
        <w:rPr>
          <w:rFonts w:ascii="Times New Roman" w:eastAsia="Times New Roman" w:hAnsi="Times New Roman" w:cs="Times New Roman"/>
          <w:b/>
          <w:bCs/>
          <w:caps/>
          <w:kern w:val="3"/>
          <w:sz w:val="24"/>
          <w:szCs w:val="24"/>
          <w:lang w:val="en-US" w:eastAsia="zh-CN"/>
        </w:rPr>
        <w:t>DERINIMO PAŽYMA</w:t>
      </w:r>
    </w:p>
    <w:p w14:paraId="411114A0" w14:textId="204B996F" w:rsidR="00E975E8" w:rsidRPr="00E975E8" w:rsidRDefault="00FD1D5E" w:rsidP="00454F71">
      <w:pPr>
        <w:spacing w:after="0" w:line="240" w:lineRule="auto"/>
        <w:jc w:val="center"/>
        <w:rPr>
          <w:rFonts w:ascii="Times New Roman" w:hAnsi="Times New Roman" w:cs="Times New Roman"/>
          <w:b/>
          <w:sz w:val="24"/>
          <w:szCs w:val="24"/>
        </w:rPr>
      </w:pPr>
      <w:bookmarkStart w:id="0" w:name="_Hlk513734621"/>
      <w:r w:rsidRPr="00E975E8">
        <w:rPr>
          <w:rFonts w:ascii="Times New Roman" w:eastAsia="Times New Roman" w:hAnsi="Times New Roman" w:cs="Times New Roman"/>
          <w:b/>
          <w:bCs/>
          <w:caps/>
          <w:kern w:val="3"/>
          <w:sz w:val="24"/>
          <w:szCs w:val="24"/>
          <w:lang w:val="en-US" w:eastAsia="zh-CN"/>
        </w:rPr>
        <w:t xml:space="preserve">DĖL Lietuvos respublikos </w:t>
      </w:r>
      <w:r w:rsidR="00E975E8" w:rsidRPr="00E975E8">
        <w:rPr>
          <w:rFonts w:ascii="Times New Roman" w:hAnsi="Times New Roman" w:cs="Times New Roman"/>
          <w:b/>
          <w:bCs/>
          <w:sz w:val="24"/>
          <w:szCs w:val="24"/>
        </w:rPr>
        <w:t xml:space="preserve">VYRIAUSYBĖS </w:t>
      </w:r>
      <w:r w:rsidR="00E975E8" w:rsidRPr="00E975E8">
        <w:rPr>
          <w:rFonts w:ascii="Times New Roman" w:hAnsi="Times New Roman" w:cs="Times New Roman"/>
          <w:b/>
          <w:sz w:val="24"/>
          <w:szCs w:val="24"/>
        </w:rPr>
        <w:t>NUTARIMO</w:t>
      </w:r>
    </w:p>
    <w:p w14:paraId="07479571" w14:textId="20CAEFA2" w:rsidR="00E975E8" w:rsidRPr="00E975E8" w:rsidRDefault="00E975E8" w:rsidP="00454F71">
      <w:pPr>
        <w:spacing w:after="0" w:line="240" w:lineRule="auto"/>
        <w:jc w:val="center"/>
        <w:rPr>
          <w:rFonts w:ascii="Times New Roman" w:eastAsia="Times New Roman" w:hAnsi="Times New Roman" w:cs="Times New Roman"/>
          <w:b/>
          <w:bCs/>
          <w:caps/>
          <w:kern w:val="3"/>
          <w:sz w:val="24"/>
          <w:szCs w:val="24"/>
          <w:lang w:eastAsia="zh-CN"/>
        </w:rPr>
      </w:pPr>
      <w:r w:rsidRPr="00E975E8">
        <w:rPr>
          <w:rFonts w:ascii="Times New Roman" w:hAnsi="Times New Roman" w:cs="Times New Roman"/>
          <w:b/>
          <w:bCs/>
          <w:sz w:val="24"/>
          <w:szCs w:val="24"/>
        </w:rPr>
        <w:t xml:space="preserve">„DĖL </w:t>
      </w:r>
      <w:r w:rsidRPr="00E975E8">
        <w:rPr>
          <w:rFonts w:ascii="Times New Roman" w:hAnsi="Times New Roman" w:cs="Times New Roman"/>
          <w:b/>
          <w:sz w:val="24"/>
          <w:szCs w:val="24"/>
        </w:rPr>
        <w:t>INTELEKTINĖS NUOSAVYBĖS APSAUGOS KOORDINAVIMO KOMISIJOS SUDARYMO“</w:t>
      </w:r>
    </w:p>
    <w:p w14:paraId="23E98941" w14:textId="0B14841C" w:rsidR="00FD1D5E" w:rsidRPr="00E975E8" w:rsidRDefault="00FD1D5E" w:rsidP="00454F7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E975E8">
        <w:rPr>
          <w:rFonts w:ascii="Times New Roman" w:eastAsia="Times New Roman" w:hAnsi="Times New Roman" w:cs="Times New Roman"/>
          <w:b/>
          <w:bCs/>
          <w:caps/>
          <w:kern w:val="3"/>
          <w:sz w:val="24"/>
          <w:szCs w:val="24"/>
          <w:lang w:val="en-US" w:eastAsia="zh-CN"/>
        </w:rPr>
        <w:t>PROJEKT</w:t>
      </w:r>
      <w:bookmarkEnd w:id="0"/>
      <w:r w:rsidRPr="00E975E8">
        <w:rPr>
          <w:rFonts w:ascii="Times New Roman" w:eastAsia="Times New Roman" w:hAnsi="Times New Roman" w:cs="Times New Roman"/>
          <w:b/>
          <w:bCs/>
          <w:caps/>
          <w:kern w:val="3"/>
          <w:sz w:val="24"/>
          <w:szCs w:val="24"/>
          <w:lang w:val="en-US" w:eastAsia="zh-CN"/>
        </w:rPr>
        <w:t xml:space="preserve">O </w:t>
      </w:r>
    </w:p>
    <w:p w14:paraId="514350EA" w14:textId="77777777" w:rsidR="00FD1D5E" w:rsidRPr="00ED5701" w:rsidRDefault="00FD1D5E" w:rsidP="00454F7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p>
    <w:tbl>
      <w:tblPr>
        <w:tblStyle w:val="Lentelstinklelis"/>
        <w:tblW w:w="0" w:type="auto"/>
        <w:tblLook w:val="04A0" w:firstRow="1" w:lastRow="0" w:firstColumn="1" w:lastColumn="0" w:noHBand="0" w:noVBand="1"/>
      </w:tblPr>
      <w:tblGrid>
        <w:gridCol w:w="624"/>
        <w:gridCol w:w="1868"/>
        <w:gridCol w:w="6040"/>
        <w:gridCol w:w="6028"/>
      </w:tblGrid>
      <w:tr w:rsidR="009938C2" w:rsidRPr="00835D10" w14:paraId="4DF17CCE" w14:textId="77777777" w:rsidTr="00F976AC">
        <w:tc>
          <w:tcPr>
            <w:tcW w:w="0" w:type="auto"/>
          </w:tcPr>
          <w:p w14:paraId="1E83F3BB" w14:textId="77777777" w:rsidR="00FD1D5E" w:rsidRPr="00E975E8" w:rsidRDefault="00FD1D5E" w:rsidP="00454F71">
            <w:pPr>
              <w:tabs>
                <w:tab w:val="left" w:pos="449"/>
              </w:tabs>
              <w:spacing w:after="80"/>
              <w:jc w:val="center"/>
              <w:rPr>
                <w:rFonts w:ascii="Times New Roman" w:hAnsi="Times New Roman" w:cs="Times New Roman"/>
                <w:b/>
                <w:bCs/>
                <w:sz w:val="24"/>
                <w:szCs w:val="24"/>
              </w:rPr>
            </w:pPr>
            <w:r w:rsidRPr="00E975E8">
              <w:rPr>
                <w:rFonts w:ascii="Times New Roman" w:hAnsi="Times New Roman" w:cs="Times New Roman"/>
                <w:b/>
                <w:bCs/>
                <w:sz w:val="24"/>
                <w:szCs w:val="24"/>
              </w:rPr>
              <w:t>Eil. Nr.</w:t>
            </w:r>
          </w:p>
        </w:tc>
        <w:tc>
          <w:tcPr>
            <w:tcW w:w="0" w:type="auto"/>
          </w:tcPr>
          <w:p w14:paraId="472A14CA" w14:textId="1AAA23A4" w:rsidR="00FD1D5E" w:rsidRPr="00E975E8" w:rsidRDefault="00FD1D5E" w:rsidP="00454F71">
            <w:pPr>
              <w:tabs>
                <w:tab w:val="left" w:pos="449"/>
              </w:tabs>
              <w:spacing w:after="80"/>
              <w:jc w:val="center"/>
              <w:rPr>
                <w:rFonts w:ascii="Times New Roman" w:hAnsi="Times New Roman" w:cs="Times New Roman"/>
                <w:b/>
                <w:sz w:val="24"/>
                <w:szCs w:val="24"/>
              </w:rPr>
            </w:pPr>
            <w:r w:rsidRPr="00E975E8">
              <w:rPr>
                <w:rFonts w:ascii="Times New Roman" w:hAnsi="Times New Roman" w:cs="Times New Roman"/>
                <w:b/>
                <w:bCs/>
                <w:sz w:val="24"/>
                <w:szCs w:val="24"/>
              </w:rPr>
              <w:t>Institucija, pateikusi pastabas ir pasiūlymus</w:t>
            </w:r>
          </w:p>
        </w:tc>
        <w:tc>
          <w:tcPr>
            <w:tcW w:w="0" w:type="auto"/>
          </w:tcPr>
          <w:p w14:paraId="346C6AA4" w14:textId="77777777" w:rsidR="00FD1D5E" w:rsidRPr="00E975E8" w:rsidRDefault="00FD1D5E" w:rsidP="00454F71">
            <w:pPr>
              <w:tabs>
                <w:tab w:val="left" w:pos="449"/>
              </w:tabs>
              <w:spacing w:after="80"/>
              <w:jc w:val="center"/>
              <w:rPr>
                <w:rFonts w:ascii="Times New Roman" w:hAnsi="Times New Roman" w:cs="Times New Roman"/>
                <w:b/>
                <w:sz w:val="24"/>
                <w:szCs w:val="24"/>
              </w:rPr>
            </w:pPr>
            <w:r w:rsidRPr="00E975E8">
              <w:rPr>
                <w:rFonts w:ascii="Times New Roman" w:eastAsia="Times New Roman" w:hAnsi="Times New Roman" w:cs="Times New Roman"/>
                <w:b/>
                <w:sz w:val="24"/>
                <w:szCs w:val="24"/>
              </w:rPr>
              <w:t>Pastabos ir pasiūlymai</w:t>
            </w:r>
          </w:p>
        </w:tc>
        <w:tc>
          <w:tcPr>
            <w:tcW w:w="0" w:type="auto"/>
          </w:tcPr>
          <w:p w14:paraId="3E43E693" w14:textId="77777777" w:rsidR="00FD1D5E" w:rsidRPr="00E975E8" w:rsidRDefault="00FD1D5E" w:rsidP="00454F71">
            <w:pPr>
              <w:jc w:val="center"/>
              <w:rPr>
                <w:rFonts w:ascii="Times New Roman" w:hAnsi="Times New Roman" w:cs="Times New Roman"/>
                <w:b/>
                <w:sz w:val="24"/>
                <w:szCs w:val="24"/>
              </w:rPr>
            </w:pPr>
            <w:r w:rsidRPr="00E975E8">
              <w:rPr>
                <w:rFonts w:ascii="Times New Roman" w:eastAsia="Times New Roman" w:hAnsi="Times New Roman" w:cs="Times New Roman"/>
                <w:b/>
                <w:sz w:val="24"/>
                <w:szCs w:val="24"/>
              </w:rPr>
              <w:t>Pastabų ir pasiūlymų įvertinimas</w:t>
            </w:r>
          </w:p>
        </w:tc>
      </w:tr>
      <w:tr w:rsidR="009938C2" w:rsidRPr="00EE0CEE" w14:paraId="23F540E7" w14:textId="77777777" w:rsidTr="00F976AC">
        <w:tc>
          <w:tcPr>
            <w:tcW w:w="0" w:type="auto"/>
          </w:tcPr>
          <w:p w14:paraId="19BD486D" w14:textId="0930DC5A" w:rsidR="00192720" w:rsidRPr="00EE0CEE" w:rsidRDefault="00D51ABC"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w:t>
            </w:r>
            <w:r w:rsidR="00192720">
              <w:rPr>
                <w:rFonts w:ascii="Times New Roman" w:hAnsi="Times New Roman" w:cs="Times New Roman"/>
                <w:bCs/>
                <w:sz w:val="24"/>
                <w:szCs w:val="24"/>
              </w:rPr>
              <w:t>.</w:t>
            </w:r>
          </w:p>
        </w:tc>
        <w:tc>
          <w:tcPr>
            <w:tcW w:w="0" w:type="auto"/>
          </w:tcPr>
          <w:p w14:paraId="0D904190" w14:textId="2C43CB02" w:rsidR="00192720" w:rsidRPr="00EE0CEE" w:rsidRDefault="00192720" w:rsidP="00454F71">
            <w:pPr>
              <w:rPr>
                <w:rFonts w:ascii="Times New Roman" w:hAnsi="Times New Roman" w:cs="Times New Roman"/>
                <w:sz w:val="24"/>
                <w:szCs w:val="24"/>
              </w:rPr>
            </w:pPr>
            <w:r w:rsidRPr="00EE0CEE">
              <w:rPr>
                <w:rFonts w:ascii="Times New Roman" w:hAnsi="Times New Roman" w:cs="Times New Roman"/>
                <w:sz w:val="24"/>
                <w:szCs w:val="24"/>
              </w:rPr>
              <w:t>Lietuvos Respublikos generalinė prokuratūra</w:t>
            </w:r>
          </w:p>
        </w:tc>
        <w:tc>
          <w:tcPr>
            <w:tcW w:w="0" w:type="auto"/>
          </w:tcPr>
          <w:p w14:paraId="30F61BBD" w14:textId="29199E09" w:rsidR="00192720" w:rsidRPr="00EE0CEE" w:rsidRDefault="00192720" w:rsidP="00454F71">
            <w:pPr>
              <w:autoSpaceDE w:val="0"/>
              <w:autoSpaceDN w:val="0"/>
              <w:adjustRightInd w:val="0"/>
              <w:jc w:val="both"/>
              <w:rPr>
                <w:rFonts w:ascii="Times New Roman" w:hAnsi="Times New Roman" w:cs="Times New Roman"/>
                <w:bCs/>
                <w:sz w:val="24"/>
                <w:szCs w:val="24"/>
              </w:rPr>
            </w:pPr>
            <w:r w:rsidRPr="00EE0CEE">
              <w:rPr>
                <w:rFonts w:ascii="Times New Roman" w:hAnsi="Times New Roman" w:cs="Times New Roman"/>
                <w:sz w:val="24"/>
                <w:szCs w:val="24"/>
              </w:rPr>
              <w:t>Atsižvelgdami į tai, kad Vidaus reikalų ministerija yra atsakinga už policijos atliekamo intelektinės nuosavybės teisių gynimo administracinėmis ir baudžiamosiomis priemonėmis koordinavimą, siūlome į Komisijos sudėtį įtraukti ir jos atstovą.</w:t>
            </w:r>
          </w:p>
        </w:tc>
        <w:tc>
          <w:tcPr>
            <w:tcW w:w="0" w:type="auto"/>
          </w:tcPr>
          <w:p w14:paraId="5CE6F942" w14:textId="025B5AE5" w:rsidR="005958C2" w:rsidRPr="005958C2" w:rsidRDefault="005958C2" w:rsidP="00131174">
            <w:pPr>
              <w:jc w:val="both"/>
              <w:rPr>
                <w:rFonts w:ascii="Times New Roman" w:hAnsi="Times New Roman" w:cs="Times New Roman"/>
                <w:b/>
                <w:sz w:val="24"/>
                <w:szCs w:val="24"/>
              </w:rPr>
            </w:pPr>
            <w:r w:rsidRPr="005958C2">
              <w:rPr>
                <w:rFonts w:ascii="Times New Roman" w:hAnsi="Times New Roman" w:cs="Times New Roman"/>
                <w:b/>
                <w:sz w:val="24"/>
                <w:szCs w:val="24"/>
              </w:rPr>
              <w:t xml:space="preserve">Neatsižvelgta. </w:t>
            </w:r>
            <w:r w:rsidR="005E3CA0">
              <w:rPr>
                <w:rFonts w:ascii="Times New Roman" w:hAnsi="Times New Roman" w:cs="Times New Roman"/>
                <w:sz w:val="24"/>
                <w:szCs w:val="24"/>
              </w:rPr>
              <w:t>Vidaus reikalų ministerija nesiūlo į Komisijos sudėtį įtraukti ir jos atstovą.</w:t>
            </w:r>
            <w:r w:rsidR="00131174">
              <w:rPr>
                <w:rFonts w:ascii="Times New Roman" w:hAnsi="Times New Roman" w:cs="Times New Roman"/>
                <w:sz w:val="24"/>
                <w:szCs w:val="24"/>
              </w:rPr>
              <w:t xml:space="preserve"> </w:t>
            </w:r>
            <w:r w:rsidR="00131174" w:rsidRPr="005958C2">
              <w:rPr>
                <w:rFonts w:ascii="Times New Roman" w:hAnsi="Times New Roman" w:cs="Times New Roman"/>
                <w:sz w:val="24"/>
                <w:szCs w:val="24"/>
              </w:rPr>
              <w:t xml:space="preserve">Projekte numatyta, kad </w:t>
            </w:r>
            <w:r w:rsidR="00131174">
              <w:rPr>
                <w:rFonts w:ascii="Times New Roman" w:hAnsi="Times New Roman" w:cs="Times New Roman"/>
                <w:sz w:val="24"/>
                <w:szCs w:val="24"/>
              </w:rPr>
              <w:t xml:space="preserve">komisijos veikloje </w:t>
            </w:r>
            <w:r w:rsidR="00131174" w:rsidRPr="005958C2">
              <w:rPr>
                <w:rFonts w:ascii="Times New Roman" w:hAnsi="Times New Roman" w:cs="Times New Roman"/>
                <w:color w:val="000000"/>
                <w:sz w:val="24"/>
                <w:szCs w:val="24"/>
              </w:rPr>
              <w:t>stebėtojo teisėmis dalyvau</w:t>
            </w:r>
            <w:r w:rsidR="00131174">
              <w:rPr>
                <w:rFonts w:ascii="Times New Roman" w:hAnsi="Times New Roman" w:cs="Times New Roman"/>
                <w:color w:val="000000"/>
                <w:sz w:val="24"/>
                <w:szCs w:val="24"/>
              </w:rPr>
              <w:t>s</w:t>
            </w:r>
            <w:r w:rsidR="00131174" w:rsidRPr="005958C2">
              <w:rPr>
                <w:rFonts w:ascii="Times New Roman" w:hAnsi="Times New Roman" w:cs="Times New Roman"/>
                <w:color w:val="000000"/>
                <w:sz w:val="24"/>
                <w:szCs w:val="24"/>
              </w:rPr>
              <w:t xml:space="preserve"> </w:t>
            </w:r>
            <w:r w:rsidR="00131174" w:rsidRPr="005958C2">
              <w:rPr>
                <w:rFonts w:ascii="Times New Roman" w:hAnsi="Times New Roman" w:cs="Times New Roman"/>
                <w:sz w:val="24"/>
                <w:szCs w:val="24"/>
              </w:rPr>
              <w:t xml:space="preserve">Policijos departamento prie </w:t>
            </w:r>
            <w:r w:rsidR="00131174">
              <w:rPr>
                <w:rFonts w:ascii="Times New Roman" w:hAnsi="Times New Roman" w:cs="Times New Roman"/>
                <w:sz w:val="24"/>
                <w:szCs w:val="24"/>
              </w:rPr>
              <w:t>V</w:t>
            </w:r>
            <w:r w:rsidR="00131174" w:rsidRPr="005958C2">
              <w:rPr>
                <w:rFonts w:ascii="Times New Roman" w:hAnsi="Times New Roman" w:cs="Times New Roman"/>
                <w:sz w:val="24"/>
                <w:szCs w:val="24"/>
              </w:rPr>
              <w:t>idaus reikalų ministerijos atstovas.</w:t>
            </w:r>
          </w:p>
        </w:tc>
      </w:tr>
      <w:tr w:rsidR="009938C2" w:rsidRPr="009D693B" w14:paraId="3169EDCE" w14:textId="77777777" w:rsidTr="00F976AC">
        <w:tc>
          <w:tcPr>
            <w:tcW w:w="0" w:type="auto"/>
          </w:tcPr>
          <w:p w14:paraId="3B8B32EB" w14:textId="30589B7F" w:rsidR="00192720" w:rsidRPr="009D693B" w:rsidRDefault="001A51F0" w:rsidP="00454F71">
            <w:pPr>
              <w:autoSpaceDE w:val="0"/>
              <w:autoSpaceDN w:val="0"/>
              <w:adjustRightInd w:val="0"/>
              <w:rPr>
                <w:rFonts w:ascii="Times New Roman" w:hAnsi="Times New Roman" w:cs="Times New Roman"/>
                <w:bCs/>
                <w:sz w:val="24"/>
                <w:szCs w:val="24"/>
              </w:rPr>
            </w:pPr>
            <w:bookmarkStart w:id="1" w:name="_GoBack"/>
            <w:bookmarkEnd w:id="1"/>
            <w:r>
              <w:rPr>
                <w:rFonts w:ascii="Times New Roman" w:hAnsi="Times New Roman" w:cs="Times New Roman"/>
                <w:bCs/>
                <w:sz w:val="24"/>
                <w:szCs w:val="24"/>
              </w:rPr>
              <w:t>2</w:t>
            </w:r>
            <w:r w:rsidR="00192720">
              <w:rPr>
                <w:rFonts w:ascii="Times New Roman" w:hAnsi="Times New Roman" w:cs="Times New Roman"/>
                <w:bCs/>
                <w:sz w:val="24"/>
                <w:szCs w:val="24"/>
              </w:rPr>
              <w:t>.</w:t>
            </w:r>
          </w:p>
        </w:tc>
        <w:tc>
          <w:tcPr>
            <w:tcW w:w="0" w:type="auto"/>
          </w:tcPr>
          <w:p w14:paraId="662D2DB9" w14:textId="6535C5BB" w:rsidR="00192720" w:rsidRPr="009D693B" w:rsidRDefault="001A51F0" w:rsidP="00454F71">
            <w:pPr>
              <w:rPr>
                <w:rFonts w:ascii="Times New Roman" w:hAnsi="Times New Roman" w:cs="Times New Roman"/>
                <w:sz w:val="24"/>
                <w:szCs w:val="24"/>
              </w:rPr>
            </w:pPr>
            <w:r w:rsidRPr="009D693B">
              <w:rPr>
                <w:rFonts w:ascii="Times New Roman" w:hAnsi="Times New Roman" w:cs="Times New Roman"/>
                <w:sz w:val="24"/>
                <w:szCs w:val="24"/>
              </w:rPr>
              <w:t>Lietuvos Respublikos vidaus reikalų ministerija</w:t>
            </w:r>
          </w:p>
        </w:tc>
        <w:tc>
          <w:tcPr>
            <w:tcW w:w="0" w:type="auto"/>
          </w:tcPr>
          <w:p w14:paraId="2F2B2F3C" w14:textId="0DFC9A28" w:rsidR="00192720" w:rsidRPr="009D693B" w:rsidRDefault="00192720" w:rsidP="00454F71">
            <w:pPr>
              <w:tabs>
                <w:tab w:val="left" w:pos="449"/>
                <w:tab w:val="left" w:pos="669"/>
              </w:tabs>
              <w:jc w:val="both"/>
              <w:rPr>
                <w:rFonts w:ascii="Times New Roman" w:hAnsi="Times New Roman" w:cs="Times New Roman"/>
                <w:bCs/>
                <w:sz w:val="24"/>
                <w:szCs w:val="24"/>
              </w:rPr>
            </w:pPr>
            <w:r w:rsidRPr="009D693B">
              <w:rPr>
                <w:rFonts w:ascii="Times New Roman" w:hAnsi="Times New Roman" w:cs="Times New Roman"/>
                <w:sz w:val="24"/>
                <w:szCs w:val="24"/>
              </w:rPr>
              <w:t xml:space="preserve">Analogiškais argumentais grįstume ir pastabą dėl projekto 5.1 papunkčio nuostatų. Manytume, kad šiame papunktyje įvardyti pasiūlymai </w:t>
            </w:r>
            <w:r w:rsidRPr="009D693B">
              <w:rPr>
                <w:rFonts w:ascii="Times New Roman" w:hAnsi="Times New Roman" w:cs="Times New Roman"/>
                <w:i/>
                <w:sz w:val="24"/>
                <w:szCs w:val="24"/>
              </w:rPr>
              <w:t>dėl valstybės institucijų</w:t>
            </w:r>
            <w:r w:rsidRPr="009D693B">
              <w:rPr>
                <w:rFonts w:ascii="Times New Roman" w:hAnsi="Times New Roman" w:cs="Times New Roman"/>
                <w:sz w:val="24"/>
                <w:szCs w:val="24"/>
              </w:rPr>
              <w:t xml:space="preserve"> ir įstaigų bei kitų organizacijų </w:t>
            </w:r>
            <w:r w:rsidRPr="009D693B">
              <w:rPr>
                <w:rFonts w:ascii="Times New Roman" w:hAnsi="Times New Roman" w:cs="Times New Roman"/>
                <w:i/>
                <w:sz w:val="24"/>
                <w:szCs w:val="24"/>
              </w:rPr>
              <w:t>veiklos tobulinimo intelektinės nuosavybės apsaugos srityje</w:t>
            </w:r>
            <w:r w:rsidRPr="009D693B">
              <w:rPr>
                <w:rFonts w:ascii="Times New Roman" w:hAnsi="Times New Roman" w:cs="Times New Roman"/>
                <w:sz w:val="24"/>
                <w:szCs w:val="24"/>
              </w:rPr>
              <w:t xml:space="preserve"> ir dėl valstybės institucijų ir įstaigų veiklos tikslų, uždavinių ir priemonių, susijusių su intelektine nuosavybe, nurodytų strateginio planavimo dokumentuose, apimtų ir pasiūlymus </w:t>
            </w:r>
            <w:r w:rsidRPr="009D693B">
              <w:rPr>
                <w:rFonts w:ascii="Times New Roman" w:hAnsi="Times New Roman" w:cs="Times New Roman"/>
                <w:i/>
                <w:sz w:val="24"/>
                <w:szCs w:val="24"/>
              </w:rPr>
              <w:t>valstybės institucijoms</w:t>
            </w:r>
            <w:r w:rsidRPr="009D693B">
              <w:rPr>
                <w:rFonts w:ascii="Times New Roman" w:hAnsi="Times New Roman" w:cs="Times New Roman"/>
                <w:sz w:val="24"/>
                <w:szCs w:val="24"/>
              </w:rPr>
              <w:t xml:space="preserve"> </w:t>
            </w:r>
            <w:r w:rsidRPr="009D693B">
              <w:rPr>
                <w:rFonts w:ascii="Times New Roman" w:hAnsi="Times New Roman" w:cs="Times New Roman"/>
                <w:i/>
                <w:sz w:val="24"/>
                <w:szCs w:val="24"/>
              </w:rPr>
              <w:t>dėl intelektinės nuosavybės politikos formavimo</w:t>
            </w:r>
            <w:r w:rsidRPr="009D693B">
              <w:rPr>
                <w:rFonts w:ascii="Times New Roman" w:hAnsi="Times New Roman" w:cs="Times New Roman"/>
                <w:sz w:val="24"/>
                <w:szCs w:val="24"/>
              </w:rPr>
              <w:t xml:space="preserve"> (jei turimi galvoje pasiūlymai ministerijoms, kurios, formuodamos valstybės politiką ministrams pavestose valdymo srityse, t. y. vykdydamos pagrindinę savo veiklą, paliečia ir klausimus, susijusius su intelektine nuosavybe).</w:t>
            </w:r>
          </w:p>
        </w:tc>
        <w:tc>
          <w:tcPr>
            <w:tcW w:w="0" w:type="auto"/>
          </w:tcPr>
          <w:p w14:paraId="2BB748A0" w14:textId="4FFD9002" w:rsidR="00E70D03" w:rsidRPr="00E70D03" w:rsidRDefault="00D766CE" w:rsidP="009938C2">
            <w:pPr>
              <w:jc w:val="both"/>
              <w:rPr>
                <w:rFonts w:ascii="Times New Roman" w:hAnsi="Times New Roman" w:cs="Times New Roman"/>
                <w:sz w:val="24"/>
                <w:szCs w:val="24"/>
              </w:rPr>
            </w:pPr>
            <w:r w:rsidRPr="00E70D03">
              <w:rPr>
                <w:rFonts w:ascii="Times New Roman" w:hAnsi="Times New Roman" w:cs="Times New Roman"/>
                <w:b/>
                <w:sz w:val="24"/>
                <w:szCs w:val="24"/>
              </w:rPr>
              <w:t xml:space="preserve">Neatsižvelgta. </w:t>
            </w:r>
            <w:r w:rsidR="00E70D03" w:rsidRPr="00E70D03">
              <w:rPr>
                <w:rFonts w:ascii="Times New Roman" w:hAnsi="Times New Roman" w:cs="Times New Roman"/>
                <w:sz w:val="24"/>
                <w:szCs w:val="24"/>
              </w:rPr>
              <w:t xml:space="preserve">Projekto 5.1 papunktyje nurodyti pasiūlymai valstybės institucijoms dėl intelektinės nuosavybės </w:t>
            </w:r>
            <w:r w:rsidR="00E70D03" w:rsidRPr="00E70D03">
              <w:rPr>
                <w:rFonts w:ascii="Times New Roman" w:hAnsi="Times New Roman" w:cs="Times New Roman"/>
                <w:sz w:val="24"/>
                <w:szCs w:val="24"/>
                <w:u w:val="single"/>
              </w:rPr>
              <w:t>politikos formavimo</w:t>
            </w:r>
            <w:r w:rsidR="00E70D03" w:rsidRPr="00E70D03">
              <w:rPr>
                <w:rFonts w:ascii="Times New Roman" w:hAnsi="Times New Roman" w:cs="Times New Roman"/>
                <w:sz w:val="24"/>
                <w:szCs w:val="24"/>
              </w:rPr>
              <w:t xml:space="preserve">. </w:t>
            </w:r>
            <w:r w:rsidR="00E70D03">
              <w:rPr>
                <w:rFonts w:ascii="Times New Roman" w:hAnsi="Times New Roman" w:cs="Times New Roman"/>
                <w:sz w:val="24"/>
                <w:szCs w:val="24"/>
              </w:rPr>
              <w:t>Tokie pasiūlymai galėtų</w:t>
            </w:r>
            <w:r w:rsidR="00E70D03" w:rsidRPr="00E70D03">
              <w:rPr>
                <w:rFonts w:ascii="Times New Roman" w:hAnsi="Times New Roman" w:cs="Times New Roman"/>
                <w:sz w:val="24"/>
                <w:szCs w:val="24"/>
              </w:rPr>
              <w:t xml:space="preserve"> būti įvairaus detalumo</w:t>
            </w:r>
            <w:r w:rsidR="00E70D03">
              <w:rPr>
                <w:rFonts w:ascii="Times New Roman" w:hAnsi="Times New Roman" w:cs="Times New Roman"/>
                <w:sz w:val="24"/>
                <w:szCs w:val="24"/>
              </w:rPr>
              <w:t>,</w:t>
            </w:r>
            <w:r w:rsidR="00E70D03" w:rsidRPr="00E70D03">
              <w:rPr>
                <w:rFonts w:ascii="Times New Roman" w:hAnsi="Times New Roman" w:cs="Times New Roman"/>
                <w:sz w:val="24"/>
                <w:szCs w:val="24"/>
              </w:rPr>
              <w:t xml:space="preserve"> konkretumo</w:t>
            </w:r>
            <w:r w:rsidR="00E70D03">
              <w:rPr>
                <w:rFonts w:ascii="Times New Roman" w:hAnsi="Times New Roman" w:cs="Times New Roman"/>
                <w:sz w:val="24"/>
                <w:szCs w:val="24"/>
              </w:rPr>
              <w:t xml:space="preserve"> ir pobūdžio</w:t>
            </w:r>
            <w:r w:rsidR="00E70D03" w:rsidRPr="00E70D03">
              <w:rPr>
                <w:rFonts w:ascii="Times New Roman" w:hAnsi="Times New Roman" w:cs="Times New Roman"/>
                <w:sz w:val="24"/>
                <w:szCs w:val="24"/>
              </w:rPr>
              <w:t xml:space="preserve">. </w:t>
            </w:r>
            <w:r w:rsidR="00E70D03">
              <w:rPr>
                <w:rFonts w:ascii="Times New Roman" w:hAnsi="Times New Roman" w:cs="Times New Roman"/>
                <w:sz w:val="24"/>
                <w:szCs w:val="24"/>
              </w:rPr>
              <w:t>Tuo tarpu p</w:t>
            </w:r>
            <w:r w:rsidR="00E70D03" w:rsidRPr="00E70D03">
              <w:rPr>
                <w:rFonts w:ascii="Times New Roman" w:hAnsi="Times New Roman" w:cs="Times New Roman"/>
                <w:sz w:val="24"/>
                <w:szCs w:val="24"/>
              </w:rPr>
              <w:t>rojekto 5.</w:t>
            </w:r>
            <w:r w:rsidR="00E70D03">
              <w:rPr>
                <w:rFonts w:ascii="Times New Roman" w:hAnsi="Times New Roman" w:cs="Times New Roman"/>
                <w:sz w:val="24"/>
                <w:szCs w:val="24"/>
              </w:rPr>
              <w:t>2</w:t>
            </w:r>
            <w:r w:rsidR="00E70D03" w:rsidRPr="00E70D03">
              <w:rPr>
                <w:rFonts w:ascii="Times New Roman" w:hAnsi="Times New Roman" w:cs="Times New Roman"/>
                <w:sz w:val="24"/>
                <w:szCs w:val="24"/>
              </w:rPr>
              <w:t xml:space="preserve"> papunktyje nurodyti pasiūlymai</w:t>
            </w:r>
            <w:r w:rsidR="009938C2">
              <w:rPr>
                <w:rFonts w:ascii="Times New Roman" w:hAnsi="Times New Roman" w:cs="Times New Roman"/>
                <w:sz w:val="24"/>
                <w:szCs w:val="24"/>
              </w:rPr>
              <w:t xml:space="preserve">, kurie yra susiję su intelektinės nuosavybės </w:t>
            </w:r>
            <w:r w:rsidR="009938C2" w:rsidRPr="009938C2">
              <w:rPr>
                <w:rFonts w:ascii="Times New Roman" w:hAnsi="Times New Roman" w:cs="Times New Roman"/>
                <w:sz w:val="24"/>
                <w:szCs w:val="24"/>
                <w:u w:val="single"/>
              </w:rPr>
              <w:t>politikos įgyvendinimu</w:t>
            </w:r>
            <w:r w:rsidR="009938C2">
              <w:rPr>
                <w:rFonts w:ascii="Times New Roman" w:hAnsi="Times New Roman" w:cs="Times New Roman"/>
                <w:sz w:val="24"/>
                <w:szCs w:val="24"/>
              </w:rPr>
              <w:t xml:space="preserve">: pasiūlymai dėl </w:t>
            </w:r>
            <w:r w:rsidR="00E70D03">
              <w:rPr>
                <w:rFonts w:ascii="Times New Roman" w:hAnsi="Times New Roman" w:cs="Times New Roman"/>
                <w:sz w:val="24"/>
                <w:szCs w:val="24"/>
              </w:rPr>
              <w:t>valstybės institucij</w:t>
            </w:r>
            <w:r w:rsidR="009938C2">
              <w:rPr>
                <w:rFonts w:ascii="Times New Roman" w:hAnsi="Times New Roman" w:cs="Times New Roman"/>
                <w:sz w:val="24"/>
                <w:szCs w:val="24"/>
              </w:rPr>
              <w:t>ų</w:t>
            </w:r>
            <w:r w:rsidR="00E70D03">
              <w:rPr>
                <w:rFonts w:ascii="Times New Roman" w:hAnsi="Times New Roman" w:cs="Times New Roman"/>
                <w:sz w:val="24"/>
                <w:szCs w:val="24"/>
              </w:rPr>
              <w:t xml:space="preserve"> ir įstaig</w:t>
            </w:r>
            <w:r w:rsidR="009938C2">
              <w:rPr>
                <w:rFonts w:ascii="Times New Roman" w:hAnsi="Times New Roman" w:cs="Times New Roman"/>
                <w:sz w:val="24"/>
                <w:szCs w:val="24"/>
              </w:rPr>
              <w:t>ų</w:t>
            </w:r>
            <w:r w:rsidR="00E70D03" w:rsidRPr="00E70D03">
              <w:rPr>
                <w:rFonts w:ascii="Times New Roman" w:hAnsi="Times New Roman" w:cs="Times New Roman"/>
                <w:sz w:val="24"/>
                <w:szCs w:val="24"/>
              </w:rPr>
              <w:t xml:space="preserve"> bei </w:t>
            </w:r>
            <w:r w:rsidR="009938C2">
              <w:rPr>
                <w:rFonts w:ascii="Times New Roman" w:hAnsi="Times New Roman" w:cs="Times New Roman"/>
                <w:sz w:val="24"/>
                <w:szCs w:val="24"/>
              </w:rPr>
              <w:t>kitų</w:t>
            </w:r>
            <w:r w:rsidR="00E70D03" w:rsidRPr="00E70D03">
              <w:rPr>
                <w:rFonts w:ascii="Times New Roman" w:hAnsi="Times New Roman" w:cs="Times New Roman"/>
                <w:sz w:val="24"/>
                <w:szCs w:val="24"/>
              </w:rPr>
              <w:t xml:space="preserve"> organizacij</w:t>
            </w:r>
            <w:r w:rsidR="009938C2">
              <w:rPr>
                <w:rFonts w:ascii="Times New Roman" w:hAnsi="Times New Roman" w:cs="Times New Roman"/>
                <w:sz w:val="24"/>
                <w:szCs w:val="24"/>
              </w:rPr>
              <w:t>ų</w:t>
            </w:r>
            <w:r w:rsidR="00E70D03">
              <w:rPr>
                <w:rFonts w:ascii="Times New Roman" w:hAnsi="Times New Roman" w:cs="Times New Roman"/>
                <w:sz w:val="24"/>
                <w:szCs w:val="24"/>
              </w:rPr>
              <w:t xml:space="preserve"> </w:t>
            </w:r>
            <w:r w:rsidR="00E70D03" w:rsidRPr="00E70D03">
              <w:rPr>
                <w:rFonts w:ascii="Times New Roman" w:hAnsi="Times New Roman" w:cs="Times New Roman"/>
                <w:sz w:val="24"/>
                <w:szCs w:val="24"/>
                <w:u w:val="single"/>
              </w:rPr>
              <w:t>veiklos tobulinimo</w:t>
            </w:r>
            <w:r w:rsidR="00E70D03" w:rsidRPr="009938C2">
              <w:rPr>
                <w:rFonts w:ascii="Times New Roman" w:hAnsi="Times New Roman" w:cs="Times New Roman"/>
                <w:sz w:val="24"/>
                <w:szCs w:val="24"/>
              </w:rPr>
              <w:t xml:space="preserve"> intelektinės nuosavybės apsaugos srityje</w:t>
            </w:r>
            <w:r w:rsidR="00E70D03" w:rsidRPr="00E70D03">
              <w:rPr>
                <w:rFonts w:ascii="Times New Roman" w:hAnsi="Times New Roman" w:cs="Times New Roman"/>
                <w:sz w:val="24"/>
                <w:szCs w:val="24"/>
              </w:rPr>
              <w:t xml:space="preserve"> ir dėl </w:t>
            </w:r>
            <w:r w:rsidR="009938C2" w:rsidRPr="009938C2">
              <w:rPr>
                <w:rFonts w:ascii="Times New Roman" w:hAnsi="Times New Roman" w:cs="Times New Roman"/>
                <w:sz w:val="24"/>
                <w:szCs w:val="24"/>
                <w:u w:val="single"/>
              </w:rPr>
              <w:t>strateginio planavimo</w:t>
            </w:r>
            <w:r w:rsidR="009938C2">
              <w:rPr>
                <w:rFonts w:ascii="Times New Roman" w:hAnsi="Times New Roman" w:cs="Times New Roman"/>
                <w:sz w:val="24"/>
                <w:szCs w:val="24"/>
              </w:rPr>
              <w:t xml:space="preserve"> dokumentuose formuluojamų </w:t>
            </w:r>
            <w:r w:rsidR="00E70D03" w:rsidRPr="00E70D03">
              <w:rPr>
                <w:rFonts w:ascii="Times New Roman" w:hAnsi="Times New Roman" w:cs="Times New Roman"/>
                <w:sz w:val="24"/>
                <w:szCs w:val="24"/>
              </w:rPr>
              <w:t>valstybės institucijų ir įstaigų veiklos tikslų, uždavinių</w:t>
            </w:r>
            <w:r w:rsidR="009938C2">
              <w:rPr>
                <w:rFonts w:ascii="Times New Roman" w:hAnsi="Times New Roman" w:cs="Times New Roman"/>
                <w:sz w:val="24"/>
                <w:szCs w:val="24"/>
              </w:rPr>
              <w:t xml:space="preserve"> ir </w:t>
            </w:r>
            <w:r w:rsidR="00E70D03" w:rsidRPr="00E70D03">
              <w:rPr>
                <w:rFonts w:ascii="Times New Roman" w:hAnsi="Times New Roman" w:cs="Times New Roman"/>
                <w:sz w:val="24"/>
                <w:szCs w:val="24"/>
              </w:rPr>
              <w:t>priemonių</w:t>
            </w:r>
            <w:r w:rsidR="00E70D03">
              <w:rPr>
                <w:rFonts w:ascii="Times New Roman" w:hAnsi="Times New Roman" w:cs="Times New Roman"/>
                <w:sz w:val="24"/>
                <w:szCs w:val="24"/>
              </w:rPr>
              <w:t xml:space="preserve">. Taigi, darytina išvada, kad projekto </w:t>
            </w:r>
            <w:r w:rsidR="00E70D03" w:rsidRPr="00E70D03">
              <w:rPr>
                <w:rFonts w:ascii="Times New Roman" w:hAnsi="Times New Roman" w:cs="Times New Roman"/>
                <w:sz w:val="24"/>
                <w:szCs w:val="24"/>
              </w:rPr>
              <w:t xml:space="preserve">5.1 </w:t>
            </w:r>
            <w:r w:rsidR="00E70D03">
              <w:rPr>
                <w:rFonts w:ascii="Times New Roman" w:hAnsi="Times New Roman" w:cs="Times New Roman"/>
                <w:sz w:val="24"/>
                <w:szCs w:val="24"/>
              </w:rPr>
              <w:t xml:space="preserve">ir 5.2 </w:t>
            </w:r>
            <w:r w:rsidR="00E70D03" w:rsidRPr="00E70D03">
              <w:rPr>
                <w:rFonts w:ascii="Times New Roman" w:hAnsi="Times New Roman" w:cs="Times New Roman"/>
                <w:sz w:val="24"/>
                <w:szCs w:val="24"/>
              </w:rPr>
              <w:t>pa</w:t>
            </w:r>
            <w:r w:rsidR="00E70D03">
              <w:rPr>
                <w:rFonts w:ascii="Times New Roman" w:hAnsi="Times New Roman" w:cs="Times New Roman"/>
                <w:sz w:val="24"/>
                <w:szCs w:val="24"/>
              </w:rPr>
              <w:t xml:space="preserve">punkčiuose </w:t>
            </w:r>
            <w:r w:rsidR="007D241D">
              <w:rPr>
                <w:rFonts w:ascii="Times New Roman" w:hAnsi="Times New Roman" w:cs="Times New Roman"/>
                <w:sz w:val="24"/>
                <w:szCs w:val="24"/>
              </w:rPr>
              <w:t>nurodyti skirtingo pobūdžio pasiūlymai.</w:t>
            </w:r>
          </w:p>
        </w:tc>
      </w:tr>
      <w:tr w:rsidR="005936A2" w:rsidRPr="009D693B" w14:paraId="5B18DD3F" w14:textId="77777777" w:rsidTr="00F976AC">
        <w:tc>
          <w:tcPr>
            <w:tcW w:w="0" w:type="auto"/>
          </w:tcPr>
          <w:p w14:paraId="037E2292" w14:textId="68595B35" w:rsidR="00192720" w:rsidRPr="009D693B" w:rsidRDefault="001A51F0"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w:t>
            </w:r>
            <w:r w:rsidR="00192720">
              <w:rPr>
                <w:rFonts w:ascii="Times New Roman" w:hAnsi="Times New Roman" w:cs="Times New Roman"/>
                <w:bCs/>
                <w:sz w:val="24"/>
                <w:szCs w:val="24"/>
              </w:rPr>
              <w:t>.</w:t>
            </w:r>
          </w:p>
        </w:tc>
        <w:tc>
          <w:tcPr>
            <w:tcW w:w="0" w:type="auto"/>
          </w:tcPr>
          <w:p w14:paraId="1900E022" w14:textId="77777777" w:rsidR="00192720" w:rsidRPr="009D693B" w:rsidRDefault="00192720" w:rsidP="00454F71">
            <w:pPr>
              <w:rPr>
                <w:rFonts w:ascii="Times New Roman" w:hAnsi="Times New Roman" w:cs="Times New Roman"/>
                <w:sz w:val="24"/>
                <w:szCs w:val="24"/>
              </w:rPr>
            </w:pPr>
          </w:p>
        </w:tc>
        <w:tc>
          <w:tcPr>
            <w:tcW w:w="0" w:type="auto"/>
          </w:tcPr>
          <w:p w14:paraId="51A32874" w14:textId="29B9757B" w:rsidR="00192720" w:rsidRPr="009D693B" w:rsidRDefault="00192720" w:rsidP="00454F71">
            <w:pPr>
              <w:tabs>
                <w:tab w:val="left" w:pos="449"/>
                <w:tab w:val="left" w:pos="669"/>
              </w:tabs>
              <w:jc w:val="both"/>
              <w:rPr>
                <w:rFonts w:ascii="Times New Roman" w:hAnsi="Times New Roman" w:cs="Times New Roman"/>
                <w:sz w:val="24"/>
                <w:szCs w:val="24"/>
              </w:rPr>
            </w:pPr>
            <w:r w:rsidRPr="009D693B">
              <w:rPr>
                <w:rFonts w:ascii="Times New Roman" w:hAnsi="Times New Roman" w:cs="Times New Roman"/>
                <w:sz w:val="24"/>
                <w:szCs w:val="24"/>
              </w:rPr>
              <w:t xml:space="preserve">Atskirai norėtume atkreipti projekto rengėjų dėmesį į tai, kad Lietuvos Respublikos Vyriausybės 2010 m. kovo 24 d. nutarime Nr. 330 „Dėl ministrams pavedamų valdymo sričių“ intelektinė nuosavybė nėra įvardijama kaip atskira valdymo sritis, todėl projekte neturėtų būti vartojamos formuluotės, kuriomis pasisakoma apie </w:t>
            </w:r>
            <w:r w:rsidRPr="00F3529E">
              <w:rPr>
                <w:rFonts w:ascii="Times New Roman" w:hAnsi="Times New Roman" w:cs="Times New Roman"/>
                <w:sz w:val="24"/>
                <w:szCs w:val="24"/>
              </w:rPr>
              <w:t>valstybės politikos intelektinės nuosavybės apsaugos srityje formavimą ir įgyvendinimą.</w:t>
            </w:r>
          </w:p>
        </w:tc>
        <w:tc>
          <w:tcPr>
            <w:tcW w:w="0" w:type="auto"/>
          </w:tcPr>
          <w:p w14:paraId="7B53DB81" w14:textId="7C72902F" w:rsidR="00192720" w:rsidRPr="00296380" w:rsidRDefault="00296380" w:rsidP="005936A2">
            <w:pPr>
              <w:jc w:val="both"/>
              <w:rPr>
                <w:rFonts w:ascii="Times New Roman" w:hAnsi="Times New Roman" w:cs="Times New Roman"/>
                <w:b/>
                <w:sz w:val="24"/>
                <w:szCs w:val="24"/>
              </w:rPr>
            </w:pPr>
            <w:r w:rsidRPr="00296380">
              <w:rPr>
                <w:rFonts w:ascii="Times New Roman" w:hAnsi="Times New Roman" w:cs="Times New Roman"/>
                <w:b/>
                <w:sz w:val="24"/>
                <w:szCs w:val="24"/>
              </w:rPr>
              <w:t xml:space="preserve">Neatsižvelgta. </w:t>
            </w:r>
            <w:r w:rsidRPr="00296380">
              <w:rPr>
                <w:rFonts w:ascii="Times New Roman" w:hAnsi="Times New Roman" w:cs="Times New Roman"/>
                <w:sz w:val="24"/>
                <w:szCs w:val="24"/>
              </w:rPr>
              <w:t>Kadangi valstybės politikos intelektinės nuosavybės apsaugos srityje formavimas ir įgyvendinimas nėra priskirtas vienam ministrui, kyla poreikis sudaryti komisiją dėl intelektinės nuosavybės apsaugos koordinavimo</w:t>
            </w:r>
            <w:r>
              <w:rPr>
                <w:rFonts w:ascii="Times New Roman" w:hAnsi="Times New Roman" w:cs="Times New Roman"/>
                <w:sz w:val="24"/>
                <w:szCs w:val="24"/>
              </w:rPr>
              <w:t>. Visuotinai pripažįstama (pavyzdžiui, Pasaulio intelektinės nuosavybės organizacijos, Europos Sąjungos, Ekonominio bendradarbiavimo ir plėtros organizacijos dokumentuose), kad intel</w:t>
            </w:r>
            <w:r w:rsidR="005936A2">
              <w:rPr>
                <w:rFonts w:ascii="Times New Roman" w:hAnsi="Times New Roman" w:cs="Times New Roman"/>
                <w:sz w:val="24"/>
                <w:szCs w:val="24"/>
              </w:rPr>
              <w:t xml:space="preserve">ektinės nuosavybės </w:t>
            </w:r>
            <w:r w:rsidR="005936A2">
              <w:rPr>
                <w:rFonts w:ascii="Times New Roman" w:hAnsi="Times New Roman" w:cs="Times New Roman"/>
                <w:sz w:val="24"/>
                <w:szCs w:val="24"/>
              </w:rPr>
              <w:lastRenderedPageBreak/>
              <w:t>apsauga yra viena iš svarbiausių valdymo sričių valstybėse su pažangia ekonomikos sistema.</w:t>
            </w:r>
          </w:p>
        </w:tc>
      </w:tr>
      <w:tr w:rsidR="009938C2" w:rsidRPr="009D693B" w14:paraId="6F7B63A6" w14:textId="77777777" w:rsidTr="00F976AC">
        <w:tc>
          <w:tcPr>
            <w:tcW w:w="0" w:type="auto"/>
          </w:tcPr>
          <w:p w14:paraId="7C290761" w14:textId="58F418E2" w:rsidR="00192720" w:rsidRPr="009D693B" w:rsidRDefault="001A51F0"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4</w:t>
            </w:r>
            <w:r w:rsidR="00192720">
              <w:rPr>
                <w:rFonts w:ascii="Times New Roman" w:hAnsi="Times New Roman" w:cs="Times New Roman"/>
                <w:bCs/>
                <w:sz w:val="24"/>
                <w:szCs w:val="24"/>
              </w:rPr>
              <w:t>.</w:t>
            </w:r>
          </w:p>
        </w:tc>
        <w:tc>
          <w:tcPr>
            <w:tcW w:w="0" w:type="auto"/>
          </w:tcPr>
          <w:p w14:paraId="4D0D10C5" w14:textId="14F7BDF1" w:rsidR="00192720" w:rsidRPr="009D693B" w:rsidRDefault="00192720" w:rsidP="00454F71">
            <w:pPr>
              <w:rPr>
                <w:rFonts w:ascii="Times New Roman" w:hAnsi="Times New Roman" w:cs="Times New Roman"/>
                <w:sz w:val="24"/>
                <w:szCs w:val="24"/>
              </w:rPr>
            </w:pPr>
            <w:r>
              <w:rPr>
                <w:rFonts w:ascii="Times New Roman" w:hAnsi="Times New Roman" w:cs="Times New Roman"/>
                <w:sz w:val="24"/>
                <w:szCs w:val="24"/>
              </w:rPr>
              <w:t>Lietuvos advokatūra</w:t>
            </w:r>
          </w:p>
        </w:tc>
        <w:tc>
          <w:tcPr>
            <w:tcW w:w="0" w:type="auto"/>
          </w:tcPr>
          <w:p w14:paraId="09492B37" w14:textId="5CB65AE4" w:rsidR="00192720" w:rsidRPr="009D693B" w:rsidRDefault="00192720" w:rsidP="00454F71">
            <w:pPr>
              <w:tabs>
                <w:tab w:val="left" w:pos="449"/>
                <w:tab w:val="left" w:pos="669"/>
              </w:tabs>
              <w:jc w:val="both"/>
              <w:rPr>
                <w:rFonts w:ascii="Times New Roman" w:hAnsi="Times New Roman" w:cs="Times New Roman"/>
                <w:sz w:val="24"/>
                <w:szCs w:val="24"/>
              </w:rPr>
            </w:pPr>
            <w:r>
              <w:rPr>
                <w:rFonts w:ascii="Times New Roman" w:hAnsi="Times New Roman" w:cs="Times New Roman"/>
                <w:sz w:val="24"/>
                <w:szCs w:val="24"/>
              </w:rPr>
              <w:t>Prašoma Lietuvos advokatūros atstovą įtraukti į pagrindinę Komisijos sudėtį.</w:t>
            </w:r>
          </w:p>
        </w:tc>
        <w:tc>
          <w:tcPr>
            <w:tcW w:w="0" w:type="auto"/>
          </w:tcPr>
          <w:p w14:paraId="107553D1" w14:textId="77777777" w:rsidR="00192720" w:rsidRPr="00192720" w:rsidRDefault="00192720" w:rsidP="00454F71">
            <w:pPr>
              <w:jc w:val="both"/>
              <w:rPr>
                <w:rFonts w:ascii="Times New Roman" w:hAnsi="Times New Roman" w:cs="Times New Roman"/>
                <w:sz w:val="24"/>
                <w:szCs w:val="24"/>
              </w:rPr>
            </w:pPr>
            <w:r w:rsidRPr="00192720">
              <w:rPr>
                <w:rFonts w:ascii="Times New Roman" w:hAnsi="Times New Roman" w:cs="Times New Roman"/>
                <w:b/>
                <w:sz w:val="24"/>
                <w:szCs w:val="24"/>
              </w:rPr>
              <w:t xml:space="preserve">Neatsižvelgta. </w:t>
            </w:r>
            <w:r w:rsidRPr="00192720">
              <w:rPr>
                <w:rFonts w:ascii="Times New Roman" w:hAnsi="Times New Roman" w:cs="Times New Roman"/>
                <w:sz w:val="24"/>
                <w:szCs w:val="24"/>
              </w:rPr>
              <w:t xml:space="preserve">Lietuvos advokatūra </w:t>
            </w:r>
            <w:r>
              <w:rPr>
                <w:rFonts w:ascii="Times New Roman" w:hAnsi="Times New Roman" w:cs="Times New Roman"/>
                <w:sz w:val="24"/>
                <w:szCs w:val="24"/>
              </w:rPr>
              <w:t xml:space="preserve">nėra atsakinga už </w:t>
            </w:r>
            <w:r w:rsidRPr="00192720">
              <w:rPr>
                <w:rFonts w:ascii="Times New Roman" w:hAnsi="Times New Roman" w:cs="Times New Roman"/>
                <w:sz w:val="24"/>
                <w:szCs w:val="24"/>
              </w:rPr>
              <w:t>valstybės politik</w:t>
            </w:r>
            <w:r>
              <w:rPr>
                <w:rFonts w:ascii="Times New Roman" w:hAnsi="Times New Roman" w:cs="Times New Roman"/>
                <w:sz w:val="24"/>
                <w:szCs w:val="24"/>
              </w:rPr>
              <w:t>os</w:t>
            </w:r>
            <w:r w:rsidRPr="00192720">
              <w:rPr>
                <w:rFonts w:ascii="Times New Roman" w:hAnsi="Times New Roman" w:cs="Times New Roman"/>
                <w:sz w:val="24"/>
                <w:szCs w:val="24"/>
              </w:rPr>
              <w:t xml:space="preserve"> dėl intelektinės nuosavybės apsaugos klausimų formavimą ar įgyvendinimą. </w:t>
            </w:r>
          </w:p>
          <w:p w14:paraId="570B81B2" w14:textId="71407172" w:rsidR="00192720" w:rsidRPr="00192720" w:rsidRDefault="00192720" w:rsidP="00454F71">
            <w:pPr>
              <w:jc w:val="both"/>
              <w:rPr>
                <w:rFonts w:ascii="Times New Roman" w:hAnsi="Times New Roman" w:cs="Times New Roman"/>
                <w:b/>
                <w:sz w:val="24"/>
                <w:szCs w:val="24"/>
              </w:rPr>
            </w:pPr>
            <w:r w:rsidRPr="00192720">
              <w:rPr>
                <w:rFonts w:ascii="Times New Roman" w:hAnsi="Times New Roman" w:cs="Times New Roman"/>
                <w:sz w:val="24"/>
                <w:szCs w:val="24"/>
              </w:rPr>
              <w:t xml:space="preserve">Be to, projekte numatoma, kad Patentinių patikėtinių instituto atstovas taip pat </w:t>
            </w:r>
            <w:r>
              <w:rPr>
                <w:rFonts w:ascii="Times New Roman" w:hAnsi="Times New Roman" w:cs="Times New Roman"/>
                <w:sz w:val="24"/>
                <w:szCs w:val="24"/>
              </w:rPr>
              <w:t>kviečiamas</w:t>
            </w:r>
            <w:r w:rsidRPr="00192720">
              <w:rPr>
                <w:rFonts w:ascii="Times New Roman" w:hAnsi="Times New Roman" w:cs="Times New Roman"/>
                <w:sz w:val="24"/>
                <w:szCs w:val="24"/>
              </w:rPr>
              <w:t xml:space="preserve"> </w:t>
            </w:r>
            <w:r>
              <w:rPr>
                <w:rFonts w:ascii="Times New Roman" w:hAnsi="Times New Roman" w:cs="Times New Roman"/>
                <w:sz w:val="24"/>
                <w:szCs w:val="24"/>
              </w:rPr>
              <w:t xml:space="preserve">dalyvauti </w:t>
            </w:r>
            <w:r w:rsidRPr="00192720">
              <w:rPr>
                <w:rFonts w:ascii="Times New Roman" w:hAnsi="Times New Roman" w:cs="Times New Roman"/>
                <w:sz w:val="24"/>
                <w:szCs w:val="24"/>
              </w:rPr>
              <w:t xml:space="preserve">stebėtojo teisėmis. </w:t>
            </w:r>
          </w:p>
        </w:tc>
      </w:tr>
    </w:tbl>
    <w:p w14:paraId="47D4BCD8" w14:textId="494A64CE" w:rsidR="006E04B1" w:rsidRPr="00745393" w:rsidRDefault="000E1741" w:rsidP="00454F71">
      <w:pPr>
        <w:spacing w:line="240" w:lineRule="auto"/>
        <w:rPr>
          <w:rFonts w:ascii="Times New Roman" w:hAnsi="Times New Roman" w:cs="Times New Roman"/>
          <w:sz w:val="24"/>
          <w:szCs w:val="24"/>
        </w:rPr>
      </w:pPr>
    </w:p>
    <w:sectPr w:rsidR="006E04B1" w:rsidRPr="00745393" w:rsidSect="00454F71">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C5A28" w14:textId="77777777" w:rsidR="000E1741" w:rsidRDefault="000E1741" w:rsidP="00937A4B">
      <w:pPr>
        <w:spacing w:after="0" w:line="240" w:lineRule="auto"/>
      </w:pPr>
      <w:r>
        <w:separator/>
      </w:r>
    </w:p>
  </w:endnote>
  <w:endnote w:type="continuationSeparator" w:id="0">
    <w:p w14:paraId="65C03041" w14:textId="77777777" w:rsidR="000E1741" w:rsidRDefault="000E1741"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8C022" w14:textId="77777777" w:rsidR="000E1741" w:rsidRDefault="000E1741" w:rsidP="00937A4B">
      <w:pPr>
        <w:spacing w:after="0" w:line="240" w:lineRule="auto"/>
      </w:pPr>
      <w:r>
        <w:separator/>
      </w:r>
    </w:p>
  </w:footnote>
  <w:footnote w:type="continuationSeparator" w:id="0">
    <w:p w14:paraId="256DD7AB" w14:textId="77777777" w:rsidR="000E1741" w:rsidRDefault="000E1741"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14:paraId="3220F6DD" w14:textId="77777777"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1A51F0">
          <w:rPr>
            <w:rFonts w:ascii="Times New Roman" w:hAnsi="Times New Roman" w:cs="Times New Roman"/>
            <w:noProof/>
            <w:sz w:val="24"/>
            <w:szCs w:val="24"/>
          </w:rPr>
          <w:t>2</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6951"/>
    <w:multiLevelType w:val="hybridMultilevel"/>
    <w:tmpl w:val="1E0AAE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49070F"/>
    <w:multiLevelType w:val="hybridMultilevel"/>
    <w:tmpl w:val="1E9CB74A"/>
    <w:lvl w:ilvl="0" w:tplc="FFFFFFF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231370C"/>
    <w:multiLevelType w:val="hybridMultilevel"/>
    <w:tmpl w:val="86D8A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EF0596"/>
    <w:multiLevelType w:val="hybridMultilevel"/>
    <w:tmpl w:val="F71EE5B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997D56"/>
    <w:multiLevelType w:val="hybridMultilevel"/>
    <w:tmpl w:val="08C23B6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1"/>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0"/>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255DD"/>
    <w:rsid w:val="0005772C"/>
    <w:rsid w:val="00072740"/>
    <w:rsid w:val="000A4574"/>
    <w:rsid w:val="000B5BCA"/>
    <w:rsid w:val="000E1741"/>
    <w:rsid w:val="000E5D71"/>
    <w:rsid w:val="000F2281"/>
    <w:rsid w:val="00131174"/>
    <w:rsid w:val="00172A7F"/>
    <w:rsid w:val="0018631F"/>
    <w:rsid w:val="00192720"/>
    <w:rsid w:val="001A1A16"/>
    <w:rsid w:val="001A51F0"/>
    <w:rsid w:val="001B1FCA"/>
    <w:rsid w:val="00225500"/>
    <w:rsid w:val="002929B5"/>
    <w:rsid w:val="00296380"/>
    <w:rsid w:val="0034611C"/>
    <w:rsid w:val="00394A2A"/>
    <w:rsid w:val="003A5432"/>
    <w:rsid w:val="00401849"/>
    <w:rsid w:val="00454F71"/>
    <w:rsid w:val="00491FFE"/>
    <w:rsid w:val="004C4ED2"/>
    <w:rsid w:val="004D25BE"/>
    <w:rsid w:val="004E59AF"/>
    <w:rsid w:val="0050704D"/>
    <w:rsid w:val="00527302"/>
    <w:rsid w:val="00544A0C"/>
    <w:rsid w:val="00581A97"/>
    <w:rsid w:val="00586FDC"/>
    <w:rsid w:val="0059051C"/>
    <w:rsid w:val="005936A2"/>
    <w:rsid w:val="005958C2"/>
    <w:rsid w:val="005B20B0"/>
    <w:rsid w:val="005B47C1"/>
    <w:rsid w:val="005D4A3B"/>
    <w:rsid w:val="005E3CA0"/>
    <w:rsid w:val="00614D4E"/>
    <w:rsid w:val="006961BB"/>
    <w:rsid w:val="006D69B6"/>
    <w:rsid w:val="006E7B10"/>
    <w:rsid w:val="00714586"/>
    <w:rsid w:val="00745393"/>
    <w:rsid w:val="0075042F"/>
    <w:rsid w:val="007B0B9C"/>
    <w:rsid w:val="007D241D"/>
    <w:rsid w:val="007D5AB7"/>
    <w:rsid w:val="00826AFB"/>
    <w:rsid w:val="00846126"/>
    <w:rsid w:val="008F1485"/>
    <w:rsid w:val="00937A4B"/>
    <w:rsid w:val="009475E6"/>
    <w:rsid w:val="00964A8A"/>
    <w:rsid w:val="00974D4F"/>
    <w:rsid w:val="009938C2"/>
    <w:rsid w:val="009D353D"/>
    <w:rsid w:val="009D693B"/>
    <w:rsid w:val="009E2D98"/>
    <w:rsid w:val="009F2C27"/>
    <w:rsid w:val="00A15AE3"/>
    <w:rsid w:val="00A541CC"/>
    <w:rsid w:val="00A73CBE"/>
    <w:rsid w:val="00A83892"/>
    <w:rsid w:val="00A859F4"/>
    <w:rsid w:val="00AB6026"/>
    <w:rsid w:val="00AC1E4B"/>
    <w:rsid w:val="00AD3E10"/>
    <w:rsid w:val="00B601AB"/>
    <w:rsid w:val="00BC780F"/>
    <w:rsid w:val="00BE57EF"/>
    <w:rsid w:val="00C00035"/>
    <w:rsid w:val="00C11034"/>
    <w:rsid w:val="00C12AFA"/>
    <w:rsid w:val="00C153BD"/>
    <w:rsid w:val="00C93608"/>
    <w:rsid w:val="00CA36DF"/>
    <w:rsid w:val="00D03EDD"/>
    <w:rsid w:val="00D347B8"/>
    <w:rsid w:val="00D51ABC"/>
    <w:rsid w:val="00D766CE"/>
    <w:rsid w:val="00D82E79"/>
    <w:rsid w:val="00DA55D5"/>
    <w:rsid w:val="00E021C6"/>
    <w:rsid w:val="00E5441B"/>
    <w:rsid w:val="00E70D03"/>
    <w:rsid w:val="00E81B1A"/>
    <w:rsid w:val="00E93D5F"/>
    <w:rsid w:val="00E975E8"/>
    <w:rsid w:val="00EC5D70"/>
    <w:rsid w:val="00ED0642"/>
    <w:rsid w:val="00ED3B9F"/>
    <w:rsid w:val="00EE0CEE"/>
    <w:rsid w:val="00F2542C"/>
    <w:rsid w:val="00F3529E"/>
    <w:rsid w:val="00F565C3"/>
    <w:rsid w:val="00F976AC"/>
    <w:rsid w:val="00FD1D5E"/>
    <w:rsid w:val="00FD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78C1"/>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975E8"/>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basedOn w:val="prastasis"/>
    <w:link w:val="PuslapioinaostekstasDiagrama"/>
    <w:semiHidden/>
    <w:unhideWhenUsed/>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937A4B"/>
    <w:rPr>
      <w:rFonts w:ascii="Times New Roman" w:eastAsia="Times New Roman" w:hAnsi="Times New Roman" w:cs="Times New Roman"/>
      <w:sz w:val="20"/>
      <w:szCs w:val="20"/>
    </w:rPr>
  </w:style>
  <w:style w:type="character" w:styleId="Puslapioinaosnuoroda">
    <w:name w:val="footnote reference"/>
    <w:semiHidden/>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 w:type="character" w:styleId="Komentaronuoroda">
    <w:name w:val="annotation reference"/>
    <w:basedOn w:val="Numatytasispastraiposriftas"/>
    <w:uiPriority w:val="99"/>
    <w:semiHidden/>
    <w:unhideWhenUsed/>
    <w:rsid w:val="00ED3B9F"/>
    <w:rPr>
      <w:sz w:val="16"/>
      <w:szCs w:val="16"/>
    </w:rPr>
  </w:style>
  <w:style w:type="paragraph" w:styleId="Komentarotekstas">
    <w:name w:val="annotation text"/>
    <w:basedOn w:val="prastasis"/>
    <w:link w:val="KomentarotekstasDiagrama"/>
    <w:uiPriority w:val="99"/>
    <w:semiHidden/>
    <w:unhideWhenUsed/>
    <w:rsid w:val="00ED3B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D3B9F"/>
    <w:rPr>
      <w:sz w:val="20"/>
      <w:szCs w:val="20"/>
    </w:rPr>
  </w:style>
  <w:style w:type="paragraph" w:styleId="Komentarotema">
    <w:name w:val="annotation subject"/>
    <w:basedOn w:val="Komentarotekstas"/>
    <w:next w:val="Komentarotekstas"/>
    <w:link w:val="KomentarotemaDiagrama"/>
    <w:uiPriority w:val="99"/>
    <w:semiHidden/>
    <w:unhideWhenUsed/>
    <w:rsid w:val="00ED3B9F"/>
    <w:rPr>
      <w:b/>
      <w:bCs/>
    </w:rPr>
  </w:style>
  <w:style w:type="character" w:customStyle="1" w:styleId="KomentarotemaDiagrama">
    <w:name w:val="Komentaro tema Diagrama"/>
    <w:basedOn w:val="KomentarotekstasDiagrama"/>
    <w:link w:val="Komentarotema"/>
    <w:uiPriority w:val="99"/>
    <w:semiHidden/>
    <w:rsid w:val="00ED3B9F"/>
    <w:rPr>
      <w:b/>
      <w:bCs/>
      <w:sz w:val="20"/>
      <w:szCs w:val="20"/>
    </w:rPr>
  </w:style>
  <w:style w:type="paragraph" w:styleId="Debesliotekstas">
    <w:name w:val="Balloon Text"/>
    <w:basedOn w:val="prastasis"/>
    <w:link w:val="DebesliotekstasDiagrama"/>
    <w:uiPriority w:val="99"/>
    <w:semiHidden/>
    <w:unhideWhenUsed/>
    <w:rsid w:val="00ED3B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B9F"/>
    <w:rPr>
      <w:rFonts w:ascii="Segoe UI" w:hAnsi="Segoe UI" w:cs="Segoe UI"/>
      <w:sz w:val="18"/>
      <w:szCs w:val="18"/>
    </w:rPr>
  </w:style>
  <w:style w:type="character" w:customStyle="1" w:styleId="Antrat1Diagrama">
    <w:name w:val="Antraštė 1 Diagrama"/>
    <w:basedOn w:val="Numatytasispastraiposriftas"/>
    <w:link w:val="Antrat1"/>
    <w:rsid w:val="00E975E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3C0D-E837-4339-AAE8-5A2903D2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2259</Words>
  <Characters>1288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2020-05-15T08:34:00Z</dcterms:created>
  <dc:creator>Algis Baležentis</dc:creator>
  <cp:lastModifiedBy>Algis Baležentis</cp:lastModifiedBy>
  <dcterms:modified xsi:type="dcterms:W3CDTF">2020-06-04T07:35:00Z</dcterms:modified>
  <cp:revision>22</cp:revision>
</cp:coreProperties>
</file>