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0E249" w14:textId="77777777" w:rsidR="00A9371D" w:rsidRDefault="003A4492" w:rsidP="003A4492">
      <w:pPr>
        <w:spacing w:after="0" w:line="240" w:lineRule="auto"/>
        <w:ind w:left="426" w:hanging="142"/>
        <w:jc w:val="center"/>
        <w:rPr>
          <w:rFonts w:ascii="Times New Roman" w:eastAsia="Times New Roman" w:hAnsi="Times New Roman" w:cs="Times New Roman"/>
          <w:b/>
          <w:caps/>
          <w:sz w:val="24"/>
          <w:szCs w:val="24"/>
          <w:lang w:eastAsia="lt-LT"/>
        </w:rPr>
      </w:pPr>
      <w:r w:rsidRPr="00D454AE">
        <w:rPr>
          <w:rFonts w:ascii="Times New Roman" w:eastAsia="Times New Roman" w:hAnsi="Times New Roman" w:cs="Times New Roman"/>
          <w:b/>
          <w:caps/>
          <w:sz w:val="24"/>
          <w:szCs w:val="24"/>
          <w:lang w:eastAsia="lt-LT"/>
        </w:rPr>
        <w:t>DERINIMO PAŽYMA</w:t>
      </w:r>
      <w:r>
        <w:rPr>
          <w:rFonts w:ascii="Times New Roman" w:eastAsia="Times New Roman" w:hAnsi="Times New Roman" w:cs="Times New Roman"/>
          <w:b/>
          <w:caps/>
          <w:sz w:val="24"/>
          <w:szCs w:val="24"/>
          <w:lang w:eastAsia="lt-LT"/>
        </w:rPr>
        <w:t xml:space="preserve"> </w:t>
      </w:r>
      <w:r w:rsidR="00A9371D">
        <w:rPr>
          <w:rFonts w:ascii="Times New Roman" w:eastAsia="Times New Roman" w:hAnsi="Times New Roman" w:cs="Times New Roman"/>
          <w:b/>
          <w:caps/>
          <w:sz w:val="24"/>
          <w:szCs w:val="24"/>
          <w:lang w:eastAsia="lt-LT"/>
        </w:rPr>
        <w:t xml:space="preserve"> </w:t>
      </w:r>
      <w:bookmarkStart w:id="0" w:name="_GoBack"/>
      <w:bookmarkEnd w:id="0"/>
    </w:p>
    <w:p w14:paraId="1B3F27BE" w14:textId="3D4AD1F2" w:rsidR="00D454AE" w:rsidRPr="00D454AE" w:rsidRDefault="003A4492" w:rsidP="00A9371D">
      <w:pPr>
        <w:spacing w:after="0" w:line="240" w:lineRule="auto"/>
        <w:ind w:left="426" w:hanging="142"/>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DĖL</w:t>
      </w:r>
      <w:r w:rsidR="00A9371D">
        <w:rPr>
          <w:rFonts w:ascii="Times New Roman" w:eastAsia="Times New Roman" w:hAnsi="Times New Roman" w:cs="Times New Roman"/>
          <w:b/>
          <w:caps/>
          <w:sz w:val="24"/>
          <w:szCs w:val="24"/>
          <w:lang w:eastAsia="lt-LT"/>
        </w:rPr>
        <w:t xml:space="preserve"> </w:t>
      </w:r>
      <w:r w:rsidR="00D454AE" w:rsidRPr="00D454AE">
        <w:rPr>
          <w:rFonts w:ascii="Times New Roman" w:eastAsia="Times New Roman" w:hAnsi="Times New Roman" w:cs="Times New Roman"/>
          <w:b/>
          <w:caps/>
          <w:sz w:val="24"/>
          <w:szCs w:val="24"/>
          <w:lang w:eastAsia="lt-LT"/>
        </w:rPr>
        <w:t>Lietuvos Respublikos Vyriausybės nutarimo „Dėl Lietuvos Respublikos Vyriausybės 2019 m. RUGSĖJO 11 d. nutarimo Nr.934 „Dėl PROFESINIO Mokymo lėšų skaičiavimo VIENAM MOKINIUI, KURIS MOKOSI PAGAL FORMALIOJO PROFESINIO MOKYMO PROGRAMĄ (IŠSKYRUS PATAISOS PAREIGŪNŲ PROFESINIO MOKYMO IR VIDAUS REIKALŲ PROFESINIO MOKYMO ĮSTAIGŲ VYKDOMAS PROGRAMAS), METODOKOS PATVIRTINIMO“ pakeitimo“ projekto</w:t>
      </w:r>
    </w:p>
    <w:p w14:paraId="60E4528D" w14:textId="77777777" w:rsidR="00D454AE" w:rsidRPr="00D454AE" w:rsidRDefault="00D454AE" w:rsidP="00D454AE">
      <w:pPr>
        <w:spacing w:after="0" w:line="240" w:lineRule="auto"/>
        <w:ind w:left="426" w:hanging="142"/>
        <w:rPr>
          <w:rFonts w:ascii="Times New Roman" w:eastAsia="Times New Roman" w:hAnsi="Times New Roman" w:cs="Times New Roman"/>
          <w:b/>
          <w:caps/>
          <w:sz w:val="24"/>
          <w:szCs w:val="24"/>
          <w:lang w:eastAsia="lt-LT"/>
        </w:rPr>
      </w:pP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218"/>
        <w:gridCol w:w="5575"/>
      </w:tblGrid>
      <w:tr w:rsidR="00F54987" w:rsidRPr="00D454AE" w14:paraId="147CB7D9" w14:textId="77777777" w:rsidTr="00886962">
        <w:trPr>
          <w:trHeight w:val="868"/>
          <w:tblHeader/>
          <w:jc w:val="center"/>
        </w:trPr>
        <w:tc>
          <w:tcPr>
            <w:tcW w:w="805" w:type="pct"/>
            <w:vAlign w:val="center"/>
          </w:tcPr>
          <w:p w14:paraId="323FE3B5" w14:textId="77777777" w:rsidR="00D454AE" w:rsidRPr="00D454AE" w:rsidRDefault="00D454AE" w:rsidP="00D454AE">
            <w:pPr>
              <w:spacing w:after="0" w:line="240" w:lineRule="auto"/>
              <w:jc w:val="center"/>
              <w:rPr>
                <w:rFonts w:ascii="Times New Roman" w:eastAsia="Times New Roman" w:hAnsi="Times New Roman" w:cs="Times New Roman"/>
                <w:b/>
                <w:sz w:val="24"/>
                <w:szCs w:val="24"/>
                <w:lang w:eastAsia="lt-LT"/>
              </w:rPr>
            </w:pPr>
            <w:r w:rsidRPr="00D454AE">
              <w:rPr>
                <w:rFonts w:ascii="Times New Roman" w:eastAsia="Times New Roman" w:hAnsi="Times New Roman" w:cs="Times New Roman"/>
                <w:b/>
                <w:bCs/>
                <w:sz w:val="24"/>
                <w:szCs w:val="24"/>
                <w:lang w:eastAsia="lt-LT"/>
              </w:rPr>
              <w:t>Institucijos pavadinimas, rašto data ir numeris</w:t>
            </w:r>
          </w:p>
        </w:tc>
        <w:tc>
          <w:tcPr>
            <w:tcW w:w="2212" w:type="pct"/>
            <w:vAlign w:val="center"/>
          </w:tcPr>
          <w:p w14:paraId="580F7397" w14:textId="77777777" w:rsidR="00D454AE" w:rsidRPr="00D454AE" w:rsidRDefault="00D454AE" w:rsidP="00D454AE">
            <w:pPr>
              <w:spacing w:after="0" w:line="240" w:lineRule="auto"/>
              <w:jc w:val="center"/>
              <w:rPr>
                <w:rFonts w:ascii="Times New Roman" w:eastAsia="Times New Roman" w:hAnsi="Times New Roman" w:cs="Times New Roman"/>
                <w:b/>
                <w:sz w:val="24"/>
                <w:szCs w:val="24"/>
                <w:lang w:eastAsia="lt-LT"/>
              </w:rPr>
            </w:pPr>
            <w:r w:rsidRPr="00D454AE">
              <w:rPr>
                <w:rFonts w:ascii="Times New Roman" w:eastAsia="Times New Roman" w:hAnsi="Times New Roman" w:cs="Times New Roman"/>
                <w:b/>
                <w:bCs/>
                <w:sz w:val="24"/>
                <w:szCs w:val="24"/>
                <w:lang w:eastAsia="lt-LT"/>
              </w:rPr>
              <w:t>Pastabos ir pasiūlymai</w:t>
            </w:r>
          </w:p>
        </w:tc>
        <w:tc>
          <w:tcPr>
            <w:tcW w:w="1983" w:type="pct"/>
            <w:vAlign w:val="center"/>
          </w:tcPr>
          <w:p w14:paraId="63D243B7" w14:textId="77777777" w:rsidR="00D454AE" w:rsidRPr="00D454AE" w:rsidRDefault="00D454AE" w:rsidP="00D454AE">
            <w:pPr>
              <w:spacing w:after="0" w:line="240" w:lineRule="auto"/>
              <w:jc w:val="center"/>
              <w:rPr>
                <w:rFonts w:ascii="Times New Roman" w:eastAsia="Times New Roman" w:hAnsi="Times New Roman" w:cs="Times New Roman"/>
                <w:b/>
                <w:bCs/>
                <w:sz w:val="24"/>
                <w:szCs w:val="24"/>
                <w:lang w:eastAsia="lt-LT"/>
              </w:rPr>
            </w:pPr>
            <w:r w:rsidRPr="00D454AE">
              <w:rPr>
                <w:rFonts w:ascii="Times New Roman" w:eastAsia="Times New Roman" w:hAnsi="Times New Roman" w:cs="Times New Roman"/>
                <w:b/>
                <w:bCs/>
                <w:sz w:val="24"/>
                <w:szCs w:val="24"/>
                <w:lang w:eastAsia="lt-LT"/>
              </w:rPr>
              <w:t>Žyma apie pastabas ir pasiūlymus, į kuriuos neatsižvelgta arba atsižvelgta iš dalies</w:t>
            </w:r>
          </w:p>
        </w:tc>
      </w:tr>
      <w:tr w:rsidR="00F54987" w:rsidRPr="00D454AE" w14:paraId="321CBBEF" w14:textId="77777777" w:rsidTr="00886962">
        <w:trPr>
          <w:trHeight w:val="2429"/>
          <w:jc w:val="center"/>
        </w:trPr>
        <w:tc>
          <w:tcPr>
            <w:tcW w:w="805" w:type="pct"/>
          </w:tcPr>
          <w:p w14:paraId="0FA5B6AF" w14:textId="77777777" w:rsidR="00D454AE" w:rsidRPr="00D454AE" w:rsidRDefault="00D454AE" w:rsidP="00D454AE">
            <w:pPr>
              <w:spacing w:after="0" w:line="240" w:lineRule="auto"/>
              <w:rPr>
                <w:rFonts w:ascii="Times New Roman" w:eastAsia="Times New Roman" w:hAnsi="Times New Roman" w:cs="Times New Roman"/>
                <w:sz w:val="24"/>
                <w:szCs w:val="24"/>
                <w:lang w:eastAsia="lt-LT"/>
              </w:rPr>
            </w:pPr>
            <w:r w:rsidRPr="00D454AE">
              <w:rPr>
                <w:rFonts w:ascii="Times New Roman" w:eastAsia="Times New Roman" w:hAnsi="Times New Roman" w:cs="Times New Roman"/>
                <w:sz w:val="24"/>
                <w:szCs w:val="24"/>
                <w:lang w:eastAsia="lt-LT"/>
              </w:rPr>
              <w:t>Viačeslavas Arončik</w:t>
            </w:r>
          </w:p>
          <w:p w14:paraId="635E098D" w14:textId="77777777" w:rsidR="00F54987" w:rsidRDefault="00D454AE" w:rsidP="00D454AE">
            <w:pPr>
              <w:spacing w:after="0" w:line="240" w:lineRule="auto"/>
              <w:rPr>
                <w:rFonts w:ascii="Times New Roman" w:eastAsia="Times New Roman" w:hAnsi="Times New Roman" w:cs="Times New Roman"/>
                <w:sz w:val="24"/>
                <w:szCs w:val="24"/>
                <w:lang w:eastAsia="lt-LT"/>
              </w:rPr>
            </w:pPr>
            <w:r w:rsidRPr="00D454AE">
              <w:rPr>
                <w:rFonts w:ascii="Times New Roman" w:eastAsia="Times New Roman" w:hAnsi="Times New Roman" w:cs="Times New Roman"/>
                <w:sz w:val="24"/>
                <w:szCs w:val="24"/>
                <w:lang w:eastAsia="lt-LT"/>
              </w:rPr>
              <w:t xml:space="preserve">Raštas </w:t>
            </w:r>
          </w:p>
          <w:p w14:paraId="29A145FC" w14:textId="77777777" w:rsidR="00D454AE" w:rsidRPr="00D454AE" w:rsidRDefault="00D454AE" w:rsidP="00D454AE">
            <w:pPr>
              <w:spacing w:after="0" w:line="240" w:lineRule="auto"/>
              <w:rPr>
                <w:rFonts w:ascii="Times New Roman" w:eastAsia="Times New Roman" w:hAnsi="Times New Roman" w:cs="Times New Roman"/>
                <w:sz w:val="24"/>
                <w:szCs w:val="24"/>
                <w:lang w:val="en-US" w:eastAsia="lt-LT"/>
              </w:rPr>
            </w:pPr>
            <w:r w:rsidRPr="00D454AE">
              <w:rPr>
                <w:rFonts w:ascii="Times New Roman" w:eastAsia="Times New Roman" w:hAnsi="Times New Roman" w:cs="Times New Roman"/>
                <w:sz w:val="24"/>
                <w:szCs w:val="24"/>
                <w:lang w:eastAsia="lt-LT"/>
              </w:rPr>
              <w:t>2020 02 13</w:t>
            </w:r>
          </w:p>
        </w:tc>
        <w:tc>
          <w:tcPr>
            <w:tcW w:w="2212" w:type="pct"/>
          </w:tcPr>
          <w:p w14:paraId="2B068D45" w14:textId="77777777" w:rsidR="00D454AE" w:rsidRPr="00D454AE" w:rsidRDefault="00D454AE" w:rsidP="00886962">
            <w:pPr>
              <w:tabs>
                <w:tab w:val="left" w:pos="176"/>
                <w:tab w:val="left" w:pos="315"/>
              </w:tabs>
              <w:spacing w:after="0" w:line="240" w:lineRule="auto"/>
              <w:ind w:left="34" w:firstLine="709"/>
              <w:jc w:val="both"/>
              <w:rPr>
                <w:rFonts w:ascii="Times New Roman" w:hAnsi="Times New Roman" w:cs="Times New Roman"/>
                <w:sz w:val="24"/>
                <w:szCs w:val="24"/>
              </w:rPr>
            </w:pPr>
            <w:r w:rsidRPr="00D454AE">
              <w:rPr>
                <w:rFonts w:ascii="Times New Roman" w:eastAsia="Times New Roman" w:hAnsi="Times New Roman" w:cs="Times New Roman"/>
                <w:sz w:val="24"/>
                <w:szCs w:val="24"/>
                <w:lang w:eastAsia="lt-LT"/>
              </w:rPr>
              <w:t xml:space="preserve">Svarstant šį projektą  neatsižvelgiama į mokymo teikėjų realias išlaidas, vykdant suaugusiųjų profesinį mokymą. Modulinės programos, ypač mokymas pagal atskirus modulius yra trumpas ir koncentruotas. </w:t>
            </w:r>
            <w:r w:rsidRPr="00D454AE">
              <w:rPr>
                <w:rFonts w:ascii="Times New Roman" w:hAnsi="Times New Roman" w:cs="Times New Roman"/>
                <w:sz w:val="24"/>
                <w:szCs w:val="24"/>
              </w:rPr>
              <w:t>Prašau realiai įvertinti situaciją dėl tęstinio profesinio mokymo teikėjų išlaidų bei grupių dydžių. Nustatant kredito kainą, būtų racionalu įvesti koeficientus, priklausančius nuo mokinių grupėje skaičiaus, nurodyto 1 projekto punkte: „6.5. bazinis grupės mokinių skaičius (n) yra lygus 5.“</w:t>
            </w:r>
          </w:p>
        </w:tc>
        <w:tc>
          <w:tcPr>
            <w:tcW w:w="1983" w:type="pct"/>
            <w:shd w:val="clear" w:color="auto" w:fill="auto"/>
          </w:tcPr>
          <w:p w14:paraId="356656CD" w14:textId="77777777" w:rsidR="00D454AE" w:rsidRPr="00886962" w:rsidRDefault="00D454AE" w:rsidP="00886962">
            <w:pPr>
              <w:spacing w:after="20"/>
              <w:jc w:val="both"/>
              <w:rPr>
                <w:rFonts w:ascii="Times New Roman" w:hAnsi="Times New Roman"/>
                <w:sz w:val="24"/>
              </w:rPr>
            </w:pPr>
            <w:r w:rsidRPr="00D454AE">
              <w:rPr>
                <w:rFonts w:ascii="Times New Roman" w:eastAsia="Times New Roman" w:hAnsi="Times New Roman" w:cs="Times New Roman"/>
                <w:b/>
                <w:sz w:val="24"/>
                <w:szCs w:val="24"/>
                <w:lang w:eastAsia="lt-LT"/>
              </w:rPr>
              <w:t xml:space="preserve">Neatsižvelgta. </w:t>
            </w:r>
            <w:r w:rsidRPr="00D454AE">
              <w:rPr>
                <w:rFonts w:ascii="Times New Roman" w:hAnsi="Times New Roman"/>
                <w:sz w:val="24"/>
              </w:rPr>
              <w:t>Siekiant, kad mokymo lėšos labiau atitiktų realius profesinio mokymo kaštus, ir atsižvelgiant į Tęstinio mokymo centrų asociacijos bei Lietuvos profesinio mokymo įstaigų asociacijos pasiūlymus, pateiktus atsižvelgiant į vidutinį faktinį formuojamų grupių dydį, siūloma Metodikos 6.5 papunktyje nustatyti, kad bazinis grupės mokinių skaičius yra 5.</w:t>
            </w:r>
          </w:p>
        </w:tc>
      </w:tr>
      <w:tr w:rsidR="00886962" w:rsidRPr="00886962" w14:paraId="2D68360C" w14:textId="77777777" w:rsidTr="00886962">
        <w:trPr>
          <w:trHeight w:val="674"/>
          <w:jc w:val="center"/>
        </w:trPr>
        <w:tc>
          <w:tcPr>
            <w:tcW w:w="805" w:type="pct"/>
          </w:tcPr>
          <w:p w14:paraId="136281EA" w14:textId="77777777" w:rsidR="00886962" w:rsidRPr="00886962" w:rsidRDefault="00886962" w:rsidP="00886962">
            <w:pPr>
              <w:rPr>
                <w:rFonts w:ascii="Times New Roman" w:hAnsi="Times New Roman" w:cs="Times New Roman"/>
                <w:bCs/>
                <w:sz w:val="24"/>
                <w:szCs w:val="24"/>
              </w:rPr>
            </w:pPr>
            <w:r w:rsidRPr="00886962">
              <w:rPr>
                <w:rFonts w:ascii="Times New Roman" w:hAnsi="Times New Roman" w:cs="Times New Roman"/>
                <w:sz w:val="24"/>
                <w:szCs w:val="24"/>
              </w:rPr>
              <w:t xml:space="preserve">Tęstinio mokymo centrų asociacijos </w:t>
            </w:r>
            <w:r w:rsidRPr="00886962">
              <w:rPr>
                <w:rFonts w:ascii="Times New Roman" w:hAnsi="Times New Roman" w:cs="Times New Roman"/>
                <w:bCs/>
                <w:sz w:val="24"/>
                <w:szCs w:val="24"/>
              </w:rPr>
              <w:t>2020-02-10 raštas Nr. SD-26</w:t>
            </w:r>
          </w:p>
          <w:p w14:paraId="451EA96D" w14:textId="77777777" w:rsidR="00886962" w:rsidRPr="00886962" w:rsidRDefault="00886962" w:rsidP="00886962">
            <w:pPr>
              <w:spacing w:after="0" w:line="240" w:lineRule="auto"/>
              <w:rPr>
                <w:rFonts w:ascii="Times New Roman" w:eastAsia="Times New Roman" w:hAnsi="Times New Roman" w:cs="Times New Roman"/>
                <w:sz w:val="24"/>
                <w:szCs w:val="24"/>
                <w:lang w:eastAsia="lt-LT"/>
              </w:rPr>
            </w:pPr>
          </w:p>
        </w:tc>
        <w:tc>
          <w:tcPr>
            <w:tcW w:w="2212" w:type="pct"/>
          </w:tcPr>
          <w:p w14:paraId="44569603" w14:textId="77777777" w:rsidR="00886962" w:rsidRPr="00886962" w:rsidRDefault="00886962" w:rsidP="00886962">
            <w:pPr>
              <w:spacing w:after="0"/>
              <w:ind w:firstLine="851"/>
              <w:jc w:val="both"/>
              <w:rPr>
                <w:rFonts w:ascii="Times New Roman" w:hAnsi="Times New Roman" w:cs="Times New Roman"/>
                <w:sz w:val="24"/>
                <w:szCs w:val="24"/>
              </w:rPr>
            </w:pPr>
            <w:r w:rsidRPr="00886962">
              <w:rPr>
                <w:rFonts w:ascii="Times New Roman" w:hAnsi="Times New Roman" w:cs="Times New Roman"/>
                <w:color w:val="1D1B11"/>
                <w:sz w:val="24"/>
                <w:szCs w:val="24"/>
              </w:rPr>
              <w:t>Siekiant aiškumo ir atitikimo teisės aktų  reikalavimams dėl vienodos kainos taikymo, siūlome Metodikos 12 punktą papildyti išdėstant taip:</w:t>
            </w:r>
          </w:p>
          <w:p w14:paraId="48C5BBA5" w14:textId="77777777" w:rsidR="00886962" w:rsidRPr="00886962" w:rsidRDefault="00886962" w:rsidP="00886962">
            <w:pPr>
              <w:tabs>
                <w:tab w:val="left" w:pos="176"/>
              </w:tabs>
              <w:spacing w:after="0" w:line="240" w:lineRule="auto"/>
              <w:ind w:left="34" w:firstLine="709"/>
              <w:jc w:val="both"/>
              <w:rPr>
                <w:rFonts w:ascii="Times New Roman" w:eastAsia="Times New Roman" w:hAnsi="Times New Roman" w:cs="Times New Roman"/>
                <w:sz w:val="24"/>
                <w:szCs w:val="24"/>
                <w:lang w:eastAsia="lt-LT"/>
              </w:rPr>
            </w:pPr>
            <w:r w:rsidRPr="00886962">
              <w:rPr>
                <w:rFonts w:ascii="Times New Roman" w:hAnsi="Times New Roman" w:cs="Times New Roman"/>
                <w:sz w:val="24"/>
                <w:szCs w:val="24"/>
              </w:rPr>
              <w:t xml:space="preserve">„12. Atitinkamų ateinančių kalendorinių metų vieno mokymosi kredito profesinio mokymo lėšas pagal švietimo posričius (išskyrus atvejus, kai mokiniai yra priimti mokytis pagal priėmimo į valstybės finansuojamas profesinio mokymo vietas planą) ir vieno mokymosi kredito įkainį, įvertinant </w:t>
            </w:r>
            <w:r w:rsidRPr="00886962">
              <w:rPr>
                <w:rFonts w:ascii="Times New Roman" w:hAnsi="Times New Roman" w:cs="Times New Roman"/>
                <w:color w:val="1D1B11"/>
                <w:sz w:val="24"/>
                <w:szCs w:val="24"/>
              </w:rPr>
              <w:t xml:space="preserve">ūkio ir kitų lėšų dydį </w:t>
            </w:r>
            <w:r w:rsidRPr="00886962">
              <w:rPr>
                <w:rFonts w:ascii="Times New Roman" w:hAnsi="Times New Roman" w:cs="Times New Roman"/>
                <w:sz w:val="24"/>
                <w:szCs w:val="24"/>
              </w:rPr>
              <w:t>daliai profesinio mokymo teikėjų (pvz. darbo rinkos mokymo centrams ar nevalstybinėms profesinio mokymo įstaigoms)   kasmet iki einamųjų metų gruodžio 20 d. apskaičiuoja Švietimo, mokslo ir sporto ministerija, vadovaudamasi Metodikos nuostatomis, ir skelbia Švietimo, mokslo ir sporto ministerijos interneto svetainėje.“</w:t>
            </w:r>
          </w:p>
        </w:tc>
        <w:tc>
          <w:tcPr>
            <w:tcW w:w="1983" w:type="pct"/>
            <w:shd w:val="clear" w:color="auto" w:fill="auto"/>
          </w:tcPr>
          <w:p w14:paraId="64BC7883" w14:textId="77777777" w:rsidR="00886962" w:rsidRPr="00886962" w:rsidRDefault="00886962" w:rsidP="00886962">
            <w:pPr>
              <w:spacing w:after="20"/>
              <w:jc w:val="both"/>
              <w:rPr>
                <w:rFonts w:ascii="Times New Roman" w:hAnsi="Times New Roman" w:cs="Times New Roman"/>
                <w:sz w:val="24"/>
                <w:szCs w:val="24"/>
              </w:rPr>
            </w:pPr>
            <w:r w:rsidRPr="00886962">
              <w:rPr>
                <w:rFonts w:ascii="Times New Roman" w:hAnsi="Times New Roman" w:cs="Times New Roman"/>
                <w:b/>
                <w:sz w:val="24"/>
                <w:szCs w:val="24"/>
              </w:rPr>
              <w:t xml:space="preserve">Neatsižvelgta. </w:t>
            </w:r>
            <w:r w:rsidRPr="00886962">
              <w:rPr>
                <w:rFonts w:ascii="Times New Roman" w:hAnsi="Times New Roman" w:cs="Times New Roman"/>
                <w:sz w:val="24"/>
                <w:szCs w:val="24"/>
              </w:rPr>
              <w:t>Pagal Profesinio mokymo įstatymo 39 straipsnio 1 dalį nevalstybinėje profesinio mokymo įstaigoje užmokestį už profesinį mokymą nustato įstaigos savininkas (dalyvių susirinkimas). Pagal Profesinio mokymo įstatymo 15 straipsnio 2 dalį valstybinė ar savivaldybės profesinio mokymo įstaiga yra viešasis juridinis asmuo, veikiantis kaip viešoji įstaiga (išskyrus pataisos pareigūnų ir vidaus reikalų profesinio mokymo teikėjus). Jos savininkas (dalininkų susirinkimas) atlieka Viešųjų įstaigų įstatyme nustatytas funkcijas. Pagal Viešųjų įstaigų įstatymo 10 straipsnio 1 dalies 3 punktą visuotinis dalininkų susirinkimas nustato</w:t>
            </w:r>
            <w:r>
              <w:rPr>
                <w:rFonts w:ascii="Times New Roman" w:hAnsi="Times New Roman" w:cs="Times New Roman"/>
                <w:sz w:val="24"/>
                <w:szCs w:val="24"/>
              </w:rPr>
              <w:t xml:space="preserve"> </w:t>
            </w:r>
            <w:r w:rsidRPr="00886962">
              <w:rPr>
                <w:rFonts w:ascii="Times New Roman" w:hAnsi="Times New Roman" w:cs="Times New Roman"/>
                <w:sz w:val="24"/>
                <w:szCs w:val="24"/>
              </w:rPr>
              <w:t xml:space="preserve">paslaugų, darbų bei produkcijos kainas ir tarifus ar jų nustatymo taisykles. </w:t>
            </w:r>
          </w:p>
        </w:tc>
      </w:tr>
    </w:tbl>
    <w:p w14:paraId="11EE38E3" w14:textId="77777777" w:rsidR="00D454AE" w:rsidRDefault="00D454AE"/>
    <w:p w14:paraId="7B091DB9" w14:textId="77777777" w:rsidR="00D454AE" w:rsidRPr="0076073C" w:rsidRDefault="00D454AE" w:rsidP="00D454AE">
      <w:pPr>
        <w:spacing w:after="0" w:line="240" w:lineRule="auto"/>
        <w:jc w:val="center"/>
        <w:rPr>
          <w:rFonts w:ascii="Times New Roman" w:eastAsia="Times New Roman" w:hAnsi="Times New Roman" w:cs="Times New Roman"/>
          <w:sz w:val="24"/>
          <w:szCs w:val="24"/>
          <w:lang w:eastAsia="lt-LT"/>
        </w:rPr>
      </w:pPr>
      <w:r w:rsidRPr="0076073C">
        <w:rPr>
          <w:rFonts w:ascii="Times New Roman" w:eastAsia="Times New Roman" w:hAnsi="Times New Roman" w:cs="Times New Roman"/>
          <w:sz w:val="24"/>
          <w:szCs w:val="24"/>
          <w:lang w:eastAsia="lt-LT"/>
        </w:rPr>
        <w:t>_____________________________</w:t>
      </w:r>
    </w:p>
    <w:sectPr w:rsidR="00D454AE" w:rsidRPr="0076073C" w:rsidSect="00886962">
      <w:pgSz w:w="16838" w:h="11906" w:orient="landscape"/>
      <w:pgMar w:top="993"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AE"/>
    <w:rsid w:val="001A4CE0"/>
    <w:rsid w:val="003862E3"/>
    <w:rsid w:val="003A4492"/>
    <w:rsid w:val="004C602C"/>
    <w:rsid w:val="00603B39"/>
    <w:rsid w:val="00831634"/>
    <w:rsid w:val="00886962"/>
    <w:rsid w:val="00A9371D"/>
    <w:rsid w:val="00D1632B"/>
    <w:rsid w:val="00D454AE"/>
    <w:rsid w:val="00E95D32"/>
    <w:rsid w:val="00F1789A"/>
    <w:rsid w:val="00F5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E947"/>
  <w15:chartTrackingRefBased/>
  <w15:docId w15:val="{767F278D-0885-4717-BC98-1720C69C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1632B"/>
    <w:rPr>
      <w:sz w:val="16"/>
      <w:szCs w:val="16"/>
    </w:rPr>
  </w:style>
  <w:style w:type="paragraph" w:styleId="Komentarotekstas">
    <w:name w:val="annotation text"/>
    <w:basedOn w:val="prastasis"/>
    <w:link w:val="KomentarotekstasDiagrama"/>
    <w:uiPriority w:val="99"/>
    <w:semiHidden/>
    <w:unhideWhenUsed/>
    <w:rsid w:val="00D163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632B"/>
    <w:rPr>
      <w:sz w:val="20"/>
      <w:szCs w:val="20"/>
    </w:rPr>
  </w:style>
  <w:style w:type="paragraph" w:styleId="Komentarotema">
    <w:name w:val="annotation subject"/>
    <w:basedOn w:val="Komentarotekstas"/>
    <w:next w:val="Komentarotekstas"/>
    <w:link w:val="KomentarotemaDiagrama"/>
    <w:uiPriority w:val="99"/>
    <w:semiHidden/>
    <w:unhideWhenUsed/>
    <w:rsid w:val="00D1632B"/>
    <w:rPr>
      <w:b/>
      <w:bCs/>
    </w:rPr>
  </w:style>
  <w:style w:type="character" w:customStyle="1" w:styleId="KomentarotemaDiagrama">
    <w:name w:val="Komentaro tema Diagrama"/>
    <w:basedOn w:val="KomentarotekstasDiagrama"/>
    <w:link w:val="Komentarotema"/>
    <w:uiPriority w:val="99"/>
    <w:semiHidden/>
    <w:rsid w:val="00D1632B"/>
    <w:rPr>
      <w:b/>
      <w:bCs/>
      <w:sz w:val="20"/>
      <w:szCs w:val="20"/>
    </w:rPr>
  </w:style>
  <w:style w:type="paragraph" w:styleId="Debesliotekstas">
    <w:name w:val="Balloon Text"/>
    <w:basedOn w:val="prastasis"/>
    <w:link w:val="DebesliotekstasDiagrama"/>
    <w:uiPriority w:val="99"/>
    <w:semiHidden/>
    <w:unhideWhenUsed/>
    <w:rsid w:val="00D163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632B"/>
    <w:rPr>
      <w:rFonts w:ascii="Segoe UI" w:hAnsi="Segoe UI" w:cs="Segoe UI"/>
      <w:sz w:val="18"/>
      <w:szCs w:val="18"/>
    </w:rPr>
  </w:style>
  <w:style w:type="paragraph" w:styleId="Pataisymai">
    <w:name w:val="Revision"/>
    <w:hidden/>
    <w:uiPriority w:val="99"/>
    <w:semiHidden/>
    <w:rsid w:val="00886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B8BAF-A2C1-470D-B700-5B1E79BCD1AC}"/>
</file>

<file path=customXml/itemProps2.xml><?xml version="1.0" encoding="utf-8"?>
<ds:datastoreItem xmlns:ds="http://schemas.openxmlformats.org/officeDocument/2006/customXml" ds:itemID="{118E9797-58F5-4D5D-9527-E8AF0D4E8A70}">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1CE23EB-84E3-4C55-AE6B-69EF0C46A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2020-02-21T11:43:00Z</dcterms:created>
  <dc:creator>Markelienė Kristina</dc:creator>
  <cp:lastModifiedBy>Naudžiuvienė Vitalija</cp:lastModifiedBy>
  <dcterms:modified xsi:type="dcterms:W3CDTF">2020-02-21T11:56:00Z</dcterms:modified>
  <cp:revision>4</cp:revision>
  <dc:title>773287d4-5ce2-4095-8590-67ba3d022d2c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