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110C" w14:textId="77777777" w:rsidR="00D51A0A" w:rsidRPr="009372F3" w:rsidRDefault="00D51A0A" w:rsidP="00E662D6">
      <w:pPr>
        <w:pStyle w:val="Pavadinimas"/>
        <w:spacing w:line="240" w:lineRule="auto"/>
        <w:ind w:right="0"/>
      </w:pPr>
    </w:p>
    <w:p w14:paraId="296DEA21" w14:textId="77777777" w:rsidR="005A0AF4" w:rsidRPr="009372F3" w:rsidRDefault="005A0AF4" w:rsidP="00E662D6">
      <w:pPr>
        <w:pStyle w:val="Pavadinimas"/>
        <w:spacing w:line="240" w:lineRule="auto"/>
        <w:ind w:right="0"/>
      </w:pPr>
      <w:r w:rsidRPr="009372F3">
        <w:t>PAŽYMA</w:t>
      </w:r>
    </w:p>
    <w:p w14:paraId="78BBB5B2" w14:textId="77777777" w:rsidR="00D72B5F" w:rsidRPr="009372F3" w:rsidRDefault="00D72B5F" w:rsidP="00E662D6">
      <w:pPr>
        <w:pStyle w:val="Pavadinimas"/>
        <w:spacing w:line="240" w:lineRule="auto"/>
        <w:ind w:right="0"/>
      </w:pPr>
      <w:r w:rsidRPr="009372F3">
        <w:t xml:space="preserve">lIETUVOS rESPUBLIKOS POZICIJOS DĖL KLAUSIMŲ, SVARSTOMŲ </w:t>
      </w:r>
    </w:p>
    <w:p w14:paraId="54367954" w14:textId="33D7F2F4" w:rsidR="00D72B5F" w:rsidRPr="009372F3" w:rsidRDefault="00D72B5F" w:rsidP="005A0AF4">
      <w:pPr>
        <w:pStyle w:val="Pavadinimas"/>
        <w:spacing w:line="240" w:lineRule="auto"/>
        <w:ind w:right="0"/>
        <w:rPr>
          <w:b w:val="0"/>
          <w:bCs w:val="0"/>
          <w:caps w:val="0"/>
        </w:rPr>
      </w:pPr>
      <w:r w:rsidRPr="009372F3">
        <w:t>20</w:t>
      </w:r>
      <w:r w:rsidR="00DA66A9">
        <w:t>20</w:t>
      </w:r>
      <w:r w:rsidRPr="009372F3">
        <w:t xml:space="preserve"> m. </w:t>
      </w:r>
      <w:r w:rsidR="00572640">
        <w:rPr>
          <w:lang w:eastAsia="lt-LT"/>
        </w:rPr>
        <w:t>spalio</w:t>
      </w:r>
      <w:r w:rsidR="001D0844">
        <w:rPr>
          <w:lang w:eastAsia="lt-LT"/>
        </w:rPr>
        <w:t xml:space="preserve"> </w:t>
      </w:r>
      <w:r w:rsidR="00572640">
        <w:rPr>
          <w:lang w:eastAsia="lt-LT"/>
        </w:rPr>
        <w:t>19</w:t>
      </w:r>
      <w:r w:rsidR="0011470C">
        <w:rPr>
          <w:lang w:eastAsia="lt-LT"/>
        </w:rPr>
        <w:t>–</w:t>
      </w:r>
      <w:r w:rsidR="00DA66A9">
        <w:rPr>
          <w:lang w:eastAsia="lt-LT"/>
        </w:rPr>
        <w:t>2</w:t>
      </w:r>
      <w:r w:rsidR="00572640">
        <w:rPr>
          <w:lang w:eastAsia="lt-LT"/>
        </w:rPr>
        <w:t>0</w:t>
      </w:r>
      <w:r w:rsidRPr="009372F3">
        <w:rPr>
          <w:lang w:eastAsia="lt-LT"/>
        </w:rPr>
        <w:t xml:space="preserve"> D. </w:t>
      </w:r>
      <w:r w:rsidRPr="009372F3">
        <w:t>ES TARYBOS</w:t>
      </w:r>
      <w:r w:rsidR="005A0AF4" w:rsidRPr="009372F3">
        <w:t xml:space="preserve"> </w:t>
      </w:r>
      <w:r w:rsidRPr="009372F3">
        <w:t>(ŽEMĖS ŪKIs IR ŽUVININKYSTĖ) POSĖDYJE</w:t>
      </w:r>
    </w:p>
    <w:p w14:paraId="48D97B89" w14:textId="77777777" w:rsidR="00D72B5F" w:rsidRPr="009372F3" w:rsidRDefault="00D72B5F" w:rsidP="00D72B5F">
      <w:pPr>
        <w:spacing w:line="120" w:lineRule="auto"/>
        <w:jc w:val="center"/>
      </w:pPr>
    </w:p>
    <w:p w14:paraId="6157304C" w14:textId="77777777" w:rsidR="00567817" w:rsidRPr="009372F3" w:rsidRDefault="00567817" w:rsidP="00567817">
      <w:pPr>
        <w:spacing w:line="120" w:lineRule="auto"/>
        <w:jc w:val="center"/>
      </w:pPr>
    </w:p>
    <w:p w14:paraId="6FA8BFF5" w14:textId="77777777" w:rsidR="00D72B5F" w:rsidRDefault="00D72B5F" w:rsidP="00B54068">
      <w:pPr>
        <w:pStyle w:val="Default"/>
      </w:pPr>
    </w:p>
    <w:p w14:paraId="37D90A66" w14:textId="7F510385" w:rsidR="007046E6" w:rsidRDefault="007046E6" w:rsidP="00A3698B">
      <w:pPr>
        <w:pStyle w:val="Default"/>
        <w:ind w:firstLine="426"/>
      </w:pPr>
      <w:r>
        <w:t>Š</w:t>
      </w:r>
      <w:r w:rsidRPr="007046E6">
        <w:t xml:space="preserve">. m. </w:t>
      </w:r>
      <w:r w:rsidR="00572640">
        <w:t>spalio</w:t>
      </w:r>
      <w:r w:rsidR="00EB3F43">
        <w:t xml:space="preserve"> </w:t>
      </w:r>
      <w:r w:rsidR="00572640">
        <w:t>19</w:t>
      </w:r>
      <w:r w:rsidR="0011470C">
        <w:t>–</w:t>
      </w:r>
      <w:r w:rsidR="00DA66A9">
        <w:t>2</w:t>
      </w:r>
      <w:r w:rsidR="00A57BD7">
        <w:t>0</w:t>
      </w:r>
      <w:r w:rsidRPr="007046E6">
        <w:t xml:space="preserve"> d. vyksiančio ES Tarybos (žemės ūkis ir žuvininkystė) posėdžio (toliau – ES Tarybos posėdis) preliminarioje darbotvarkėje numatyta svarstyti šiuos klausimus:</w:t>
      </w:r>
    </w:p>
    <w:p w14:paraId="74AC841B" w14:textId="1AFFEEA0" w:rsidR="00D72B5F" w:rsidRDefault="00D72B5F" w:rsidP="00C05A9C">
      <w:pPr>
        <w:pStyle w:val="Default"/>
        <w:rPr>
          <w:bCs/>
        </w:rPr>
      </w:pPr>
    </w:p>
    <w:p w14:paraId="46A2985A" w14:textId="7D138817" w:rsidR="00F81E15" w:rsidRDefault="00251EA4" w:rsidP="00F81E15">
      <w:pPr>
        <w:pStyle w:val="Default"/>
      </w:pPr>
      <w:r>
        <w:t xml:space="preserve">     </w:t>
      </w:r>
      <w:r w:rsidR="00EB3F43">
        <w:t>1</w:t>
      </w:r>
      <w:r w:rsidR="00C05A9C" w:rsidRPr="00C05A9C">
        <w:t xml:space="preserve">. </w:t>
      </w:r>
      <w:r w:rsidR="00F81E15">
        <w:t>BŽŪP reformos dokumentų rinkinys</w:t>
      </w:r>
    </w:p>
    <w:p w14:paraId="514D7EBF" w14:textId="361F625A" w:rsidR="00572640" w:rsidRDefault="00251EA4" w:rsidP="00572640">
      <w:pPr>
        <w:pStyle w:val="Default"/>
      </w:pPr>
      <w:r>
        <w:t xml:space="preserve">     </w:t>
      </w:r>
      <w:r w:rsidR="00572640">
        <w:t>a) Reglamentas dėl BŽŪP strateginių planų</w:t>
      </w:r>
    </w:p>
    <w:p w14:paraId="25043842" w14:textId="45515979" w:rsidR="00572640" w:rsidRDefault="00251EA4" w:rsidP="00572640">
      <w:pPr>
        <w:pStyle w:val="Default"/>
      </w:pPr>
      <w:r>
        <w:t xml:space="preserve">     </w:t>
      </w:r>
      <w:r w:rsidR="00572640">
        <w:t>b) Reglamentas dėl BŽŪP finansavimo, valdymo ir stebėsenos</w:t>
      </w:r>
    </w:p>
    <w:p w14:paraId="2DEF11C5" w14:textId="24327038" w:rsidR="00572640" w:rsidRDefault="00251EA4" w:rsidP="00572640">
      <w:pPr>
        <w:pStyle w:val="Default"/>
      </w:pPr>
      <w:r>
        <w:t xml:space="preserve">     </w:t>
      </w:r>
      <w:r w:rsidR="00572640">
        <w:t>c) Reglamentas dėl bendro žemės ūkio produktų rinkos organizavimo (BRO)</w:t>
      </w:r>
    </w:p>
    <w:p w14:paraId="163B108C" w14:textId="3E07D5D5" w:rsidR="004F70E5" w:rsidRDefault="00251EA4" w:rsidP="00C05A9C">
      <w:pPr>
        <w:pStyle w:val="Default"/>
      </w:pPr>
      <w:r>
        <w:t xml:space="preserve">     </w:t>
      </w:r>
      <w:r w:rsidR="00EB3F43">
        <w:t>2</w:t>
      </w:r>
      <w:r w:rsidR="004F70E5">
        <w:t>.</w:t>
      </w:r>
      <w:r w:rsidR="0082481F" w:rsidRPr="0082481F">
        <w:t xml:space="preserve"> </w:t>
      </w:r>
      <w:bookmarkStart w:id="0" w:name="_Hlk29889993"/>
      <w:r w:rsidR="00214CB3" w:rsidRPr="00214CB3">
        <w:t>Tarybos reglamentas, kuriuo nustatomos 2021 m. žvejybos Baltijos jūroje galimybės</w:t>
      </w:r>
    </w:p>
    <w:p w14:paraId="23C89380" w14:textId="4DA31CC7" w:rsidR="007B726C" w:rsidRDefault="00251EA4" w:rsidP="00C05A9C">
      <w:pPr>
        <w:pStyle w:val="Default"/>
      </w:pPr>
      <w:r>
        <w:t xml:space="preserve">     </w:t>
      </w:r>
      <w:r w:rsidR="007B726C">
        <w:t xml:space="preserve">3. </w:t>
      </w:r>
      <w:r w:rsidR="007A5A21" w:rsidRPr="007A5A21">
        <w:t>(galimas) ES ir Norvegija: kasmetinės konsultacijos dėl 2021 m.</w:t>
      </w:r>
    </w:p>
    <w:p w14:paraId="63BC820A" w14:textId="0593D451" w:rsidR="00572640" w:rsidRDefault="00251EA4" w:rsidP="00C05A9C">
      <w:pPr>
        <w:pStyle w:val="Default"/>
      </w:pPr>
      <w:r>
        <w:t xml:space="preserve">     </w:t>
      </w:r>
      <w:r w:rsidR="007B726C">
        <w:t>4</w:t>
      </w:r>
      <w:r w:rsidR="00572640">
        <w:t xml:space="preserve">. </w:t>
      </w:r>
      <w:r w:rsidR="00572640" w:rsidRPr="00572640">
        <w:t>Strategija „Nuo ūkio iki stalo“</w:t>
      </w:r>
      <w:r w:rsidR="0011470C">
        <w:t>.</w:t>
      </w:r>
    </w:p>
    <w:bookmarkEnd w:id="0"/>
    <w:p w14:paraId="0A4E3B6A" w14:textId="77777777" w:rsidR="00216E58" w:rsidRPr="009372F3" w:rsidRDefault="00216E58" w:rsidP="00345667">
      <w:pPr>
        <w:rPr>
          <w:b/>
          <w:bCs/>
          <w:sz w:val="28"/>
          <w:szCs w:val="28"/>
        </w:rPr>
      </w:pPr>
    </w:p>
    <w:p w14:paraId="64DF202F" w14:textId="1D3288A4" w:rsidR="006D5593" w:rsidRDefault="00251EA4" w:rsidP="007046E6">
      <w:pPr>
        <w:spacing w:line="360" w:lineRule="auto"/>
      </w:pPr>
      <w:r>
        <w:t xml:space="preserve">    </w:t>
      </w:r>
      <w:r w:rsidR="007046E6" w:rsidRPr="007046E6">
        <w:t>Teikiame preliminarias Lietuvos Respublikos pozicijas ES Tarybos posėdžiui:</w:t>
      </w:r>
    </w:p>
    <w:p w14:paraId="20D1CA40" w14:textId="77777777" w:rsidR="00C67395" w:rsidRDefault="00C67395" w:rsidP="0047109F"/>
    <w:p w14:paraId="76B34B63" w14:textId="15B29A1F" w:rsidR="00065F77" w:rsidRDefault="00251EA4" w:rsidP="00065F77">
      <w:pPr>
        <w:rPr>
          <w:rFonts w:eastAsia="Calibri"/>
          <w:b/>
          <w:bCs/>
          <w:szCs w:val="22"/>
        </w:rPr>
      </w:pPr>
      <w:r>
        <w:rPr>
          <w:rFonts w:eastAsia="Calibri"/>
          <w:b/>
          <w:bCs/>
          <w:szCs w:val="22"/>
        </w:rPr>
        <w:t xml:space="preserve">    </w:t>
      </w:r>
      <w:r w:rsidR="00065F77">
        <w:rPr>
          <w:rFonts w:eastAsia="Calibri"/>
          <w:b/>
          <w:bCs/>
          <w:szCs w:val="22"/>
        </w:rPr>
        <w:t>1</w:t>
      </w:r>
      <w:r w:rsidR="00065F77" w:rsidRPr="00065F77">
        <w:rPr>
          <w:rFonts w:eastAsia="Calibri"/>
          <w:b/>
          <w:bCs/>
          <w:szCs w:val="22"/>
        </w:rPr>
        <w:t>. Dokumentų dėl BŽŪP reformos po 2020 m. rinkinys</w:t>
      </w:r>
    </w:p>
    <w:p w14:paraId="140B8803" w14:textId="6A889845" w:rsidR="00C67395" w:rsidRPr="00C67395" w:rsidRDefault="00251EA4" w:rsidP="00C67395">
      <w:pPr>
        <w:ind w:left="318" w:hanging="360"/>
        <w:jc w:val="both"/>
        <w:rPr>
          <w:b/>
          <w:bCs/>
          <w:lang w:eastAsia="lt-LT"/>
        </w:rPr>
      </w:pPr>
      <w:r>
        <w:rPr>
          <w:b/>
          <w:bCs/>
          <w:lang w:eastAsia="lt-LT"/>
        </w:rPr>
        <w:t xml:space="preserve">     </w:t>
      </w:r>
      <w:r w:rsidR="00C67395" w:rsidRPr="00C67395">
        <w:rPr>
          <w:b/>
          <w:bCs/>
          <w:lang w:eastAsia="lt-LT"/>
        </w:rPr>
        <w:t>a) Reglamentas dėl BŽŪP strateginių planų</w:t>
      </w:r>
    </w:p>
    <w:p w14:paraId="196D90F7" w14:textId="4A278E3D" w:rsidR="00C67395" w:rsidRPr="00C67395" w:rsidRDefault="00251EA4" w:rsidP="00C67395">
      <w:pPr>
        <w:ind w:left="318" w:hanging="360"/>
        <w:jc w:val="both"/>
        <w:rPr>
          <w:b/>
          <w:bCs/>
          <w:lang w:eastAsia="lt-LT"/>
        </w:rPr>
      </w:pPr>
      <w:r>
        <w:rPr>
          <w:b/>
          <w:bCs/>
          <w:lang w:eastAsia="lt-LT"/>
        </w:rPr>
        <w:t xml:space="preserve">     </w:t>
      </w:r>
      <w:r w:rsidR="00C67395" w:rsidRPr="00C67395">
        <w:rPr>
          <w:b/>
          <w:bCs/>
          <w:lang w:eastAsia="lt-LT"/>
        </w:rPr>
        <w:t>b) Reglamentas dėl BŽŪP finansavimo, valdymo ir stebėsenos</w:t>
      </w:r>
    </w:p>
    <w:p w14:paraId="1B5F1E36" w14:textId="0F22EE95" w:rsidR="00C67395" w:rsidRPr="00C67395" w:rsidRDefault="00251EA4" w:rsidP="00C67395">
      <w:pPr>
        <w:ind w:left="318" w:hanging="360"/>
        <w:jc w:val="both"/>
        <w:rPr>
          <w:b/>
          <w:bCs/>
          <w:lang w:eastAsia="lt-LT"/>
        </w:rPr>
      </w:pPr>
      <w:r>
        <w:rPr>
          <w:b/>
          <w:bCs/>
          <w:lang w:eastAsia="lt-LT"/>
        </w:rPr>
        <w:t xml:space="preserve">     </w:t>
      </w:r>
      <w:r w:rsidR="00C67395" w:rsidRPr="00C67395">
        <w:rPr>
          <w:b/>
          <w:bCs/>
          <w:lang w:eastAsia="lt-LT"/>
        </w:rPr>
        <w:t>c) Reglamentas dėl žemės ūkio produktų bendro rinkos organizavimo (BRO)</w:t>
      </w:r>
    </w:p>
    <w:p w14:paraId="180E12EE" w14:textId="0141DEAD" w:rsidR="00065F77" w:rsidRPr="00065F77" w:rsidRDefault="00251EA4" w:rsidP="00065F77">
      <w:pPr>
        <w:rPr>
          <w:rFonts w:eastAsia="Calibri"/>
          <w:i/>
          <w:iCs/>
          <w:szCs w:val="22"/>
        </w:rPr>
      </w:pPr>
      <w:r>
        <w:rPr>
          <w:rFonts w:eastAsia="Calibri"/>
          <w:i/>
          <w:iCs/>
          <w:szCs w:val="22"/>
        </w:rPr>
        <w:t xml:space="preserve">     –</w:t>
      </w:r>
      <w:r w:rsidR="00065F77" w:rsidRPr="00065F77">
        <w:rPr>
          <w:rFonts w:eastAsia="Calibri"/>
          <w:i/>
          <w:iCs/>
          <w:szCs w:val="22"/>
        </w:rPr>
        <w:t xml:space="preserve"> </w:t>
      </w:r>
      <w:r w:rsidR="002B47A9">
        <w:rPr>
          <w:rFonts w:eastAsia="Calibri"/>
          <w:i/>
          <w:iCs/>
          <w:szCs w:val="22"/>
        </w:rPr>
        <w:t>Bendras požiūris</w:t>
      </w:r>
    </w:p>
    <w:p w14:paraId="6EF8E1DD" w14:textId="77777777" w:rsidR="00065F77" w:rsidRPr="00065F77" w:rsidRDefault="00065F77" w:rsidP="00065F77">
      <w:pPr>
        <w:rPr>
          <w:rFonts w:eastAsia="Calibri"/>
          <w:i/>
          <w:iCs/>
          <w:szCs w:val="22"/>
        </w:rPr>
      </w:pPr>
    </w:p>
    <w:p w14:paraId="32483ACE" w14:textId="6C4E82EB" w:rsidR="00C67395" w:rsidRPr="00C67395" w:rsidRDefault="00251EA4" w:rsidP="00251EA4">
      <w:pPr>
        <w:spacing w:line="360" w:lineRule="auto"/>
        <w:jc w:val="both"/>
        <w:rPr>
          <w:rFonts w:eastAsia="Calibri"/>
          <w:bCs/>
        </w:rPr>
      </w:pPr>
      <w:bookmarkStart w:id="1" w:name="_Hlk50381214"/>
      <w:bookmarkStart w:id="2" w:name="_Hlk50380756"/>
      <w:r>
        <w:rPr>
          <w:rFonts w:eastAsia="Calibri"/>
          <w:bCs/>
        </w:rPr>
        <w:t xml:space="preserve">      </w:t>
      </w:r>
      <w:r w:rsidR="00C67395" w:rsidRPr="00C67395">
        <w:rPr>
          <w:rFonts w:eastAsia="Calibri"/>
          <w:bCs/>
        </w:rPr>
        <w:t xml:space="preserve">ES Tarybos posėdyje </w:t>
      </w:r>
      <w:r w:rsidR="0011470C">
        <w:rPr>
          <w:rFonts w:eastAsia="Calibri"/>
          <w:bCs/>
        </w:rPr>
        <w:t>p</w:t>
      </w:r>
      <w:r w:rsidR="00C67395" w:rsidRPr="00C67395">
        <w:rPr>
          <w:rFonts w:eastAsia="Calibri"/>
          <w:bCs/>
        </w:rPr>
        <w:t xml:space="preserve">irmininkaujanti Vokietija (toliau </w:t>
      </w:r>
      <w:r w:rsidR="0011470C">
        <w:rPr>
          <w:rFonts w:eastAsia="Calibri"/>
          <w:bCs/>
        </w:rPr>
        <w:t>–</w:t>
      </w:r>
      <w:r w:rsidR="00C67395" w:rsidRPr="00C67395">
        <w:rPr>
          <w:rFonts w:eastAsia="Calibri"/>
          <w:bCs/>
        </w:rPr>
        <w:t xml:space="preserve"> Pirm. DE) numačiusi siekti bendro požiūrio </w:t>
      </w:r>
      <w:bookmarkStart w:id="3" w:name="_Hlk51224601"/>
      <w:r w:rsidR="00C67395" w:rsidRPr="00C67395">
        <w:rPr>
          <w:rFonts w:eastAsia="Calibri"/>
          <w:bCs/>
        </w:rPr>
        <w:t xml:space="preserve">dėl  BŽŪP reformos po 2020 m. paketo, </w:t>
      </w:r>
      <w:bookmarkEnd w:id="3"/>
      <w:r w:rsidR="00C67395" w:rsidRPr="00C67395">
        <w:rPr>
          <w:rFonts w:eastAsia="Calibri"/>
          <w:bCs/>
        </w:rPr>
        <w:t>siekdama kuo greičiau pradėti derybas su Europos Parlamentu.</w:t>
      </w:r>
    </w:p>
    <w:p w14:paraId="1804C881" w14:textId="77777777" w:rsidR="00C67395" w:rsidRPr="00C67395" w:rsidRDefault="00C67395" w:rsidP="004C36AD">
      <w:pPr>
        <w:tabs>
          <w:tab w:val="left" w:pos="284"/>
        </w:tabs>
        <w:jc w:val="both"/>
        <w:rPr>
          <w:b/>
          <w:bCs/>
          <w:lang w:eastAsia="lt-LT"/>
        </w:rPr>
      </w:pPr>
    </w:p>
    <w:p w14:paraId="0A8CC446" w14:textId="216086DF" w:rsidR="00C67395" w:rsidRPr="00C67395" w:rsidRDefault="0011470C" w:rsidP="00C67395">
      <w:pPr>
        <w:tabs>
          <w:tab w:val="left" w:pos="284"/>
        </w:tabs>
        <w:spacing w:line="360" w:lineRule="auto"/>
        <w:jc w:val="both"/>
        <w:rPr>
          <w:b/>
          <w:bCs/>
          <w:lang w:eastAsia="lt-LT"/>
        </w:rPr>
      </w:pPr>
      <w:r>
        <w:rPr>
          <w:b/>
          <w:bCs/>
          <w:lang w:eastAsia="lt-LT"/>
        </w:rPr>
        <w:t xml:space="preserve">     </w:t>
      </w:r>
      <w:r w:rsidR="00251EA4">
        <w:rPr>
          <w:b/>
          <w:bCs/>
          <w:lang w:eastAsia="lt-LT"/>
        </w:rPr>
        <w:t xml:space="preserve">  </w:t>
      </w:r>
      <w:r w:rsidR="00C67395" w:rsidRPr="00C67395">
        <w:rPr>
          <w:b/>
          <w:bCs/>
          <w:lang w:eastAsia="lt-LT"/>
        </w:rPr>
        <w:t xml:space="preserve">Reglamentas dėl BŽŪP strateginių planų </w:t>
      </w:r>
    </w:p>
    <w:p w14:paraId="555268E0" w14:textId="77777777" w:rsidR="00C67395" w:rsidRPr="00C67395" w:rsidRDefault="00C67395" w:rsidP="00E80C43">
      <w:pPr>
        <w:spacing w:line="360" w:lineRule="auto"/>
        <w:ind w:firstLine="426"/>
        <w:jc w:val="both"/>
        <w:rPr>
          <w:rFonts w:eastAsia="Calibri"/>
          <w:bCs/>
        </w:rPr>
      </w:pPr>
      <w:r w:rsidRPr="00C67395">
        <w:rPr>
          <w:rFonts w:eastAsia="Calibri"/>
          <w:bCs/>
        </w:rPr>
        <w:t>Pirm. DE nuomone, BŽŪP strateginių planų reglamentas didžiąja dalimi gali būti laikomas stabiliu, tačiau dar yra likusių atvirų diskusinių klausimų.</w:t>
      </w:r>
    </w:p>
    <w:p w14:paraId="558E4319" w14:textId="6B81022B" w:rsidR="00C67395" w:rsidRPr="00C67395" w:rsidRDefault="00C67395" w:rsidP="00E80C43">
      <w:pPr>
        <w:spacing w:line="360" w:lineRule="auto"/>
        <w:ind w:firstLine="426"/>
        <w:contextualSpacing/>
        <w:jc w:val="both"/>
      </w:pPr>
      <w:r w:rsidRPr="00C67395">
        <w:rPr>
          <w:u w:val="single"/>
        </w:rPr>
        <w:t xml:space="preserve">Dėl </w:t>
      </w:r>
      <w:r w:rsidR="00E80C43">
        <w:rPr>
          <w:u w:val="single"/>
        </w:rPr>
        <w:t>„</w:t>
      </w:r>
      <w:r w:rsidRPr="00C67395">
        <w:rPr>
          <w:u w:val="single"/>
        </w:rPr>
        <w:t>žaliosios architektūros</w:t>
      </w:r>
      <w:r w:rsidR="00E80C43">
        <w:rPr>
          <w:u w:val="single"/>
        </w:rPr>
        <w:t>“</w:t>
      </w:r>
      <w:r w:rsidRPr="00C67395">
        <w:t xml:space="preserve">, </w:t>
      </w:r>
      <w:r w:rsidRPr="00C67395">
        <w:rPr>
          <w:bCs/>
          <w:lang w:eastAsia="lt-LT"/>
        </w:rPr>
        <w:t xml:space="preserve">Pirm. DE </w:t>
      </w:r>
      <w:r w:rsidRPr="00C67395">
        <w:t xml:space="preserve"> ieško būdų, kaip suartinti valstybių narių pozicijas, kartu orientuojantis į aukštesnę ambiciją dėl klimato ir aplinkos. Siūlo nustatyti privalomą </w:t>
      </w:r>
      <w:bookmarkStart w:id="4" w:name="_Hlk52359521"/>
      <w:r w:rsidRPr="00C67395">
        <w:t xml:space="preserve">ekologinių schemų </w:t>
      </w:r>
      <w:bookmarkEnd w:id="4"/>
      <w:r w:rsidRPr="00C67395">
        <w:t>taikymą valstybėms narėms bei minimalų jų finansavimą (</w:t>
      </w:r>
      <w:r w:rsidRPr="00C67395">
        <w:rPr>
          <w:i/>
          <w:iCs/>
        </w:rPr>
        <w:t>ring-fencing</w:t>
      </w:r>
      <w:r w:rsidRPr="00C67395">
        <w:t>),  kartu numatydama tam tikrą lankstumą įgyvendinant, neįsisavintų lėšų rizikai sumažinti.</w:t>
      </w:r>
      <w:r w:rsidRPr="00C67395">
        <w:rPr>
          <w:lang w:eastAsia="lt-LT"/>
        </w:rPr>
        <w:t xml:space="preserve"> Pasiūlymo dėl konkretaus procento, skirtino </w:t>
      </w:r>
      <w:r w:rsidRPr="00C67395">
        <w:t xml:space="preserve">ekologinių schemų finansavimui, Pirm. DE dar nėra pateikusi. Pirm. DE taip pat fiksuoja daugelio valstybių narių prašymus dėl tolesnių lankstumo nuostatų taikant ekologines schemas ir kitus </w:t>
      </w:r>
      <w:r w:rsidR="008F32ED">
        <w:t>„</w:t>
      </w:r>
      <w:r w:rsidRPr="00C67395">
        <w:t>žaliosios architektūros</w:t>
      </w:r>
      <w:r w:rsidR="008F32ED">
        <w:t>“</w:t>
      </w:r>
      <w:r w:rsidRPr="00C67395">
        <w:t xml:space="preserve"> elementus. Taip pat siūloma stiprinti privalomąsias sąlygas dėl bioįvairovės išsaugojimo</w:t>
      </w:r>
      <w:r w:rsidRPr="00C67395">
        <w:rPr>
          <w:lang w:eastAsia="lt-LT"/>
        </w:rPr>
        <w:t xml:space="preserve"> (</w:t>
      </w:r>
      <w:bookmarkStart w:id="5" w:name="_Hlk51230289"/>
      <w:r w:rsidRPr="00C67395">
        <w:rPr>
          <w:lang w:eastAsia="lt-LT"/>
        </w:rPr>
        <w:t>GAAB 9</w:t>
      </w:r>
      <w:bookmarkEnd w:id="5"/>
      <w:r w:rsidRPr="00C67395">
        <w:rPr>
          <w:lang w:eastAsia="lt-LT"/>
        </w:rPr>
        <w:t>)</w:t>
      </w:r>
      <w:r w:rsidRPr="00C67395">
        <w:rPr>
          <w:vertAlign w:val="superscript"/>
        </w:rPr>
        <w:footnoteReference w:id="1"/>
      </w:r>
      <w:r w:rsidRPr="00C67395">
        <w:rPr>
          <w:lang w:eastAsia="lt-LT"/>
        </w:rPr>
        <w:t>.</w:t>
      </w:r>
      <w:r w:rsidRPr="00C67395">
        <w:t xml:space="preserve"> Numatoma toliau laikytis požiūrio, kad privalomosios sąlygos būtų taikomos visiems ūkininkams. Siekiant sumažinti administracinę naštą, yra numatyta, kad valstybės narės, nustatydamos GAAB standartus, gali atsižvelgti į ūkio dydį. Be to, siekiant atspindėti specifinį smulkių ūkių pobūdį, jiems siūloma taikyti supaprastintą kontrolės ir sankcijų tvarką.</w:t>
      </w:r>
    </w:p>
    <w:p w14:paraId="4DB0FB3C" w14:textId="727F274B" w:rsidR="00C67395" w:rsidRPr="00C67395" w:rsidRDefault="00C67395" w:rsidP="00E80C43">
      <w:pPr>
        <w:spacing w:line="360" w:lineRule="auto"/>
        <w:ind w:firstLine="426"/>
        <w:contextualSpacing/>
        <w:jc w:val="both"/>
      </w:pPr>
      <w:r w:rsidRPr="00C67395">
        <w:rPr>
          <w:u w:val="single"/>
        </w:rPr>
        <w:lastRenderedPageBreak/>
        <w:t xml:space="preserve">Dėl </w:t>
      </w:r>
      <w:bookmarkStart w:id="7" w:name="_Hlk52362015"/>
      <w:r w:rsidRPr="00C67395">
        <w:rPr>
          <w:u w:val="single"/>
        </w:rPr>
        <w:t>tiesioginių išmokų ribojim</w:t>
      </w:r>
      <w:bookmarkEnd w:id="7"/>
      <w:r w:rsidRPr="00C67395">
        <w:rPr>
          <w:u w:val="single"/>
        </w:rPr>
        <w:t>o ir mažinimo,</w:t>
      </w:r>
      <w:r w:rsidRPr="00C67395">
        <w:t xml:space="preserve"> remiantis Europos Vadovų Tarybos išvadomis </w:t>
      </w:r>
      <w:bookmarkStart w:id="8" w:name="_Hlk52368578"/>
      <w:r w:rsidRPr="00C67395">
        <w:t>dėl Daugiametės finansinės programos</w:t>
      </w:r>
      <w:bookmarkEnd w:id="8"/>
      <w:r w:rsidRPr="00C67395">
        <w:t>, valstybėms narėms nustatomas s</w:t>
      </w:r>
      <w:r w:rsidR="0011470C">
        <w:t>a</w:t>
      </w:r>
      <w:r w:rsidRPr="00C67395">
        <w:t>vanoriškas tiesioginių išmokų</w:t>
      </w:r>
      <w:r w:rsidR="00024BB6">
        <w:rPr>
          <w:rStyle w:val="Puslapioinaosnuoroda"/>
        </w:rPr>
        <w:footnoteReference w:id="2"/>
      </w:r>
      <w:r w:rsidRPr="00C67395">
        <w:t xml:space="preserve"> ribojimas. Tuo tikslu įvedamas savanorišku pagrindu taikomas tiesioginių išmokų mažinimas</w:t>
      </w:r>
      <w:r w:rsidR="00024BB6">
        <w:t>. Pirmininkaujanti valstybė narė siūlo numatyti ir papildomą galimybę savanorišku pagrindu tiesiogines išmokas mažinti</w:t>
      </w:r>
      <w:r w:rsidRPr="00C67395">
        <w:t xml:space="preserve"> (pakopomis) žemiau 100 000 EUR  ribos</w:t>
      </w:r>
      <w:r w:rsidR="00024BB6">
        <w:t>, išlaikant pirminio Komisijos pasiūlymo idėją.</w:t>
      </w:r>
      <w:r w:rsidRPr="00C67395">
        <w:t xml:space="preserve"> </w:t>
      </w:r>
      <w:r w:rsidR="00024BB6">
        <w:t>T</w:t>
      </w:r>
      <w:r w:rsidRPr="00C67395">
        <w:t xml:space="preserve">okiu būdu valstybėms narėms </w:t>
      </w:r>
      <w:r w:rsidR="00024BB6">
        <w:t xml:space="preserve">būtų suteikta daugiau </w:t>
      </w:r>
      <w:r w:rsidRPr="00C67395">
        <w:t xml:space="preserve"> lankstumo.</w:t>
      </w:r>
    </w:p>
    <w:p w14:paraId="19A30EE1" w14:textId="7871A434" w:rsidR="00C67395" w:rsidRPr="00C67395" w:rsidRDefault="00C67395" w:rsidP="00E80C43">
      <w:pPr>
        <w:spacing w:line="360" w:lineRule="auto"/>
        <w:ind w:left="-142" w:firstLine="568"/>
        <w:contextualSpacing/>
        <w:jc w:val="both"/>
      </w:pPr>
      <w:r w:rsidRPr="00C67395">
        <w:rPr>
          <w:u w:val="single"/>
        </w:rPr>
        <w:t>Dėl kitų tiesioginių išmokų klausimų,</w:t>
      </w:r>
      <w:r w:rsidRPr="00C67395">
        <w:t xml:space="preserve"> Pirm. DE nuomone, žymi pažanga padaryta ankstesnių pirmininkavimų metu ir didžioji dauguma valstybių narių galėtų pritarti prieš tai </w:t>
      </w:r>
      <w:r w:rsidR="0011470C">
        <w:t>p</w:t>
      </w:r>
      <w:r w:rsidRPr="00C67395">
        <w:t>irmininkavusios Kroatijos pateiktiems pasiūlymams dėl tiesioginių išmokų, įskaitant ir s</w:t>
      </w:r>
      <w:r w:rsidR="0011470C">
        <w:t>a</w:t>
      </w:r>
      <w:r w:rsidRPr="00C67395">
        <w:t>vanorišką perskirstymo išmokos taikymą.</w:t>
      </w:r>
    </w:p>
    <w:p w14:paraId="1F7E9EAA" w14:textId="041A67D2" w:rsidR="00C67395" w:rsidRPr="00C67395" w:rsidRDefault="00C67395" w:rsidP="00E80C43">
      <w:pPr>
        <w:spacing w:line="360" w:lineRule="auto"/>
        <w:ind w:left="-142" w:firstLine="568"/>
        <w:contextualSpacing/>
        <w:jc w:val="both"/>
      </w:pPr>
      <w:r w:rsidRPr="00C67395">
        <w:rPr>
          <w:u w:val="single"/>
        </w:rPr>
        <w:t>Dėl susietosios paramos,</w:t>
      </w:r>
      <w:r w:rsidRPr="00C67395">
        <w:t xml:space="preserve"> </w:t>
      </w:r>
      <w:r w:rsidR="00024BB6">
        <w:t>valstybių narių nuomonės išsiskiria</w:t>
      </w:r>
      <w:r w:rsidR="00820D3C">
        <w:t xml:space="preserve"> dėl šios paramos dydžio, dalis jų nori </w:t>
      </w:r>
      <w:r w:rsidR="00EF5B38">
        <w:t xml:space="preserve">ją </w:t>
      </w:r>
      <w:r w:rsidR="00820D3C">
        <w:t>didinti, kitos mažinti. Atsižv</w:t>
      </w:r>
      <w:r w:rsidR="0011470C">
        <w:t>e</w:t>
      </w:r>
      <w:r w:rsidR="00820D3C">
        <w:t>l</w:t>
      </w:r>
      <w:r w:rsidR="0011470C">
        <w:t>g</w:t>
      </w:r>
      <w:r w:rsidR="00820D3C">
        <w:t>dama į tai</w:t>
      </w:r>
      <w:r w:rsidR="0011470C">
        <w:t>,</w:t>
      </w:r>
      <w:r w:rsidR="00820D3C">
        <w:t xml:space="preserve"> </w:t>
      </w:r>
      <w:r w:rsidRPr="00C67395">
        <w:t>Pirm. DE</w:t>
      </w:r>
      <w:r w:rsidR="00820D3C">
        <w:t xml:space="preserve"> siūlo išlaikyti dabartinį jos lygį </w:t>
      </w:r>
      <w:r w:rsidRPr="00C67395">
        <w:t>(13</w:t>
      </w:r>
      <w:r w:rsidRPr="00C67395">
        <w:rPr>
          <w:lang w:val="en-US"/>
        </w:rPr>
        <w:t>%</w:t>
      </w:r>
      <w:r w:rsidRPr="00C67395">
        <w:t xml:space="preserve"> + 2% baltyminiams augalams) </w:t>
      </w:r>
    </w:p>
    <w:p w14:paraId="579999D3" w14:textId="18830D32" w:rsidR="00C67395" w:rsidRPr="00C67395" w:rsidRDefault="00C67395" w:rsidP="00E80C43">
      <w:pPr>
        <w:spacing w:line="360" w:lineRule="auto"/>
        <w:ind w:left="-284" w:firstLine="710"/>
        <w:contextualSpacing/>
        <w:jc w:val="both"/>
        <w:rPr>
          <w:rFonts w:eastAsia="Calibri"/>
        </w:rPr>
      </w:pPr>
      <w:r w:rsidRPr="00C67395">
        <w:rPr>
          <w:u w:val="single"/>
        </w:rPr>
        <w:t>Dėl BŽŪP įgyvendinimo modelio,</w:t>
      </w:r>
      <w:r w:rsidRPr="00C67395">
        <w:t xml:space="preserve"> </w:t>
      </w:r>
      <w:r w:rsidRPr="00C67395">
        <w:rPr>
          <w:bCs/>
          <w:lang w:eastAsia="lt-LT"/>
        </w:rPr>
        <w:t xml:space="preserve">Pirm. DE nuomone, nežiūrint to, kad kai kurios valstybės narės vis dar turi atvirų klausimų dėl tam tikrų naujojo BŽŪP įgyvendinimo modelio aspektų, </w:t>
      </w:r>
      <w:r w:rsidR="00DD508D">
        <w:rPr>
          <w:bCs/>
          <w:lang w:eastAsia="lt-LT"/>
        </w:rPr>
        <w:t xml:space="preserve">naujausi </w:t>
      </w:r>
      <w:r w:rsidRPr="00C67395">
        <w:rPr>
          <w:bCs/>
          <w:lang w:eastAsia="lt-LT"/>
        </w:rPr>
        <w:t>pasiūlyti pakeitimai</w:t>
      </w:r>
      <w:r w:rsidRPr="00C67395">
        <w:t xml:space="preserve"> dėl esminių šio modelio </w:t>
      </w:r>
      <w:r w:rsidRPr="00C67395">
        <w:rPr>
          <w:rFonts w:eastAsia="Calibri"/>
          <w:lang w:eastAsia="lt-LT"/>
        </w:rPr>
        <w:t>elementų (</w:t>
      </w:r>
      <w:r w:rsidRPr="00C67395">
        <w:rPr>
          <w:rFonts w:eastAsia="Calibri"/>
        </w:rPr>
        <w:t>BŽŪP strateginių planų rengimas</w:t>
      </w:r>
      <w:r w:rsidR="0011470C">
        <w:rPr>
          <w:rFonts w:eastAsia="Calibri"/>
        </w:rPr>
        <w:t xml:space="preserve"> </w:t>
      </w:r>
      <w:r w:rsidRPr="00C67395">
        <w:rPr>
          <w:rFonts w:eastAsia="Calibri"/>
        </w:rPr>
        <w:t>/</w:t>
      </w:r>
      <w:r w:rsidR="0011470C">
        <w:rPr>
          <w:rFonts w:eastAsia="Calibri"/>
        </w:rPr>
        <w:t xml:space="preserve"> </w:t>
      </w:r>
      <w:r w:rsidRPr="00C67395">
        <w:rPr>
          <w:rFonts w:eastAsia="Calibri"/>
        </w:rPr>
        <w:t>planavimas, rodiklių sistema, vienetų sumų (</w:t>
      </w:r>
      <w:r w:rsidRPr="00C67395">
        <w:rPr>
          <w:rFonts w:eastAsia="Calibri"/>
          <w:i/>
          <w:iCs/>
        </w:rPr>
        <w:t>unit amounts</w:t>
      </w:r>
      <w:r w:rsidRPr="00C67395">
        <w:rPr>
          <w:rFonts w:eastAsia="Calibri"/>
        </w:rPr>
        <w:t>) nustatymas, BŽŪP strateginių planų tvirtinimas, metinių veiklos ataskaitų teikimas, veiklos rezultatų peržiūra) galėtų būti laikomi iš esmės stabiliais.</w:t>
      </w:r>
    </w:p>
    <w:p w14:paraId="3AAF2B17" w14:textId="77777777" w:rsidR="00C67395" w:rsidRPr="00C67395" w:rsidRDefault="00C67395" w:rsidP="004C36AD">
      <w:pPr>
        <w:jc w:val="both"/>
        <w:rPr>
          <w:rFonts w:eastAsia="Calibri"/>
          <w:b/>
        </w:rPr>
      </w:pPr>
    </w:p>
    <w:p w14:paraId="6D14D95C" w14:textId="13E8EFFD" w:rsidR="00C67395" w:rsidRPr="00C67395" w:rsidRDefault="0011470C" w:rsidP="00C67395">
      <w:pPr>
        <w:spacing w:line="360" w:lineRule="auto"/>
        <w:jc w:val="both"/>
        <w:rPr>
          <w:rFonts w:eastAsia="Calibri"/>
          <w:b/>
        </w:rPr>
      </w:pPr>
      <w:r>
        <w:rPr>
          <w:rFonts w:eastAsia="Calibri"/>
          <w:b/>
        </w:rPr>
        <w:t xml:space="preserve">      </w:t>
      </w:r>
      <w:r w:rsidR="00C67395" w:rsidRPr="00C67395">
        <w:rPr>
          <w:rFonts w:eastAsia="Calibri"/>
          <w:b/>
        </w:rPr>
        <w:t xml:space="preserve">Reglamentas dėl Bendro rinkos organizavimo (BRO) </w:t>
      </w:r>
    </w:p>
    <w:p w14:paraId="53E38D9D" w14:textId="3CF91545" w:rsidR="00C67395" w:rsidRPr="00C67395" w:rsidRDefault="00C67395" w:rsidP="000D5629">
      <w:pPr>
        <w:spacing w:line="360" w:lineRule="auto"/>
        <w:ind w:firstLine="426"/>
        <w:jc w:val="both"/>
        <w:rPr>
          <w:rFonts w:eastAsia="Calibri"/>
          <w:bCs/>
        </w:rPr>
      </w:pPr>
      <w:r w:rsidRPr="00C67395">
        <w:rPr>
          <w:rFonts w:eastAsia="Calibri"/>
          <w:bCs/>
        </w:rPr>
        <w:t xml:space="preserve">Remdamasi anksčiau vykusiomis diskusijomis dėl dabartinių rinkos paramos priemonių veiksmingumo ir daugelio valstybių narių išreikšta nuomone, kad pastaraisiais metais Komisija sugebėjo </w:t>
      </w:r>
      <w:r w:rsidR="00E46747">
        <w:rPr>
          <w:rFonts w:eastAsia="Calibri"/>
          <w:bCs/>
        </w:rPr>
        <w:t xml:space="preserve">gan </w:t>
      </w:r>
      <w:r w:rsidRPr="00C67395">
        <w:rPr>
          <w:rFonts w:eastAsia="Calibri"/>
          <w:bCs/>
        </w:rPr>
        <w:t>lanksčiai naudoti šiuo metu turimas rinkos reguliavimo priemones ir todėl jos nemato didelio poreikio peržiūrėti BRO, Pirm</w:t>
      </w:r>
      <w:r w:rsidR="008F32ED">
        <w:rPr>
          <w:rFonts w:eastAsia="Calibri"/>
          <w:bCs/>
        </w:rPr>
        <w:t xml:space="preserve">. DE </w:t>
      </w:r>
      <w:r w:rsidRPr="00C67395">
        <w:rPr>
          <w:rFonts w:eastAsia="Calibri"/>
          <w:bCs/>
        </w:rPr>
        <w:t>konstatuoja, kad BRO reglamentas iš esmės yra stabilus.</w:t>
      </w:r>
    </w:p>
    <w:p w14:paraId="5BBCAF27" w14:textId="77777777" w:rsidR="00C67395" w:rsidRPr="00C67395" w:rsidRDefault="00C67395" w:rsidP="004C36AD">
      <w:pPr>
        <w:jc w:val="both"/>
        <w:rPr>
          <w:rFonts w:eastAsia="Calibri"/>
          <w:b/>
        </w:rPr>
      </w:pPr>
    </w:p>
    <w:p w14:paraId="70985351" w14:textId="4225F565" w:rsidR="00C67395" w:rsidRPr="00C67395" w:rsidRDefault="0011470C" w:rsidP="00C67395">
      <w:pPr>
        <w:spacing w:line="360" w:lineRule="auto"/>
        <w:jc w:val="both"/>
        <w:rPr>
          <w:rFonts w:eastAsia="Calibri"/>
          <w:b/>
        </w:rPr>
      </w:pPr>
      <w:r>
        <w:rPr>
          <w:rFonts w:eastAsia="Calibri"/>
          <w:b/>
        </w:rPr>
        <w:t xml:space="preserve">       </w:t>
      </w:r>
      <w:r w:rsidR="008303BF" w:rsidRPr="008303BF">
        <w:rPr>
          <w:rFonts w:eastAsia="Calibri"/>
          <w:b/>
        </w:rPr>
        <w:t>Reglamentas dėl BŽŪP finansavimo, valdymo ir stebėsenos</w:t>
      </w:r>
    </w:p>
    <w:p w14:paraId="1EC136B3" w14:textId="5B21C947" w:rsidR="00C67395" w:rsidRPr="00C67395" w:rsidRDefault="00C67395" w:rsidP="00482113">
      <w:pPr>
        <w:spacing w:line="360" w:lineRule="auto"/>
        <w:ind w:firstLine="426"/>
        <w:jc w:val="both"/>
        <w:rPr>
          <w:rFonts w:eastAsia="Calibri"/>
        </w:rPr>
      </w:pPr>
      <w:r w:rsidRPr="00C67395">
        <w:rPr>
          <w:rFonts w:eastAsia="Calibri"/>
          <w:bCs/>
        </w:rPr>
        <w:t xml:space="preserve">Pirm. DE siekia užbaigti darbą dėl </w:t>
      </w:r>
      <w:r w:rsidR="0039703B">
        <w:rPr>
          <w:rFonts w:eastAsia="Calibri"/>
          <w:bCs/>
        </w:rPr>
        <w:t>šio</w:t>
      </w:r>
      <w:r w:rsidRPr="00C67395">
        <w:rPr>
          <w:rFonts w:eastAsia="Calibri"/>
          <w:bCs/>
        </w:rPr>
        <w:t xml:space="preserve"> reglamento atitinkamose ES Tarybos darbo grupėse ir </w:t>
      </w:r>
      <w:r w:rsidRPr="00C67395">
        <w:rPr>
          <w:rFonts w:eastAsia="Calibri"/>
        </w:rPr>
        <w:t>preliminariai patvirtinti tekstą dėl šių likusių neišspręstų klausimų:</w:t>
      </w:r>
    </w:p>
    <w:p w14:paraId="755C36A2" w14:textId="77777777" w:rsidR="00C67395" w:rsidRPr="00C67395" w:rsidRDefault="00C67395" w:rsidP="00482113">
      <w:pPr>
        <w:spacing w:line="360" w:lineRule="auto"/>
        <w:ind w:firstLine="426"/>
        <w:jc w:val="both"/>
        <w:rPr>
          <w:rFonts w:eastAsia="Calibri"/>
          <w:highlight w:val="yellow"/>
        </w:rPr>
      </w:pPr>
      <w:r w:rsidRPr="00C67395">
        <w:rPr>
          <w:rFonts w:eastAsia="Calibri"/>
        </w:rPr>
        <w:t>dėl Europos Vadovų Tarybos išvadų dėl Daugiametės finansinės programos perkėlimo (žemės ūkio rezervo, finansinės drausmės mechanizmo taikymo, išankstinio finansavimo nuostatų, automatiško su BŽŪP strateginiais planais susijusių įsipareigojimų panaikinimo);</w:t>
      </w:r>
    </w:p>
    <w:p w14:paraId="01EF8CB4" w14:textId="1A60C14F" w:rsidR="00C67395" w:rsidRPr="00C67395" w:rsidRDefault="00C67395" w:rsidP="00482113">
      <w:pPr>
        <w:tabs>
          <w:tab w:val="left" w:pos="284"/>
        </w:tabs>
        <w:spacing w:line="360" w:lineRule="auto"/>
        <w:ind w:firstLine="426"/>
        <w:jc w:val="both"/>
        <w:rPr>
          <w:lang w:eastAsia="lt-LT"/>
        </w:rPr>
      </w:pPr>
      <w:r w:rsidRPr="00C67395">
        <w:rPr>
          <w:lang w:eastAsia="lt-LT"/>
        </w:rPr>
        <w:t>dėl nuostatų, susijusių su integruota administravimo ir kontrolės sistema ir s</w:t>
      </w:r>
      <w:r w:rsidRPr="00C67395">
        <w:rPr>
          <w:noProof/>
          <w:lang w:eastAsia="lt-LT"/>
        </w:rPr>
        <w:t>u paramos sąlygų  kontrolės ir nuobaudų sistema</w:t>
      </w:r>
      <w:r w:rsidR="00F425CC">
        <w:rPr>
          <w:noProof/>
          <w:lang w:eastAsia="lt-LT"/>
        </w:rPr>
        <w:t>;</w:t>
      </w:r>
    </w:p>
    <w:p w14:paraId="34672CE5" w14:textId="1C5A1D18" w:rsidR="00065F77" w:rsidRPr="004C36AD" w:rsidRDefault="00065F77" w:rsidP="00482113">
      <w:pPr>
        <w:spacing w:line="360" w:lineRule="auto"/>
        <w:ind w:firstLine="426"/>
        <w:jc w:val="both"/>
        <w:rPr>
          <w:rFonts w:eastAsia="Calibri"/>
        </w:rPr>
      </w:pPr>
      <w:r w:rsidRPr="004C36AD">
        <w:rPr>
          <w:rFonts w:eastAsia="Calibri"/>
        </w:rPr>
        <w:t xml:space="preserve">ES Tarybos posėdžiui skirtas dokumentas </w:t>
      </w:r>
      <w:r w:rsidR="00F12676" w:rsidRPr="004C36AD">
        <w:rPr>
          <w:rFonts w:eastAsia="Calibri"/>
        </w:rPr>
        <w:t xml:space="preserve">dar </w:t>
      </w:r>
      <w:r w:rsidRPr="004C36AD">
        <w:rPr>
          <w:rFonts w:eastAsia="Calibri"/>
        </w:rPr>
        <w:t>negautas.</w:t>
      </w:r>
    </w:p>
    <w:p w14:paraId="75320F46" w14:textId="5309DC68" w:rsidR="00065F77" w:rsidRDefault="00065F77" w:rsidP="00065F77">
      <w:pPr>
        <w:spacing w:line="360" w:lineRule="auto"/>
        <w:ind w:left="720"/>
        <w:contextualSpacing/>
        <w:jc w:val="both"/>
        <w:rPr>
          <w:rFonts w:eastAsia="Calibri"/>
          <w:highlight w:val="yellow"/>
          <w:lang w:eastAsia="lt-LT" w:bidi="lt-LT"/>
        </w:rPr>
      </w:pPr>
    </w:p>
    <w:p w14:paraId="3C595926" w14:textId="77777777" w:rsidR="0025527E" w:rsidRPr="00572640" w:rsidRDefault="0025527E" w:rsidP="00065F77">
      <w:pPr>
        <w:spacing w:line="360" w:lineRule="auto"/>
        <w:ind w:left="720"/>
        <w:contextualSpacing/>
        <w:jc w:val="both"/>
        <w:rPr>
          <w:rFonts w:eastAsia="Calibri"/>
          <w:highlight w:val="yellow"/>
          <w:lang w:eastAsia="lt-LT" w:bidi="lt-LT"/>
        </w:rPr>
      </w:pPr>
    </w:p>
    <w:p w14:paraId="1C80F894" w14:textId="77777777" w:rsidR="00065F77" w:rsidRPr="004C36AD" w:rsidRDefault="00065F77" w:rsidP="00065F77">
      <w:pPr>
        <w:spacing w:line="360" w:lineRule="auto"/>
        <w:ind w:firstLine="426"/>
        <w:rPr>
          <w:rFonts w:eastAsia="Calibri"/>
          <w:b/>
          <w:bCs/>
          <w:szCs w:val="22"/>
        </w:rPr>
      </w:pPr>
      <w:bookmarkStart w:id="9" w:name="_Hlk50457608"/>
      <w:r w:rsidRPr="004C36AD">
        <w:rPr>
          <w:rFonts w:eastAsia="Calibri"/>
          <w:b/>
          <w:bCs/>
          <w:szCs w:val="22"/>
        </w:rPr>
        <w:lastRenderedPageBreak/>
        <w:t>Lietuvos pozicija:</w:t>
      </w:r>
    </w:p>
    <w:bookmarkEnd w:id="9"/>
    <w:p w14:paraId="5E4AF466" w14:textId="79AC1FB0" w:rsidR="004C36AD" w:rsidRPr="004C36AD" w:rsidRDefault="0011470C" w:rsidP="004C36AD">
      <w:pPr>
        <w:spacing w:line="360" w:lineRule="auto"/>
        <w:jc w:val="both"/>
        <w:rPr>
          <w:rFonts w:eastAsia="Calibri"/>
          <w:b/>
          <w:bCs/>
        </w:rPr>
      </w:pPr>
      <w:r>
        <w:rPr>
          <w:rFonts w:eastAsia="Calibri"/>
          <w:b/>
          <w:bCs/>
        </w:rPr>
        <w:t xml:space="preserve">      </w:t>
      </w:r>
      <w:r w:rsidR="004C36AD" w:rsidRPr="004C36AD">
        <w:rPr>
          <w:rFonts w:eastAsia="Calibri"/>
          <w:b/>
          <w:bCs/>
        </w:rPr>
        <w:t xml:space="preserve">Dėl BŽŪP strateginių planų reglamento </w:t>
      </w:r>
    </w:p>
    <w:p w14:paraId="7C8ED847" w14:textId="039A56A4" w:rsidR="004C36AD" w:rsidRPr="004C36AD" w:rsidRDefault="004C36AD" w:rsidP="004C36AD">
      <w:pPr>
        <w:spacing w:line="360" w:lineRule="auto"/>
        <w:ind w:firstLine="426"/>
        <w:jc w:val="both"/>
        <w:rPr>
          <w:lang w:eastAsia="lt-LT"/>
        </w:rPr>
      </w:pPr>
      <w:r w:rsidRPr="004C36AD">
        <w:rPr>
          <w:rFonts w:eastAsia="Calibri"/>
        </w:rPr>
        <w:t xml:space="preserve">Dėl tiesioginių išmokų ribojimo Lietuva nemato galimybių papildomam lankstumui virš Europos Vadovų sutartos 100 000 EUR ribos. </w:t>
      </w:r>
      <w:r w:rsidRPr="004C36AD">
        <w:rPr>
          <w:lang w:eastAsia="lt-LT"/>
        </w:rPr>
        <w:t>Lietuvos nuomone,</w:t>
      </w:r>
      <w:r w:rsidRPr="004C36AD">
        <w:rPr>
          <w:rFonts w:eastAsia="Calibri"/>
        </w:rPr>
        <w:t xml:space="preserve"> bent vienas iš instrumentų, skirtų tiesioginių išmokų tikslingam paskirstymui, turėtų būti taikomas privalomai, </w:t>
      </w:r>
      <w:r w:rsidR="00E46747">
        <w:rPr>
          <w:rFonts w:eastAsia="Calibri"/>
        </w:rPr>
        <w:t xml:space="preserve">pasisako už privalomą perskirstymo išmokos taikymą. </w:t>
      </w:r>
    </w:p>
    <w:p w14:paraId="0F0C09DE" w14:textId="77777777" w:rsidR="004C36AD" w:rsidRPr="004C36AD" w:rsidRDefault="004C36AD" w:rsidP="004C36AD">
      <w:pPr>
        <w:spacing w:line="360" w:lineRule="auto"/>
        <w:ind w:firstLine="426"/>
        <w:jc w:val="both"/>
        <w:rPr>
          <w:rFonts w:eastAsia="Calibri"/>
        </w:rPr>
      </w:pPr>
      <w:r w:rsidRPr="004C36AD">
        <w:rPr>
          <w:rFonts w:eastAsia="Calibri"/>
        </w:rPr>
        <w:t xml:space="preserve">Dėl susietosios paramos Lietuva pasisako už </w:t>
      </w:r>
      <w:r w:rsidRPr="004C36AD">
        <w:rPr>
          <w:rFonts w:eastAsia="Calibri"/>
          <w:i/>
          <w:iCs/>
        </w:rPr>
        <w:t>status quo</w:t>
      </w:r>
      <w:r w:rsidRPr="004C36AD">
        <w:rPr>
          <w:rFonts w:eastAsia="Calibri"/>
        </w:rPr>
        <w:t xml:space="preserve"> išlaikymą </w:t>
      </w:r>
      <w:r w:rsidRPr="004C36AD">
        <w:t>(13% + 2% baltyminiams augalams)</w:t>
      </w:r>
      <w:r w:rsidRPr="004C36AD">
        <w:rPr>
          <w:rFonts w:eastAsia="Calibri"/>
        </w:rPr>
        <w:t xml:space="preserve">, nemato galimybių šią paramą mažinti. </w:t>
      </w:r>
    </w:p>
    <w:p w14:paraId="5BE336AE" w14:textId="6CB56970" w:rsidR="004C36AD" w:rsidRPr="004C36AD" w:rsidRDefault="004C36AD" w:rsidP="004C36AD">
      <w:pPr>
        <w:spacing w:line="360" w:lineRule="auto"/>
        <w:ind w:firstLine="426"/>
        <w:contextualSpacing/>
        <w:jc w:val="both"/>
        <w:rPr>
          <w:rFonts w:eastAsia="Calibri"/>
        </w:rPr>
      </w:pPr>
      <w:r w:rsidRPr="004C36AD">
        <w:rPr>
          <w:bCs/>
          <w:lang w:eastAsia="lt-LT"/>
        </w:rPr>
        <w:t>Dėl žaliosios architektūros</w:t>
      </w:r>
      <w:r w:rsidR="0011470C">
        <w:rPr>
          <w:bCs/>
          <w:lang w:eastAsia="lt-LT"/>
        </w:rPr>
        <w:t xml:space="preserve"> – </w:t>
      </w:r>
      <w:r w:rsidRPr="004C36AD">
        <w:rPr>
          <w:bCs/>
          <w:lang w:eastAsia="lt-LT"/>
        </w:rPr>
        <w:t>Lietuva visuomet pabrėžia adekvataus finansavimo ir realiomis paskatomis ūkininkams pagrįstos sistemos svarbą.</w:t>
      </w:r>
      <w:r w:rsidRPr="004C36AD">
        <w:rPr>
          <w:rFonts w:eastAsia="Calibri"/>
        </w:rPr>
        <w:t xml:space="preserve"> Siekiant maksimaliai išnaudoti numatytas BŽŪP biudžeto  lėšas, eliminuoti bet kokią jų nepanaudojimo riziką, </w:t>
      </w:r>
      <w:r w:rsidRPr="004C36AD">
        <w:rPr>
          <w:lang w:eastAsia="lt-LT"/>
        </w:rPr>
        <w:t>Lietuva pasisako už kuo lankstesnę žaliąją sistemą, kuri suteiktų galimybę priemones ūkio lygiu modeliuoti laisvai, pagal poreikius, tiek antrame, tiek (prireikus) ir pirmame ramstyje.  </w:t>
      </w:r>
      <w:r w:rsidRPr="004C36AD">
        <w:rPr>
          <w:rFonts w:eastAsia="Calibri"/>
        </w:rPr>
        <w:t>Prioritetą teikiame antrajam ramsčiui, ilgalaikiams agro-aplinkosaug</w:t>
      </w:r>
      <w:r w:rsidR="0011470C">
        <w:rPr>
          <w:rFonts w:eastAsia="Calibri"/>
        </w:rPr>
        <w:t>os</w:t>
      </w:r>
      <w:r w:rsidRPr="004C36AD">
        <w:rPr>
          <w:rFonts w:eastAsia="Calibri"/>
        </w:rPr>
        <w:t xml:space="preserve"> įsipareigojimams. </w:t>
      </w:r>
      <w:r w:rsidRPr="004C36AD">
        <w:rPr>
          <w:lang w:eastAsia="lt-LT"/>
        </w:rPr>
        <w:t>Svarbu, kad sumodeliuotos žaliosios architektūros</w:t>
      </w:r>
      <w:r w:rsidR="0011470C">
        <w:rPr>
          <w:lang w:eastAsia="lt-LT"/>
        </w:rPr>
        <w:t xml:space="preserve"> </w:t>
      </w:r>
      <w:r w:rsidRPr="004C36AD">
        <w:rPr>
          <w:lang w:eastAsia="lt-LT"/>
        </w:rPr>
        <w:t>priemonės atitiktų realų poreikį, prisidėjimą prie Žaliojo kurso tikslų. Lietuvos nuomone, v</w:t>
      </w:r>
      <w:r w:rsidRPr="004C36AD">
        <w:rPr>
          <w:rFonts w:eastAsia="Calibri"/>
        </w:rPr>
        <w:t xml:space="preserve">isi ūkininkai turi prisidėti prie žaliųjų tikslų, su tam tikromis kontrolės išimtimis smulkiesiems ūkiams, kad administracinė našta būtų žymiai sumažinta. </w:t>
      </w:r>
    </w:p>
    <w:p w14:paraId="36B5916B" w14:textId="7D12FEB2" w:rsidR="004C36AD" w:rsidRPr="004C36AD" w:rsidRDefault="004C36AD" w:rsidP="004C36AD">
      <w:pPr>
        <w:spacing w:line="360" w:lineRule="auto"/>
        <w:ind w:firstLine="426"/>
        <w:jc w:val="both"/>
        <w:rPr>
          <w:rFonts w:eastAsia="Calibri"/>
        </w:rPr>
      </w:pPr>
      <w:r w:rsidRPr="004C36AD">
        <w:rPr>
          <w:rFonts w:eastAsia="Calibri"/>
        </w:rPr>
        <w:t xml:space="preserve">Dėl </w:t>
      </w:r>
      <w:r w:rsidRPr="004C36AD">
        <w:rPr>
          <w:rFonts w:eastAsia="Calibri"/>
          <w:b/>
          <w:bCs/>
        </w:rPr>
        <w:t>Bendrosios rinkos organizavimo reglamento</w:t>
      </w:r>
      <w:r w:rsidR="0011470C">
        <w:rPr>
          <w:rFonts w:eastAsia="Calibri"/>
          <w:b/>
          <w:bCs/>
        </w:rPr>
        <w:t>.</w:t>
      </w:r>
      <w:r w:rsidRPr="004C36AD">
        <w:rPr>
          <w:rFonts w:eastAsia="Calibri"/>
        </w:rPr>
        <w:t xml:space="preserve"> Lietuva, atsižvelgdama į </w:t>
      </w:r>
      <w:r w:rsidRPr="004C36AD">
        <w:rPr>
          <w:lang w:eastAsia="lt-LT"/>
        </w:rPr>
        <w:t>sunkumus aktyvuojant rinkos reguliavimo priemones COVID</w:t>
      </w:r>
      <w:r w:rsidR="004668BB">
        <w:rPr>
          <w:lang w:eastAsia="lt-LT"/>
        </w:rPr>
        <w:t>-19</w:t>
      </w:r>
      <w:r w:rsidRPr="004C36AD">
        <w:rPr>
          <w:lang w:eastAsia="lt-LT"/>
        </w:rPr>
        <w:t xml:space="preserve"> krizės metu,</w:t>
      </w:r>
      <w:r w:rsidRPr="004C36AD">
        <w:rPr>
          <w:rFonts w:eastAsia="Calibri"/>
        </w:rPr>
        <w:t xml:space="preserve"> norėtų didesnės ambicijos dėl </w:t>
      </w:r>
      <w:r w:rsidRPr="004C36AD">
        <w:rPr>
          <w:lang w:eastAsia="lt-LT"/>
        </w:rPr>
        <w:t xml:space="preserve">rinkos reguliavimo priemonių </w:t>
      </w:r>
      <w:r w:rsidRPr="004C36AD">
        <w:rPr>
          <w:rFonts w:eastAsia="Calibri"/>
        </w:rPr>
        <w:t xml:space="preserve"> (</w:t>
      </w:r>
      <w:r w:rsidRPr="004C36AD">
        <w:rPr>
          <w:rFonts w:eastAsia="Calibri"/>
          <w:i/>
          <w:iCs/>
        </w:rPr>
        <w:t>safety-net)</w:t>
      </w:r>
      <w:r w:rsidRPr="004C36AD">
        <w:rPr>
          <w:rFonts w:eastAsia="Calibri"/>
        </w:rPr>
        <w:t xml:space="preserve"> </w:t>
      </w:r>
      <w:r w:rsidR="00DE37CD">
        <w:rPr>
          <w:rFonts w:eastAsia="Calibri"/>
        </w:rPr>
        <w:t>tobulinimo</w:t>
      </w:r>
      <w:r w:rsidRPr="004C36AD">
        <w:rPr>
          <w:rFonts w:eastAsia="Calibri"/>
        </w:rPr>
        <w:t xml:space="preserve">. </w:t>
      </w:r>
    </w:p>
    <w:p w14:paraId="6E989866" w14:textId="5129B76B" w:rsidR="004C36AD" w:rsidRPr="004C36AD" w:rsidRDefault="004C36AD" w:rsidP="004C36AD">
      <w:pPr>
        <w:spacing w:line="360" w:lineRule="auto"/>
        <w:ind w:firstLine="426"/>
        <w:jc w:val="both"/>
        <w:rPr>
          <w:rFonts w:eastAsia="Calibri"/>
        </w:rPr>
      </w:pPr>
      <w:r w:rsidRPr="004C36AD">
        <w:rPr>
          <w:rFonts w:eastAsia="Calibri"/>
        </w:rPr>
        <w:t xml:space="preserve">Dėl </w:t>
      </w:r>
      <w:r w:rsidRPr="004C36AD">
        <w:rPr>
          <w:rFonts w:eastAsia="Calibri"/>
          <w:b/>
          <w:bCs/>
        </w:rPr>
        <w:t>Horizontalaus reglamento</w:t>
      </w:r>
      <w:r w:rsidR="0011470C">
        <w:rPr>
          <w:rFonts w:eastAsia="Calibri"/>
        </w:rPr>
        <w:t>.</w:t>
      </w:r>
      <w:r w:rsidRPr="004C36AD">
        <w:rPr>
          <w:rFonts w:eastAsia="Calibri"/>
        </w:rPr>
        <w:t xml:space="preserve"> Lietuvos nuomone, dar yra likę svarbių neišspręstų klausimų  dėl žemės ūkio rezervo formavimo principų, finansų disciplinos nuostatų. Lietuvos nuomone, </w:t>
      </w:r>
      <w:r w:rsidRPr="004C36AD">
        <w:rPr>
          <w:lang w:eastAsia="lt-LT"/>
        </w:rPr>
        <w:t>siekiant apsaugoti smulkių paramos gavėjų interesus, dabar taikoma 2000 E</w:t>
      </w:r>
      <w:r w:rsidR="0011470C">
        <w:rPr>
          <w:lang w:eastAsia="lt-LT"/>
        </w:rPr>
        <w:t>UR</w:t>
      </w:r>
      <w:r w:rsidRPr="004C36AD">
        <w:rPr>
          <w:lang w:eastAsia="lt-LT"/>
        </w:rPr>
        <w:t xml:space="preserve"> riba, iki kurios netaikomas finansinės disciplinos mechanizmas, turi būti išlaikyta.</w:t>
      </w:r>
    </w:p>
    <w:p w14:paraId="6F1B7BC9" w14:textId="77777777" w:rsidR="004C36AD" w:rsidRPr="004C36AD" w:rsidRDefault="004C36AD" w:rsidP="00DE37CD">
      <w:pPr>
        <w:jc w:val="both"/>
        <w:rPr>
          <w:rFonts w:eastAsia="Calibri"/>
          <w:b/>
        </w:rPr>
      </w:pPr>
    </w:p>
    <w:bookmarkEnd w:id="1"/>
    <w:bookmarkEnd w:id="2"/>
    <w:p w14:paraId="7F3E6A68" w14:textId="0A065BEB" w:rsidR="00065F77" w:rsidRPr="00214CB3" w:rsidRDefault="0011470C" w:rsidP="00065F77">
      <w:pPr>
        <w:rPr>
          <w:rFonts w:eastAsia="Calibri"/>
          <w:b/>
          <w:bCs/>
          <w:szCs w:val="22"/>
        </w:rPr>
      </w:pPr>
      <w:r>
        <w:rPr>
          <w:rFonts w:eastAsia="Calibri"/>
          <w:b/>
          <w:bCs/>
          <w:szCs w:val="22"/>
        </w:rPr>
        <w:t xml:space="preserve">       </w:t>
      </w:r>
      <w:r w:rsidR="009B6FB7" w:rsidRPr="00214CB3">
        <w:rPr>
          <w:rFonts w:eastAsia="Calibri"/>
          <w:b/>
          <w:bCs/>
          <w:szCs w:val="22"/>
        </w:rPr>
        <w:t>2</w:t>
      </w:r>
      <w:r w:rsidR="00065F77" w:rsidRPr="00214CB3">
        <w:rPr>
          <w:rFonts w:eastAsia="Calibri"/>
          <w:b/>
          <w:bCs/>
          <w:szCs w:val="22"/>
        </w:rPr>
        <w:t xml:space="preserve">. </w:t>
      </w:r>
      <w:r w:rsidR="00214CB3" w:rsidRPr="00214CB3">
        <w:rPr>
          <w:rFonts w:eastAsia="Calibri"/>
          <w:b/>
          <w:bCs/>
          <w:szCs w:val="22"/>
        </w:rPr>
        <w:t>Tarybos reglamentas, kuriuo nustatomos 2021 m. žvejybos Baltijos jūroje galimybės</w:t>
      </w:r>
    </w:p>
    <w:p w14:paraId="422D105E" w14:textId="527C8D57" w:rsidR="00065F77" w:rsidRPr="00214CB3" w:rsidRDefault="00251EA4" w:rsidP="00065F77">
      <w:pPr>
        <w:rPr>
          <w:rFonts w:eastAsia="Calibri"/>
          <w:i/>
          <w:iCs/>
          <w:szCs w:val="22"/>
        </w:rPr>
      </w:pPr>
      <w:r>
        <w:rPr>
          <w:rFonts w:eastAsia="Calibri"/>
          <w:i/>
          <w:iCs/>
          <w:szCs w:val="22"/>
        </w:rPr>
        <w:t xml:space="preserve">       </w:t>
      </w:r>
      <w:r w:rsidR="0011470C">
        <w:rPr>
          <w:rFonts w:eastAsia="Calibri"/>
          <w:i/>
          <w:iCs/>
          <w:szCs w:val="22"/>
        </w:rPr>
        <w:t>–</w:t>
      </w:r>
      <w:r w:rsidR="00065F77" w:rsidRPr="00214CB3">
        <w:rPr>
          <w:rFonts w:eastAsia="Calibri"/>
          <w:i/>
          <w:iCs/>
          <w:szCs w:val="22"/>
        </w:rPr>
        <w:t xml:space="preserve"> </w:t>
      </w:r>
      <w:r>
        <w:rPr>
          <w:rFonts w:eastAsia="Calibri"/>
          <w:i/>
          <w:iCs/>
          <w:szCs w:val="22"/>
        </w:rPr>
        <w:t>P</w:t>
      </w:r>
      <w:r w:rsidR="009B6FB7" w:rsidRPr="00214CB3">
        <w:rPr>
          <w:rFonts w:eastAsia="Calibri"/>
          <w:i/>
          <w:iCs/>
          <w:szCs w:val="22"/>
        </w:rPr>
        <w:t>olitinis susitarimas</w:t>
      </w:r>
    </w:p>
    <w:p w14:paraId="55D9B8B8" w14:textId="77777777" w:rsidR="00065F77" w:rsidRPr="00572640" w:rsidRDefault="00065F77" w:rsidP="00065F77">
      <w:pPr>
        <w:rPr>
          <w:rFonts w:eastAsia="Calibri"/>
          <w:i/>
          <w:iCs/>
          <w:szCs w:val="22"/>
          <w:highlight w:val="yellow"/>
        </w:rPr>
      </w:pPr>
    </w:p>
    <w:p w14:paraId="66910C0A" w14:textId="77777777" w:rsidR="00214CB3" w:rsidRPr="00214CB3" w:rsidRDefault="00065F77" w:rsidP="00214CB3">
      <w:pPr>
        <w:spacing w:line="360" w:lineRule="auto"/>
        <w:ind w:firstLine="426"/>
        <w:jc w:val="both"/>
        <w:rPr>
          <w:rFonts w:eastAsia="Calibri"/>
        </w:rPr>
      </w:pPr>
      <w:r w:rsidRPr="00214CB3">
        <w:rPr>
          <w:rFonts w:eastAsia="Calibri"/>
        </w:rPr>
        <w:t xml:space="preserve"> </w:t>
      </w:r>
      <w:r w:rsidR="00214CB3" w:rsidRPr="00214CB3">
        <w:rPr>
          <w:rFonts w:eastAsia="Calibri"/>
        </w:rPr>
        <w:t xml:space="preserve">ES Tarybos posėdžio metu bus siekiama politinio susitarimo dėl svarbiausių verslinių išteklių žvejybos galimybių Baltijos jūroje ateinančiais metais. </w:t>
      </w:r>
    </w:p>
    <w:p w14:paraId="6587B8C4" w14:textId="77777777" w:rsidR="00214CB3" w:rsidRPr="00214CB3" w:rsidRDefault="00214CB3" w:rsidP="00214CB3">
      <w:pPr>
        <w:spacing w:line="360" w:lineRule="auto"/>
        <w:ind w:firstLine="426"/>
        <w:jc w:val="both"/>
        <w:rPr>
          <w:rFonts w:eastAsia="Calibri"/>
        </w:rPr>
      </w:pPr>
      <w:r w:rsidRPr="00214CB3">
        <w:rPr>
          <w:rFonts w:eastAsia="Calibri"/>
        </w:rPr>
        <w:t xml:space="preserve">Pagal Reglamentą (ES) Nr. 1380/2013 dėl bendros žuvininkystės politikos (BŽP) gyvieji jūrų biologiniai ištekliai turi būti naudojami taip, kad žvejojamų rūšių populiacijų dydžiai viršytų dydžius, kuriais gali būti užtikrintas didžiausias galimas tausios žvejybos laimikis (MSY). Svarbi priemonė siekiant šio tikslo yra kiekvienais metais nustatomos žvejybos galimybės. </w:t>
      </w:r>
    </w:p>
    <w:p w14:paraId="22C82EF1" w14:textId="1CADB61A" w:rsidR="00214CB3" w:rsidRPr="00214CB3" w:rsidRDefault="00214CB3" w:rsidP="00214CB3">
      <w:pPr>
        <w:spacing w:line="360" w:lineRule="auto"/>
        <w:ind w:firstLine="426"/>
        <w:jc w:val="both"/>
        <w:rPr>
          <w:rFonts w:eastAsia="Calibri"/>
        </w:rPr>
      </w:pPr>
      <w:r w:rsidRPr="00214CB3">
        <w:rPr>
          <w:rFonts w:eastAsia="Calibri"/>
        </w:rPr>
        <w:t xml:space="preserve">Europos Komisijos pasiūlymas parengtas remiantis mokslinėmis rekomendacijomis dėl žuvų išteklių būklės, </w:t>
      </w:r>
      <w:r w:rsidR="00951BC7">
        <w:rPr>
          <w:rFonts w:eastAsia="Calibri"/>
        </w:rPr>
        <w:t>BŽP</w:t>
      </w:r>
      <w:r w:rsidRPr="00214CB3">
        <w:rPr>
          <w:rFonts w:eastAsia="Calibri"/>
        </w:rPr>
        <w:t xml:space="preserve"> reglamentu (ES) Nr. 1380/2013 ir Daugiamečiu Baltijos jūros menkių, silkių ir šprotų išteklių valdymo ir tų išteklių žvejybos planu (reglamentas (ES) Nr. 2016/1139)</w:t>
      </w:r>
      <w:r w:rsidR="00951BC7">
        <w:rPr>
          <w:rFonts w:eastAsia="Calibri"/>
        </w:rPr>
        <w:t>.</w:t>
      </w:r>
      <w:r w:rsidRPr="00214CB3">
        <w:rPr>
          <w:rFonts w:eastAsia="Calibri"/>
        </w:rPr>
        <w:t xml:space="preserve"> </w:t>
      </w:r>
      <w:r w:rsidR="00951BC7">
        <w:rPr>
          <w:rFonts w:eastAsia="Calibri"/>
        </w:rPr>
        <w:t>S</w:t>
      </w:r>
      <w:r w:rsidRPr="00214CB3">
        <w:rPr>
          <w:rFonts w:eastAsia="Calibri"/>
        </w:rPr>
        <w:t>iūlo</w:t>
      </w:r>
      <w:r w:rsidR="00951BC7">
        <w:rPr>
          <w:rFonts w:eastAsia="Calibri"/>
        </w:rPr>
        <w:t>ma</w:t>
      </w:r>
      <w:r w:rsidRPr="00214CB3">
        <w:rPr>
          <w:rFonts w:eastAsia="Calibri"/>
        </w:rPr>
        <w:t xml:space="preserve"> didinti (lyginant su 2020 m.) tik Rygos įlankos strimėlių (+15 %) ir pagrindinio baseino lašišų (+9 %) žvejybos </w:t>
      </w:r>
      <w:r w:rsidRPr="00214CB3">
        <w:rPr>
          <w:rFonts w:eastAsia="Calibri"/>
        </w:rPr>
        <w:lastRenderedPageBreak/>
        <w:t xml:space="preserve">galimybes </w:t>
      </w:r>
      <w:r w:rsidR="00951BC7">
        <w:rPr>
          <w:rFonts w:eastAsia="Calibri"/>
        </w:rPr>
        <w:t>bei</w:t>
      </w:r>
      <w:r w:rsidRPr="00214CB3">
        <w:rPr>
          <w:rFonts w:eastAsia="Calibri"/>
        </w:rPr>
        <w:t xml:space="preserve"> palikti ši</w:t>
      </w:r>
      <w:r w:rsidR="00951BC7">
        <w:rPr>
          <w:rFonts w:eastAsia="Calibri"/>
        </w:rPr>
        <w:t>ų metų</w:t>
      </w:r>
      <w:r w:rsidRPr="00214CB3">
        <w:rPr>
          <w:rFonts w:eastAsia="Calibri"/>
        </w:rPr>
        <w:t xml:space="preserve"> dydžio šprotų, Botnijos įlankos strimėlių ir jūrinių plekšnių žvejybos galimybes, o likusių Baltijos jūros žuvų išteklių žvejybos galimybes mažinti. Ženkliausiai siūloma mažinti vakarinių strimėlių (-50 %) ir centrinės dalies strimėlių (-36 %) žvejybos kvotas</w:t>
      </w:r>
      <w:r w:rsidR="00951BC7">
        <w:rPr>
          <w:rFonts w:eastAsia="Calibri"/>
        </w:rPr>
        <w:t>.</w:t>
      </w:r>
      <w:r w:rsidRPr="00214CB3">
        <w:rPr>
          <w:rFonts w:eastAsia="Calibri"/>
        </w:rPr>
        <w:t xml:space="preserve"> </w:t>
      </w:r>
      <w:r w:rsidR="00951BC7">
        <w:rPr>
          <w:rFonts w:eastAsia="Calibri"/>
        </w:rPr>
        <w:t>T</w:t>
      </w:r>
      <w:r w:rsidRPr="00214CB3">
        <w:rPr>
          <w:rFonts w:eastAsia="Calibri"/>
        </w:rPr>
        <w:t xml:space="preserve">aip pat būtų mažinamos vakarinių menkių (-11 %) ir Suomijos įlankos lašišų (-10 %) žvejybos galimybės. Siūloma 2021 m. palikti galioti tikslinės rytinių menkių žvejybos draudimą, o priegaudos kvotą (skirtą neišvengiamiems menkių sugavimams žvejojant kitas žuvų rūšis) sumažinti 70 %. </w:t>
      </w:r>
      <w:r w:rsidR="007964E9">
        <w:rPr>
          <w:rFonts w:eastAsia="Calibri"/>
        </w:rPr>
        <w:t>Š</w:t>
      </w:r>
      <w:r w:rsidRPr="00214CB3">
        <w:rPr>
          <w:rFonts w:eastAsia="Calibri"/>
        </w:rPr>
        <w:t>ią priegaudą būtų draudžiama sugauti vasarinio neršto metu (gegužės 1 d. – rugpjūčio 31 d.), numatant išimtį tik mokslinei žvejybai ir tam tikrais įrankiais žvejojantiems nedideliems priekrantės žvejybos laivams. Komisija siūlo ir toliau drausti rytinių menkių mėgėjų žvejybą pietinėje Baltijos jūros dalyje (į kurią patenka ir Lietuvos išskirtinės ekonominės zonos vandenys), nes jų sužvejojami kiekiai, palyginti su priegaudos kvota, būtų dideli</w:t>
      </w:r>
      <w:r w:rsidR="004C1D90" w:rsidRPr="004C1D90">
        <w:t xml:space="preserve"> </w:t>
      </w:r>
      <w:r w:rsidR="004C1D90" w:rsidRPr="004C1D90">
        <w:rPr>
          <w:rFonts w:eastAsia="Calibri"/>
        </w:rPr>
        <w:t>ir nesuderinami su tikslu atkurti kritinės būklės rytinių menkių išteklius</w:t>
      </w:r>
      <w:r w:rsidR="004C1D90">
        <w:rPr>
          <w:rFonts w:eastAsia="Calibri"/>
        </w:rPr>
        <w:t>.</w:t>
      </w:r>
      <w:r w:rsidRPr="00214CB3">
        <w:rPr>
          <w:rFonts w:eastAsia="Calibri"/>
        </w:rPr>
        <w:t xml:space="preserve"> </w:t>
      </w:r>
    </w:p>
    <w:p w14:paraId="74BD9110" w14:textId="77777777" w:rsidR="00214CB3" w:rsidRPr="00214CB3" w:rsidRDefault="00214CB3" w:rsidP="00214CB3">
      <w:pPr>
        <w:spacing w:line="360" w:lineRule="auto"/>
        <w:ind w:firstLine="426"/>
        <w:jc w:val="both"/>
        <w:rPr>
          <w:rFonts w:eastAsia="Calibri"/>
        </w:rPr>
      </w:pPr>
      <w:r w:rsidRPr="00214CB3">
        <w:rPr>
          <w:rFonts w:eastAsia="Calibri"/>
        </w:rPr>
        <w:t>Komisijos siūlomos Lietuvai aktualių išteklių žvejybos galimybės 2021 m.:</w:t>
      </w:r>
    </w:p>
    <w:p w14:paraId="277317E3" w14:textId="45835775" w:rsidR="00214CB3" w:rsidRPr="00214CB3" w:rsidRDefault="00214CB3" w:rsidP="00214CB3">
      <w:pPr>
        <w:spacing w:line="360" w:lineRule="auto"/>
        <w:ind w:firstLine="426"/>
        <w:jc w:val="both"/>
        <w:rPr>
          <w:rFonts w:eastAsia="Calibri"/>
        </w:rPr>
      </w:pPr>
      <w:r w:rsidRPr="00214CB3">
        <w:rPr>
          <w:rFonts w:eastAsia="Calibri"/>
        </w:rPr>
        <w:t>­</w:t>
      </w:r>
      <w:r w:rsidRPr="00214CB3">
        <w:rPr>
          <w:rFonts w:eastAsia="Calibri"/>
        </w:rPr>
        <w:tab/>
        <w:t>Centrinio baseino strimėlių – 2</w:t>
      </w:r>
      <w:r w:rsidR="00553F86">
        <w:rPr>
          <w:rFonts w:eastAsia="Calibri"/>
        </w:rPr>
        <w:t xml:space="preserve"> </w:t>
      </w:r>
      <w:r w:rsidRPr="00214CB3">
        <w:rPr>
          <w:rFonts w:eastAsia="Calibri"/>
        </w:rPr>
        <w:t xml:space="preserve">848 tonos (-36 %);  </w:t>
      </w:r>
    </w:p>
    <w:p w14:paraId="056829B9" w14:textId="5ABEF58D" w:rsidR="00214CB3" w:rsidRPr="00214CB3" w:rsidRDefault="00214CB3" w:rsidP="00214CB3">
      <w:pPr>
        <w:spacing w:line="360" w:lineRule="auto"/>
        <w:ind w:firstLine="426"/>
        <w:jc w:val="both"/>
        <w:rPr>
          <w:rFonts w:eastAsia="Calibri"/>
        </w:rPr>
      </w:pPr>
      <w:r w:rsidRPr="00214CB3">
        <w:rPr>
          <w:rFonts w:eastAsia="Calibri"/>
        </w:rPr>
        <w:t>­</w:t>
      </w:r>
      <w:r w:rsidRPr="00214CB3">
        <w:rPr>
          <w:rFonts w:eastAsia="Calibri"/>
        </w:rPr>
        <w:tab/>
        <w:t>Šprotų – 10</w:t>
      </w:r>
      <w:r w:rsidR="00553F86">
        <w:rPr>
          <w:rFonts w:eastAsia="Calibri"/>
        </w:rPr>
        <w:t xml:space="preserve"> </w:t>
      </w:r>
      <w:r w:rsidRPr="00214CB3">
        <w:rPr>
          <w:rFonts w:eastAsia="Calibri"/>
        </w:rPr>
        <w:t>517 tonų  (0 %);</w:t>
      </w:r>
    </w:p>
    <w:p w14:paraId="081551E9" w14:textId="6ADEF817" w:rsidR="00214CB3" w:rsidRPr="00214CB3" w:rsidRDefault="00214CB3" w:rsidP="00214CB3">
      <w:pPr>
        <w:spacing w:line="360" w:lineRule="auto"/>
        <w:ind w:firstLine="426"/>
        <w:jc w:val="both"/>
        <w:rPr>
          <w:rFonts w:eastAsia="Calibri"/>
        </w:rPr>
      </w:pPr>
      <w:r w:rsidRPr="00214CB3">
        <w:rPr>
          <w:rFonts w:eastAsia="Calibri"/>
        </w:rPr>
        <w:t>­</w:t>
      </w:r>
      <w:r w:rsidRPr="00214CB3">
        <w:rPr>
          <w:rFonts w:eastAsia="Calibri"/>
        </w:rPr>
        <w:tab/>
        <w:t>Pagrindinio baseino lašišų – 1</w:t>
      </w:r>
      <w:r w:rsidR="00553F86">
        <w:rPr>
          <w:rFonts w:eastAsia="Calibri"/>
        </w:rPr>
        <w:t xml:space="preserve"> </w:t>
      </w:r>
      <w:r w:rsidRPr="00214CB3">
        <w:rPr>
          <w:rFonts w:eastAsia="Calibri"/>
        </w:rPr>
        <w:t>464 vienetai (+9 %);</w:t>
      </w:r>
    </w:p>
    <w:p w14:paraId="34F417DC" w14:textId="77777777" w:rsidR="00214CB3" w:rsidRPr="00214CB3" w:rsidRDefault="00214CB3" w:rsidP="00214CB3">
      <w:pPr>
        <w:spacing w:line="360" w:lineRule="auto"/>
        <w:ind w:firstLine="426"/>
        <w:jc w:val="both"/>
        <w:rPr>
          <w:rFonts w:eastAsia="Calibri"/>
        </w:rPr>
      </w:pPr>
      <w:r w:rsidRPr="00214CB3">
        <w:rPr>
          <w:rFonts w:eastAsia="Calibri"/>
        </w:rPr>
        <w:t>­</w:t>
      </w:r>
      <w:r w:rsidRPr="00214CB3">
        <w:rPr>
          <w:rFonts w:eastAsia="Calibri"/>
        </w:rPr>
        <w:tab/>
        <w:t>Vakarinių menkių – 80 tonų (-11 %);</w:t>
      </w:r>
    </w:p>
    <w:p w14:paraId="06873C76" w14:textId="13441FF4" w:rsidR="00065F77" w:rsidRPr="00572640" w:rsidRDefault="00214CB3" w:rsidP="00214CB3">
      <w:pPr>
        <w:spacing w:line="360" w:lineRule="auto"/>
        <w:ind w:firstLine="426"/>
        <w:jc w:val="both"/>
        <w:rPr>
          <w:rFonts w:eastAsia="Calibri"/>
          <w:highlight w:val="yellow"/>
        </w:rPr>
      </w:pPr>
      <w:r w:rsidRPr="00214CB3">
        <w:rPr>
          <w:rFonts w:eastAsia="Calibri"/>
        </w:rPr>
        <w:t>­</w:t>
      </w:r>
      <w:r w:rsidRPr="00214CB3">
        <w:rPr>
          <w:rFonts w:eastAsia="Calibri"/>
        </w:rPr>
        <w:tab/>
        <w:t>Rytinių menkių – 33 tonų priegaudos kvota (-70%).</w:t>
      </w:r>
    </w:p>
    <w:p w14:paraId="31AE48B6" w14:textId="77777777" w:rsidR="00065F77" w:rsidRPr="00572640" w:rsidRDefault="00065F77" w:rsidP="0025527E">
      <w:pPr>
        <w:ind w:firstLine="426"/>
        <w:rPr>
          <w:rFonts w:eastAsia="Calibri"/>
          <w:b/>
          <w:bCs/>
          <w:szCs w:val="22"/>
          <w:highlight w:val="yellow"/>
        </w:rPr>
      </w:pPr>
      <w:bookmarkStart w:id="10" w:name="_Hlk34640810"/>
    </w:p>
    <w:p w14:paraId="06284E67" w14:textId="77777777" w:rsidR="00065F77" w:rsidRPr="00951BC7" w:rsidRDefault="00065F77" w:rsidP="00065F77">
      <w:pPr>
        <w:spacing w:line="360" w:lineRule="auto"/>
        <w:ind w:firstLine="426"/>
        <w:rPr>
          <w:rFonts w:eastAsia="Calibri"/>
          <w:b/>
          <w:bCs/>
          <w:szCs w:val="22"/>
        </w:rPr>
      </w:pPr>
      <w:r w:rsidRPr="00951BC7">
        <w:rPr>
          <w:rFonts w:eastAsia="Calibri"/>
          <w:b/>
          <w:bCs/>
          <w:szCs w:val="22"/>
        </w:rPr>
        <w:t>Lietuvos pozicija:</w:t>
      </w:r>
    </w:p>
    <w:p w14:paraId="53BFFCD3" w14:textId="40DE6B6D" w:rsidR="00065F77" w:rsidRDefault="0066789E" w:rsidP="0066789E">
      <w:pPr>
        <w:spacing w:line="360" w:lineRule="auto"/>
        <w:ind w:firstLine="426"/>
        <w:jc w:val="both"/>
        <w:rPr>
          <w:rFonts w:eastAsia="Calibri"/>
          <w:szCs w:val="22"/>
        </w:rPr>
      </w:pPr>
      <w:bookmarkStart w:id="11" w:name="_Hlk50455048"/>
      <w:r w:rsidRPr="0066789E">
        <w:rPr>
          <w:rFonts w:eastAsia="Calibri"/>
          <w:szCs w:val="22"/>
        </w:rPr>
        <w:t>Lietuva pasisako už nuoseklų mokslinių rekomendacijų taikymą, subalansuotą požiūrį ir žvejybos galimybių didelių svyravimų vengimą. Priimant sprendimus</w:t>
      </w:r>
      <w:r>
        <w:rPr>
          <w:rFonts w:eastAsia="Calibri"/>
          <w:szCs w:val="22"/>
        </w:rPr>
        <w:t>,</w:t>
      </w:r>
      <w:r w:rsidRPr="0066789E">
        <w:rPr>
          <w:rFonts w:eastAsia="Calibri"/>
          <w:szCs w:val="22"/>
        </w:rPr>
        <w:t xml:space="preserve"> būtina atsižvelgti ir į socialines-ekonomines pasekmes bei siekti išlaikyti žvejybos sektoriaus gyvybingumą. Todėl pasisakome už didesnį pelaginių žuvų išteklių (strimėlių ir šprotų) žvejybos</w:t>
      </w:r>
      <w:r w:rsidR="004A00DC">
        <w:rPr>
          <w:rFonts w:eastAsia="Calibri"/>
          <w:szCs w:val="22"/>
        </w:rPr>
        <w:t xml:space="preserve"> galimybių</w:t>
      </w:r>
      <w:r w:rsidRPr="0066789E">
        <w:rPr>
          <w:rFonts w:eastAsia="Calibri"/>
          <w:szCs w:val="22"/>
        </w:rPr>
        <w:t xml:space="preserve"> stabilumą</w:t>
      </w:r>
      <w:r w:rsidR="004A00DC">
        <w:rPr>
          <w:rFonts w:eastAsia="Calibri"/>
          <w:szCs w:val="22"/>
        </w:rPr>
        <w:t>.</w:t>
      </w:r>
      <w:r w:rsidRPr="0066789E">
        <w:rPr>
          <w:rFonts w:eastAsia="Calibri"/>
          <w:szCs w:val="22"/>
        </w:rPr>
        <w:t xml:space="preserve"> </w:t>
      </w:r>
      <w:r w:rsidR="004A00DC">
        <w:rPr>
          <w:rFonts w:eastAsia="Calibri"/>
          <w:szCs w:val="22"/>
        </w:rPr>
        <w:t>M</w:t>
      </w:r>
      <w:r w:rsidRPr="0066789E">
        <w:rPr>
          <w:rFonts w:eastAsia="Calibri"/>
          <w:szCs w:val="22"/>
        </w:rPr>
        <w:t>atome galimybę, laikantis Daugiamečio Baltijos jūros menkių, silkių ir šprotų išteklių valdymo ir tų išteklių žvejybos plano nuostatų</w:t>
      </w:r>
      <w:r w:rsidR="004A00DC">
        <w:rPr>
          <w:rFonts w:eastAsia="Calibri"/>
          <w:szCs w:val="22"/>
        </w:rPr>
        <w:t xml:space="preserve"> bei mokslininkų rekomendacijų</w:t>
      </w:r>
      <w:r w:rsidRPr="0066789E">
        <w:rPr>
          <w:rFonts w:eastAsia="Calibri"/>
          <w:szCs w:val="22"/>
        </w:rPr>
        <w:t>, nustatyti didesnę (+6 %) šprotų žvejybos kvotą. Be to,</w:t>
      </w:r>
      <w:r>
        <w:rPr>
          <w:rFonts w:eastAsia="Calibri"/>
          <w:szCs w:val="22"/>
        </w:rPr>
        <w:t xml:space="preserve"> Lietuva</w:t>
      </w:r>
      <w:r w:rsidRPr="0066789E">
        <w:rPr>
          <w:rFonts w:eastAsia="Calibri"/>
          <w:szCs w:val="22"/>
        </w:rPr>
        <w:t xml:space="preserve"> laikos</w:t>
      </w:r>
      <w:r>
        <w:rPr>
          <w:rFonts w:eastAsia="Calibri"/>
          <w:szCs w:val="22"/>
        </w:rPr>
        <w:t>i</w:t>
      </w:r>
      <w:r w:rsidRPr="0066789E">
        <w:rPr>
          <w:rFonts w:eastAsia="Calibri"/>
          <w:szCs w:val="22"/>
        </w:rPr>
        <w:t xml:space="preserve"> pozicijos, kad nustatomas rytinių menkių priegaudos kvotos dydis turi atitikti realiai sugaunamą priegaudą ir neužkirsti galimybės</w:t>
      </w:r>
      <w:r w:rsidR="004A00DC">
        <w:rPr>
          <w:rFonts w:eastAsia="Calibri"/>
          <w:szCs w:val="22"/>
        </w:rPr>
        <w:t xml:space="preserve"> viso žvejybos sezono metu</w:t>
      </w:r>
      <w:r w:rsidRPr="0066789E">
        <w:rPr>
          <w:rFonts w:eastAsia="Calibri"/>
          <w:szCs w:val="22"/>
        </w:rPr>
        <w:t xml:space="preserve"> vykdyti kitų žuvų rūšių žvejybą.</w:t>
      </w:r>
    </w:p>
    <w:p w14:paraId="2F58CA92" w14:textId="77777777" w:rsidR="007B726C" w:rsidRDefault="007B726C" w:rsidP="0025527E">
      <w:pPr>
        <w:jc w:val="both"/>
        <w:rPr>
          <w:rFonts w:eastAsia="Calibri"/>
          <w:b/>
          <w:bCs/>
          <w:szCs w:val="22"/>
        </w:rPr>
      </w:pPr>
    </w:p>
    <w:p w14:paraId="0B4417D0" w14:textId="3271AABE" w:rsidR="007B726C" w:rsidRDefault="00553F86" w:rsidP="00E9631D">
      <w:pPr>
        <w:spacing w:line="360" w:lineRule="auto"/>
        <w:jc w:val="both"/>
        <w:rPr>
          <w:rFonts w:eastAsia="Calibri"/>
          <w:b/>
          <w:bCs/>
          <w:szCs w:val="22"/>
        </w:rPr>
      </w:pPr>
      <w:r>
        <w:rPr>
          <w:rFonts w:eastAsia="Calibri"/>
          <w:b/>
          <w:bCs/>
          <w:szCs w:val="22"/>
        </w:rPr>
        <w:t xml:space="preserve">     </w:t>
      </w:r>
      <w:r w:rsidR="007B726C">
        <w:rPr>
          <w:rFonts w:eastAsia="Calibri"/>
          <w:b/>
          <w:bCs/>
          <w:szCs w:val="22"/>
        </w:rPr>
        <w:t xml:space="preserve">3. </w:t>
      </w:r>
      <w:r w:rsidR="007A5A21" w:rsidRPr="007A5A21">
        <w:rPr>
          <w:rFonts w:eastAsia="Calibri"/>
          <w:b/>
          <w:bCs/>
          <w:szCs w:val="22"/>
        </w:rPr>
        <w:t>(</w:t>
      </w:r>
      <w:r>
        <w:rPr>
          <w:rFonts w:eastAsia="Calibri"/>
          <w:b/>
          <w:bCs/>
          <w:szCs w:val="22"/>
        </w:rPr>
        <w:t>G</w:t>
      </w:r>
      <w:r w:rsidR="007A5A21" w:rsidRPr="007A5A21">
        <w:rPr>
          <w:rFonts w:eastAsia="Calibri"/>
          <w:b/>
          <w:bCs/>
          <w:szCs w:val="22"/>
        </w:rPr>
        <w:t>alimas) ES ir Norvegija: kasmetinės konsultacijos dėl 2021 m.</w:t>
      </w:r>
    </w:p>
    <w:p w14:paraId="46C53E0F" w14:textId="23CF79D0" w:rsidR="007B726C" w:rsidRPr="00E05369" w:rsidRDefault="00251EA4" w:rsidP="00E9631D">
      <w:pPr>
        <w:spacing w:line="360" w:lineRule="auto"/>
        <w:jc w:val="both"/>
        <w:rPr>
          <w:rFonts w:eastAsia="Calibri"/>
          <w:i/>
          <w:iCs/>
          <w:szCs w:val="22"/>
        </w:rPr>
      </w:pPr>
      <w:r>
        <w:rPr>
          <w:rFonts w:eastAsia="Calibri"/>
          <w:i/>
          <w:iCs/>
          <w:szCs w:val="22"/>
        </w:rPr>
        <w:t xml:space="preserve">     </w:t>
      </w:r>
      <w:r w:rsidR="00553F86">
        <w:rPr>
          <w:rFonts w:eastAsia="Calibri"/>
          <w:i/>
          <w:iCs/>
          <w:szCs w:val="22"/>
        </w:rPr>
        <w:t xml:space="preserve">– </w:t>
      </w:r>
      <w:r>
        <w:rPr>
          <w:rFonts w:eastAsia="Calibri"/>
          <w:i/>
          <w:iCs/>
          <w:szCs w:val="22"/>
        </w:rPr>
        <w:t>P</w:t>
      </w:r>
      <w:r w:rsidR="00E05369" w:rsidRPr="00E05369">
        <w:rPr>
          <w:rFonts w:eastAsia="Calibri"/>
          <w:i/>
          <w:iCs/>
          <w:szCs w:val="22"/>
        </w:rPr>
        <w:t>asikeitimas nuomonėmis</w:t>
      </w:r>
    </w:p>
    <w:p w14:paraId="62A7A5BE" w14:textId="77777777" w:rsidR="000454F0" w:rsidRDefault="000454F0" w:rsidP="0025527E">
      <w:pPr>
        <w:ind w:firstLine="426"/>
        <w:jc w:val="both"/>
        <w:rPr>
          <w:rFonts w:eastAsia="Calibri"/>
          <w:szCs w:val="22"/>
        </w:rPr>
      </w:pPr>
    </w:p>
    <w:p w14:paraId="52542617" w14:textId="7994F2C5" w:rsidR="000454F0" w:rsidRPr="000454F0" w:rsidRDefault="000454F0" w:rsidP="000454F0">
      <w:pPr>
        <w:spacing w:line="360" w:lineRule="auto"/>
        <w:ind w:firstLine="426"/>
        <w:jc w:val="both"/>
        <w:rPr>
          <w:rFonts w:eastAsia="Calibri"/>
          <w:szCs w:val="22"/>
        </w:rPr>
      </w:pPr>
      <w:r w:rsidRPr="000454F0">
        <w:rPr>
          <w:rFonts w:eastAsia="Calibri"/>
          <w:szCs w:val="22"/>
        </w:rPr>
        <w:t>Įgyvendinant 1980 m. pasirašytą dvišalį ES</w:t>
      </w:r>
      <w:r w:rsidR="00553F86">
        <w:rPr>
          <w:rFonts w:eastAsia="Calibri"/>
          <w:szCs w:val="22"/>
        </w:rPr>
        <w:t>–</w:t>
      </w:r>
      <w:r w:rsidRPr="000454F0">
        <w:rPr>
          <w:rFonts w:eastAsia="Calibri"/>
          <w:szCs w:val="22"/>
        </w:rPr>
        <w:t xml:space="preserve">Norvegijos žvejybos susitarimą dėl bendrų žuvų išteklių Šiaurės jūroje valdymo, kontrolės, apsikeitimo žvejybos galimybėmis ir prieigos prie viena kitos vandenų, kasmet vyksta ES ir Norvegijos konsultacijos dėl žvejybos ateinančiais metais. ES Tarybos posėdyje valstybių narių bus prašoma išsakyti savo nuomones dėl bendrų žuvų išteklių valdymo, balanso keičiantis žvejybos galimybėmis su Norvegija užtikrinimo bei kitų joms aktualių klausimų. Pagrindinės suinteresuotos valstybės narės – Danija, Švedija, Vokietija, Nyderlandai, Airija, Belgija, Prancūzija, </w:t>
      </w:r>
      <w:r w:rsidRPr="000454F0">
        <w:rPr>
          <w:rFonts w:eastAsia="Calibri"/>
          <w:szCs w:val="22"/>
        </w:rPr>
        <w:lastRenderedPageBreak/>
        <w:t>Ispanija, Portugalija. Be to, svarbi suinteresuotoji pusė yra Jungtinė Karalystė, kurios jūrų vandenys ir turimos žvejybos galimybės Šiaurės jūroje aktualūs ES</w:t>
      </w:r>
      <w:r w:rsidR="00553F86">
        <w:rPr>
          <w:rFonts w:eastAsia="Calibri"/>
          <w:szCs w:val="22"/>
        </w:rPr>
        <w:t>–</w:t>
      </w:r>
      <w:r w:rsidRPr="000454F0">
        <w:rPr>
          <w:rFonts w:eastAsia="Calibri"/>
          <w:szCs w:val="22"/>
        </w:rPr>
        <w:t>Norvegijos žvejybos susitarimo kontekste, todėl, priklausomai nuo ES</w:t>
      </w:r>
      <w:r w:rsidR="00553F86">
        <w:rPr>
          <w:rFonts w:eastAsia="Calibri"/>
          <w:szCs w:val="22"/>
        </w:rPr>
        <w:t>–</w:t>
      </w:r>
      <w:r w:rsidRPr="000454F0">
        <w:rPr>
          <w:rFonts w:eastAsia="Calibri"/>
          <w:szCs w:val="22"/>
        </w:rPr>
        <w:t xml:space="preserve">Jungtinės Karalystės artimiausių savaičių diskusijų dėl </w:t>
      </w:r>
      <w:r w:rsidRPr="00553F86">
        <w:rPr>
          <w:rFonts w:eastAsia="Calibri"/>
          <w:i/>
          <w:iCs/>
          <w:szCs w:val="22"/>
        </w:rPr>
        <w:t>Brexit</w:t>
      </w:r>
      <w:r w:rsidRPr="000454F0">
        <w:rPr>
          <w:rFonts w:eastAsia="Calibri"/>
          <w:szCs w:val="22"/>
        </w:rPr>
        <w:t xml:space="preserve"> pažangos, šis klausimas gali būti nukeltas į lapkričio mėn. ES Tarybos posėdį.</w:t>
      </w:r>
    </w:p>
    <w:p w14:paraId="0F4230E2" w14:textId="77777777" w:rsidR="000454F0" w:rsidRDefault="000454F0" w:rsidP="0025527E">
      <w:pPr>
        <w:jc w:val="both"/>
        <w:rPr>
          <w:rFonts w:eastAsia="Calibri"/>
          <w:b/>
          <w:bCs/>
          <w:szCs w:val="22"/>
        </w:rPr>
      </w:pPr>
    </w:p>
    <w:p w14:paraId="07EF7157" w14:textId="4E1F3B81" w:rsidR="007B726C" w:rsidRDefault="00553F86" w:rsidP="00E9631D">
      <w:pPr>
        <w:spacing w:line="360" w:lineRule="auto"/>
        <w:jc w:val="both"/>
        <w:rPr>
          <w:rFonts w:eastAsia="Calibri"/>
          <w:b/>
          <w:bCs/>
          <w:szCs w:val="22"/>
        </w:rPr>
      </w:pPr>
      <w:r>
        <w:rPr>
          <w:rFonts w:eastAsia="Calibri"/>
          <w:b/>
          <w:bCs/>
          <w:szCs w:val="22"/>
        </w:rPr>
        <w:t xml:space="preserve">       </w:t>
      </w:r>
      <w:r w:rsidR="007B726C" w:rsidRPr="007B726C">
        <w:rPr>
          <w:rFonts w:eastAsia="Calibri"/>
          <w:b/>
          <w:bCs/>
          <w:szCs w:val="22"/>
        </w:rPr>
        <w:t>Lietuvos pozicija:</w:t>
      </w:r>
    </w:p>
    <w:p w14:paraId="1568BEDD" w14:textId="4F7E10BE" w:rsidR="007B726C" w:rsidRPr="000454F0" w:rsidRDefault="000454F0" w:rsidP="000454F0">
      <w:pPr>
        <w:spacing w:line="360" w:lineRule="auto"/>
        <w:ind w:firstLine="426"/>
        <w:jc w:val="both"/>
        <w:rPr>
          <w:rFonts w:eastAsia="Calibri"/>
          <w:szCs w:val="22"/>
        </w:rPr>
      </w:pPr>
      <w:r w:rsidRPr="000454F0">
        <w:rPr>
          <w:rFonts w:eastAsia="Calibri"/>
          <w:szCs w:val="22"/>
        </w:rPr>
        <w:t>Pagal dvišalį ES</w:t>
      </w:r>
      <w:r w:rsidR="00251EA4">
        <w:rPr>
          <w:rFonts w:eastAsia="Calibri"/>
          <w:szCs w:val="22"/>
        </w:rPr>
        <w:t>–</w:t>
      </w:r>
      <w:r w:rsidRPr="000454F0">
        <w:rPr>
          <w:rFonts w:eastAsia="Calibri"/>
          <w:szCs w:val="22"/>
        </w:rPr>
        <w:t>Norvegijos žvejybos susitarimą Lietuva žvejybos galimybių Norvegijos vandenyse istoriškai negauna ir nežvejoja. Lietuvos delegacija ES Tarybos posėdžio metu išklausys Europos Komisijos informaciją ir suinteresuotų valstybių narių nuomones.</w:t>
      </w:r>
    </w:p>
    <w:p w14:paraId="30D61D4B" w14:textId="77777777" w:rsidR="007B726C" w:rsidRDefault="007B726C" w:rsidP="0047109F">
      <w:pPr>
        <w:jc w:val="both"/>
        <w:rPr>
          <w:rFonts w:eastAsia="Calibri"/>
          <w:b/>
          <w:bCs/>
          <w:szCs w:val="22"/>
        </w:rPr>
      </w:pPr>
    </w:p>
    <w:p w14:paraId="4A609765" w14:textId="6CDD4E86" w:rsidR="00E9631D" w:rsidRPr="00E9631D" w:rsidRDefault="00553F86" w:rsidP="00E9631D">
      <w:pPr>
        <w:spacing w:line="360" w:lineRule="auto"/>
        <w:jc w:val="both"/>
        <w:rPr>
          <w:rFonts w:eastAsia="Calibri"/>
          <w:b/>
          <w:bCs/>
          <w:szCs w:val="22"/>
        </w:rPr>
      </w:pPr>
      <w:r>
        <w:rPr>
          <w:rFonts w:eastAsia="Calibri"/>
          <w:b/>
          <w:bCs/>
          <w:szCs w:val="22"/>
        </w:rPr>
        <w:t xml:space="preserve">     </w:t>
      </w:r>
      <w:r w:rsidR="007B726C">
        <w:rPr>
          <w:rFonts w:eastAsia="Calibri"/>
          <w:b/>
          <w:bCs/>
          <w:szCs w:val="22"/>
        </w:rPr>
        <w:t>4</w:t>
      </w:r>
      <w:r w:rsidR="00E9631D" w:rsidRPr="00E9631D">
        <w:rPr>
          <w:rFonts w:eastAsia="Calibri"/>
          <w:b/>
          <w:bCs/>
          <w:szCs w:val="22"/>
        </w:rPr>
        <w:t>. Strategija „Nuo ūkio iki stalo“</w:t>
      </w:r>
    </w:p>
    <w:bookmarkEnd w:id="10"/>
    <w:bookmarkEnd w:id="11"/>
    <w:p w14:paraId="0752FA9B" w14:textId="0621B5BB" w:rsidR="00065F77" w:rsidRDefault="00251EA4" w:rsidP="00065F77">
      <w:pPr>
        <w:spacing w:line="360" w:lineRule="auto"/>
        <w:ind w:firstLine="426"/>
        <w:jc w:val="both"/>
        <w:rPr>
          <w:rFonts w:eastAsia="Calibri"/>
          <w:i/>
          <w:iCs/>
          <w:szCs w:val="22"/>
        </w:rPr>
      </w:pPr>
      <w:r>
        <w:rPr>
          <w:rFonts w:eastAsia="Calibri"/>
          <w:i/>
          <w:iCs/>
          <w:szCs w:val="22"/>
        </w:rPr>
        <w:t>–</w:t>
      </w:r>
      <w:r w:rsidR="00E9631D" w:rsidRPr="00E9631D">
        <w:rPr>
          <w:rFonts w:eastAsia="Calibri"/>
          <w:i/>
          <w:iCs/>
          <w:szCs w:val="22"/>
        </w:rPr>
        <w:t xml:space="preserve"> Išvadų patvirtinimas</w:t>
      </w:r>
    </w:p>
    <w:p w14:paraId="7C7354F4" w14:textId="77777777" w:rsidR="001A6692" w:rsidRPr="00E9631D" w:rsidRDefault="001A6692" w:rsidP="0025527E">
      <w:pPr>
        <w:ind w:firstLine="426"/>
        <w:jc w:val="both"/>
        <w:rPr>
          <w:rFonts w:eastAsia="Calibri"/>
          <w:i/>
          <w:iCs/>
          <w:szCs w:val="22"/>
        </w:rPr>
      </w:pPr>
    </w:p>
    <w:p w14:paraId="5DE01F4F" w14:textId="6F8F1717" w:rsidR="00E104E9" w:rsidRP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2020 m. gegužės 20 d. Europos Komisija paskelbė strategiją „Nuo ūkio iki stalo“ (angl. „</w:t>
      </w:r>
      <w:r w:rsidRPr="00E104E9">
        <w:rPr>
          <w:i/>
          <w:color w:val="000000"/>
          <w:szCs w:val="20"/>
          <w:lang w:eastAsia="lt-LT" w:bidi="lt-LT"/>
        </w:rPr>
        <w:t>Farm to Fork Strategy</w:t>
      </w:r>
      <w:r w:rsidRPr="00E104E9">
        <w:rPr>
          <w:color w:val="000000"/>
          <w:szCs w:val="20"/>
          <w:lang w:eastAsia="lt-LT" w:bidi="lt-LT"/>
        </w:rPr>
        <w:t>“), kurios tikslas – sąžininga, patikima, sveikatai, aplinkai ir klimatui palanki maisto sistema. Šia  strategija siekiama suvienyti ūkininkus, įmones ir vartotojus kartu kurti konkurencingą ir tvarią ateitį. Strategija konkretizuoja tikslus, kuriuos kelia Europos Žaliasis kursas (angl. „</w:t>
      </w:r>
      <w:r w:rsidRPr="00E104E9">
        <w:rPr>
          <w:i/>
          <w:color w:val="000000"/>
          <w:szCs w:val="20"/>
          <w:lang w:eastAsia="lt-LT" w:bidi="lt-LT"/>
        </w:rPr>
        <w:t>European Green Deal</w:t>
      </w:r>
      <w:r w:rsidRPr="00E104E9">
        <w:rPr>
          <w:color w:val="000000"/>
          <w:szCs w:val="20"/>
          <w:lang w:eastAsia="lt-LT" w:bidi="lt-LT"/>
        </w:rPr>
        <w:t>“) – klimatui neutrali Europa iki 2050 m., tvarus ekonominis augimas, gerėjanti žmonių sveikata ir gyvenimo kokybė, rūpestis gamta.</w:t>
      </w:r>
    </w:p>
    <w:p w14:paraId="7A1E0E36" w14:textId="5F179E57" w:rsidR="00E104E9" w:rsidRP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 xml:space="preserve">Pagrindiniai strategijos akcentai ir dėmesys: tvari maisto gamyba, gyventojų aprūpinimo maistu užtikrinimas, vartotojų skatinimas rinktis sveikus, </w:t>
      </w:r>
      <w:r w:rsidR="00251EA4">
        <w:rPr>
          <w:color w:val="000000"/>
          <w:szCs w:val="20"/>
          <w:lang w:eastAsia="lt-LT" w:bidi="lt-LT"/>
        </w:rPr>
        <w:t>visa</w:t>
      </w:r>
      <w:r w:rsidRPr="00E104E9">
        <w:rPr>
          <w:color w:val="000000"/>
          <w:szCs w:val="20"/>
          <w:lang w:eastAsia="lt-LT" w:bidi="lt-LT"/>
        </w:rPr>
        <w:t xml:space="preserve">vertę mitybą atitinkančius produktus, </w:t>
      </w:r>
      <w:r w:rsidR="001E4F76">
        <w:rPr>
          <w:color w:val="000000"/>
          <w:szCs w:val="20"/>
          <w:lang w:eastAsia="lt-LT" w:bidi="lt-LT"/>
        </w:rPr>
        <w:t>skaidrumas</w:t>
      </w:r>
      <w:r w:rsidRPr="00E104E9">
        <w:rPr>
          <w:color w:val="000000"/>
          <w:szCs w:val="20"/>
          <w:lang w:eastAsia="lt-LT" w:bidi="lt-LT"/>
        </w:rPr>
        <w:t xml:space="preserve"> visoje maisto grandinėje, maisto švaistymo mažinimas, inovacijų, technologijų pasitelkimas tvarumo didinimui, žinių ir konsultacijų sklaida skatinant tvarumo įgyvendinimą</w:t>
      </w:r>
      <w:r w:rsidRPr="00E104E9">
        <w:rPr>
          <w:i/>
          <w:color w:val="000000"/>
          <w:szCs w:val="20"/>
          <w:lang w:eastAsia="lt-LT" w:bidi="lt-LT"/>
        </w:rPr>
        <w:t>.</w:t>
      </w:r>
    </w:p>
    <w:p w14:paraId="6E1418C3" w14:textId="49F9D565" w:rsid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Strategijoje pažymima, kad Bendroji žemės ūkio politika (BŽŪP) ir Bendroji žuvininkystės politika (BŽP) ir toliau bus pagrindinės priemonės, kuriomis bus remiamas perėjimas prie tvarių maisto gamybos sistemų, kartu užtikrinant deramą pragyvenimo lygį ūkininkams, žvejams ir jų šeimoms.</w:t>
      </w:r>
    </w:p>
    <w:p w14:paraId="107C6FAB" w14:textId="4683A288" w:rsidR="00C02835" w:rsidRPr="00E104E9" w:rsidRDefault="00C02835" w:rsidP="00E104E9">
      <w:pPr>
        <w:spacing w:line="360" w:lineRule="auto"/>
        <w:ind w:firstLine="426"/>
        <w:jc w:val="both"/>
        <w:rPr>
          <w:color w:val="000000"/>
          <w:szCs w:val="20"/>
          <w:lang w:eastAsia="lt-LT" w:bidi="lt-LT"/>
        </w:rPr>
      </w:pPr>
      <w:r w:rsidRPr="00C02835">
        <w:rPr>
          <w:color w:val="000000"/>
          <w:szCs w:val="20"/>
          <w:lang w:eastAsia="lt-LT" w:bidi="lt-LT"/>
        </w:rPr>
        <w:t>Pažymėtina, kad pateiktos strategijos yra Europos Komisijos iniciatyva parengti dokumentai, atspindintys Europos Komisijos požiūrį dėl reikalingų pokyčių šiose srityse. 2020</w:t>
      </w:r>
      <w:r w:rsidR="00251EA4">
        <w:rPr>
          <w:color w:val="000000"/>
          <w:szCs w:val="20"/>
          <w:lang w:eastAsia="lt-LT" w:bidi="lt-LT"/>
        </w:rPr>
        <w:t>–</w:t>
      </w:r>
      <w:r w:rsidRPr="00C02835">
        <w:rPr>
          <w:color w:val="000000"/>
          <w:szCs w:val="20"/>
          <w:lang w:eastAsia="lt-LT" w:bidi="lt-LT"/>
        </w:rPr>
        <w:t>2024 m. Europos Komisija numato pateikti atitinkamus pasiūlymus, kurie bus tvirtinami pagal teisėkūros procedūras, atitinkamai lydimi ir Europos Komisijos tarnybų parengto poveikio vertinimo.</w:t>
      </w:r>
    </w:p>
    <w:p w14:paraId="19BBC53D" w14:textId="031CF608" w:rsid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Pirm</w:t>
      </w:r>
      <w:r w:rsidR="00482113">
        <w:rPr>
          <w:color w:val="000000"/>
          <w:szCs w:val="20"/>
          <w:lang w:eastAsia="lt-LT" w:bidi="lt-LT"/>
        </w:rPr>
        <w:t xml:space="preserve">. DE </w:t>
      </w:r>
      <w:r w:rsidRPr="00E104E9">
        <w:rPr>
          <w:color w:val="000000"/>
          <w:szCs w:val="20"/>
          <w:lang w:eastAsia="lt-LT" w:bidi="lt-LT"/>
        </w:rPr>
        <w:t>parengė Tarybos išvadas dėl strategijos „Nuo ūkio iki stalo“. Tikimasi, kad ES Tarybos metu ši</w:t>
      </w:r>
      <w:r w:rsidR="00941638">
        <w:rPr>
          <w:color w:val="000000"/>
          <w:szCs w:val="20"/>
          <w:lang w:eastAsia="lt-LT" w:bidi="lt-LT"/>
        </w:rPr>
        <w:t>o</w:t>
      </w:r>
      <w:r w:rsidRPr="00E104E9">
        <w:rPr>
          <w:color w:val="000000"/>
          <w:szCs w:val="20"/>
          <w:lang w:eastAsia="lt-LT" w:bidi="lt-LT"/>
        </w:rPr>
        <w:t>s Tarybos išvad</w:t>
      </w:r>
      <w:r w:rsidR="00941638">
        <w:rPr>
          <w:color w:val="000000"/>
          <w:szCs w:val="20"/>
          <w:lang w:eastAsia="lt-LT" w:bidi="lt-LT"/>
        </w:rPr>
        <w:t>o</w:t>
      </w:r>
      <w:r w:rsidRPr="00E104E9">
        <w:rPr>
          <w:color w:val="000000"/>
          <w:szCs w:val="20"/>
          <w:lang w:eastAsia="lt-LT" w:bidi="lt-LT"/>
        </w:rPr>
        <w:t>s</w:t>
      </w:r>
      <w:r w:rsidR="00941638">
        <w:rPr>
          <w:color w:val="000000"/>
          <w:szCs w:val="20"/>
          <w:lang w:eastAsia="lt-LT" w:bidi="lt-LT"/>
        </w:rPr>
        <w:t xml:space="preserve"> bus pateiktos ministrams patvirtinimui</w:t>
      </w:r>
      <w:r w:rsidRPr="00E104E9">
        <w:rPr>
          <w:color w:val="000000"/>
          <w:szCs w:val="20"/>
          <w:lang w:eastAsia="lt-LT" w:bidi="lt-LT"/>
        </w:rPr>
        <w:t>.</w:t>
      </w:r>
    </w:p>
    <w:p w14:paraId="4E9974B5" w14:textId="42FF1ACA" w:rsidR="00065F77" w:rsidRDefault="00E104E9" w:rsidP="00E104E9">
      <w:pPr>
        <w:spacing w:line="360" w:lineRule="auto"/>
        <w:ind w:firstLine="426"/>
        <w:jc w:val="both"/>
        <w:rPr>
          <w:color w:val="000000"/>
          <w:szCs w:val="20"/>
          <w:lang w:eastAsia="lt-LT" w:bidi="lt-LT"/>
        </w:rPr>
      </w:pPr>
      <w:r w:rsidRPr="00E104E9">
        <w:rPr>
          <w:color w:val="000000"/>
          <w:szCs w:val="20"/>
          <w:lang w:eastAsia="lt-LT" w:bidi="lt-LT"/>
        </w:rPr>
        <w:t>Išvadose pažymima, kad Taryba vertina komunikatą dėl strategijos „Nuo ūkio iki stalo“, pripažįsta, kad reikia sukurti tvarią, integruotą žemės ūkio ir maisto gamybos politiką, siekiant ES klimato neutralumo iki 2050 m.</w:t>
      </w:r>
      <w:r w:rsidR="00251EA4">
        <w:rPr>
          <w:color w:val="000000"/>
          <w:szCs w:val="20"/>
          <w:lang w:eastAsia="lt-LT" w:bidi="lt-LT"/>
        </w:rPr>
        <w:t>.</w:t>
      </w:r>
      <w:r w:rsidRPr="00E104E9">
        <w:rPr>
          <w:color w:val="000000"/>
          <w:szCs w:val="20"/>
          <w:lang w:eastAsia="lt-LT" w:bidi="lt-LT"/>
        </w:rPr>
        <w:t xml:space="preserve"> ir pripažįsta, kad reikalingas didesnis dėmesys maistui, kartu skatinant ir tvarius gamybos metodus, ir vartojimą. Būtina užtikrinti strategijos ir Bendrosios žemės ūkio politikos, taip pat kitų ES politikos krypčių ir strategijų suderinamumą ir sinergiją</w:t>
      </w:r>
      <w:r>
        <w:rPr>
          <w:color w:val="000000"/>
          <w:szCs w:val="20"/>
          <w:lang w:eastAsia="lt-LT" w:bidi="lt-LT"/>
        </w:rPr>
        <w:t>.</w:t>
      </w:r>
    </w:p>
    <w:p w14:paraId="56164A1A" w14:textId="3025A9C1" w:rsidR="00E104E9" w:rsidRDefault="00E104E9" w:rsidP="0025527E">
      <w:pPr>
        <w:ind w:firstLine="426"/>
        <w:jc w:val="both"/>
        <w:rPr>
          <w:color w:val="000000"/>
          <w:szCs w:val="20"/>
          <w:lang w:eastAsia="lt-LT" w:bidi="lt-LT"/>
        </w:rPr>
      </w:pPr>
    </w:p>
    <w:p w14:paraId="0A3AF5F6" w14:textId="77777777" w:rsidR="00E104E9" w:rsidRPr="00E104E9" w:rsidRDefault="00E104E9" w:rsidP="00E104E9">
      <w:pPr>
        <w:spacing w:line="360" w:lineRule="auto"/>
        <w:ind w:firstLine="426"/>
        <w:rPr>
          <w:rFonts w:eastAsia="Calibri"/>
          <w:b/>
          <w:bCs/>
          <w:szCs w:val="22"/>
        </w:rPr>
      </w:pPr>
      <w:r w:rsidRPr="00E104E9">
        <w:rPr>
          <w:rFonts w:eastAsia="Calibri"/>
          <w:b/>
          <w:bCs/>
          <w:szCs w:val="22"/>
        </w:rPr>
        <w:lastRenderedPageBreak/>
        <w:t>Lietuvos pozicija:</w:t>
      </w:r>
    </w:p>
    <w:p w14:paraId="3EC9D39E" w14:textId="6C189ADA" w:rsidR="00E104E9" w:rsidRP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 xml:space="preserve">Lietuva pritaria siekiui užtikrinti, kad europiečiai turėtų sveikų, įperkamų ir tvariai gaminamų maisto produktų, tuo pačiu sprendžiant klimato kaitos klausimus, saugant aplinką bei biologinę įvairovę. </w:t>
      </w:r>
    </w:p>
    <w:p w14:paraId="1ACB6C8E" w14:textId="38275A40" w:rsidR="00E104E9" w:rsidRP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Atkreipiame dėmesį, kad Europos Komisijos veiksmai turi būti nuoseklūs</w:t>
      </w:r>
      <w:r w:rsidR="007D57DD">
        <w:rPr>
          <w:color w:val="000000"/>
          <w:szCs w:val="20"/>
          <w:lang w:eastAsia="lt-LT" w:bidi="lt-LT"/>
        </w:rPr>
        <w:t xml:space="preserve"> ir </w:t>
      </w:r>
      <w:r w:rsidRPr="00E104E9">
        <w:rPr>
          <w:color w:val="000000"/>
          <w:szCs w:val="20"/>
          <w:lang w:eastAsia="lt-LT" w:bidi="lt-LT"/>
        </w:rPr>
        <w:t>suderinti</w:t>
      </w:r>
      <w:r w:rsidR="007D57DD">
        <w:rPr>
          <w:color w:val="000000"/>
          <w:szCs w:val="20"/>
          <w:lang w:eastAsia="lt-LT" w:bidi="lt-LT"/>
        </w:rPr>
        <w:t xml:space="preserve">, </w:t>
      </w:r>
      <w:r w:rsidRPr="00E104E9">
        <w:rPr>
          <w:color w:val="000000"/>
          <w:szCs w:val="20"/>
          <w:lang w:eastAsia="lt-LT" w:bidi="lt-LT"/>
        </w:rPr>
        <w:t>siekiant ambicingų strategijoje keliamų tikslų, atitinkamai turi prisidėti visos susijusios sritys</w:t>
      </w:r>
      <w:r w:rsidR="00251EA4">
        <w:rPr>
          <w:color w:val="000000"/>
          <w:szCs w:val="20"/>
          <w:lang w:eastAsia="lt-LT" w:bidi="lt-LT"/>
        </w:rPr>
        <w:t xml:space="preserve"> </w:t>
      </w:r>
      <w:r w:rsidRPr="00E104E9">
        <w:rPr>
          <w:color w:val="000000"/>
          <w:szCs w:val="20"/>
          <w:lang w:eastAsia="lt-LT" w:bidi="lt-LT"/>
        </w:rPr>
        <w:t>/</w:t>
      </w:r>
      <w:r w:rsidR="00251EA4">
        <w:rPr>
          <w:color w:val="000000"/>
          <w:szCs w:val="20"/>
          <w:lang w:eastAsia="lt-LT" w:bidi="lt-LT"/>
        </w:rPr>
        <w:t xml:space="preserve"> </w:t>
      </w:r>
      <w:r w:rsidRPr="00E104E9">
        <w:rPr>
          <w:color w:val="000000"/>
          <w:szCs w:val="20"/>
          <w:lang w:eastAsia="lt-LT" w:bidi="lt-LT"/>
        </w:rPr>
        <w:t>sektoriai bei kiti fondai, ne tik Europos žemės ūkio garantijų fondas (EŽŪGF)  ir Europos žemės ūkio fondas kaimo plėtrai (EŽŪFKP).</w:t>
      </w:r>
      <w:r w:rsidR="005C3677" w:rsidRPr="005C3677">
        <w:t xml:space="preserve"> </w:t>
      </w:r>
      <w:r w:rsidR="005C3677">
        <w:rPr>
          <w:color w:val="000000"/>
          <w:szCs w:val="20"/>
          <w:lang w:eastAsia="lt-LT" w:bidi="lt-LT"/>
        </w:rPr>
        <w:t>P</w:t>
      </w:r>
      <w:r w:rsidR="005C3677" w:rsidRPr="005C3677">
        <w:rPr>
          <w:color w:val="000000"/>
          <w:szCs w:val="20"/>
          <w:lang w:eastAsia="lt-LT" w:bidi="lt-LT"/>
        </w:rPr>
        <w:t>lanuojamos su aplinkos apsaugos ir klimato kaitos problemų sprendimu susijusios išlaidos neturėtų būti užkraunamos vien tik žemdirbiams ar finansuojamos tik iš BŽŪP biudžeto</w:t>
      </w:r>
      <w:r w:rsidR="00884D08">
        <w:rPr>
          <w:color w:val="000000"/>
          <w:szCs w:val="20"/>
          <w:lang w:eastAsia="lt-LT" w:bidi="lt-LT"/>
        </w:rPr>
        <w:t>.</w:t>
      </w:r>
    </w:p>
    <w:p w14:paraId="09103D6F" w14:textId="5925B615" w:rsidR="00E104E9" w:rsidRP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Suprantame aukštesnių aplinkosaug</w:t>
      </w:r>
      <w:r w:rsidR="00251EA4">
        <w:rPr>
          <w:color w:val="000000"/>
          <w:szCs w:val="20"/>
          <w:lang w:eastAsia="lt-LT" w:bidi="lt-LT"/>
        </w:rPr>
        <w:t>os</w:t>
      </w:r>
      <w:r w:rsidRPr="00E104E9">
        <w:rPr>
          <w:color w:val="000000"/>
          <w:szCs w:val="20"/>
          <w:lang w:eastAsia="lt-LT" w:bidi="lt-LT"/>
        </w:rPr>
        <w:t xml:space="preserve"> standartų taikymo svarbą, tačiau nerimą kelia kai kurių strategijose numatytų tikslų skaitinės išraiškos, galimas jų pasiekiamumas bei ekonominis ar socialinis poveikis žemės ūkio sektoriui, ypač atsižvelgiant į tai, kad išsamus poveikio vertinimas (ekonominio, pasekmių ir technologinio diegimo galimybių ir pan.) iki šiol nėra atliktas. Labai svarbu, kad vėliau nustatant konkrečius, individualius tikslus kiekvienai valstybei narei, būtų tinkamai atsižvelgta į skirtingas startines pozicijas</w:t>
      </w:r>
      <w:r w:rsidR="00884D08">
        <w:rPr>
          <w:color w:val="000000"/>
          <w:szCs w:val="20"/>
          <w:lang w:eastAsia="lt-LT" w:bidi="lt-LT"/>
        </w:rPr>
        <w:t>. K</w:t>
      </w:r>
      <w:r w:rsidR="00884D08" w:rsidRPr="00884D08">
        <w:rPr>
          <w:color w:val="000000"/>
          <w:szCs w:val="20"/>
          <w:lang w:eastAsia="lt-LT" w:bidi="lt-LT"/>
        </w:rPr>
        <w:t xml:space="preserve">iekvienai valstybei narei </w:t>
      </w:r>
      <w:r w:rsidR="00884D08">
        <w:rPr>
          <w:color w:val="000000"/>
          <w:szCs w:val="20"/>
          <w:lang w:eastAsia="lt-LT" w:bidi="lt-LT"/>
        </w:rPr>
        <w:t xml:space="preserve">turėtų </w:t>
      </w:r>
      <w:r w:rsidR="00884D08" w:rsidRPr="00884D08">
        <w:rPr>
          <w:color w:val="000000"/>
          <w:szCs w:val="20"/>
          <w:lang w:eastAsia="lt-LT" w:bidi="lt-LT"/>
        </w:rPr>
        <w:t>būt</w:t>
      </w:r>
      <w:r w:rsidR="00884D08">
        <w:rPr>
          <w:color w:val="000000"/>
          <w:szCs w:val="20"/>
          <w:lang w:eastAsia="lt-LT" w:bidi="lt-LT"/>
        </w:rPr>
        <w:t>i</w:t>
      </w:r>
      <w:r w:rsidR="00884D08" w:rsidRPr="00884D08">
        <w:rPr>
          <w:color w:val="000000"/>
          <w:szCs w:val="20"/>
          <w:lang w:eastAsia="lt-LT" w:bidi="lt-LT"/>
        </w:rPr>
        <w:t xml:space="preserve"> nustatomi aiškiai apibrėžti, įgyvendinami, </w:t>
      </w:r>
      <w:r w:rsidR="009C52E9">
        <w:rPr>
          <w:color w:val="000000"/>
          <w:szCs w:val="20"/>
          <w:lang w:eastAsia="lt-LT" w:bidi="lt-LT"/>
        </w:rPr>
        <w:t>jos</w:t>
      </w:r>
      <w:r w:rsidR="00884D08" w:rsidRPr="00884D08">
        <w:rPr>
          <w:color w:val="000000"/>
          <w:szCs w:val="20"/>
          <w:lang w:eastAsia="lt-LT" w:bidi="lt-LT"/>
        </w:rPr>
        <w:t xml:space="preserve"> specifiką ir esamą padėtį atitinkantys bei atitinkamu finansavimu pagrįsti konkretūs strategijos tikslai</w:t>
      </w:r>
      <w:r w:rsidR="009C52E9">
        <w:rPr>
          <w:color w:val="000000"/>
          <w:szCs w:val="20"/>
          <w:lang w:eastAsia="lt-LT" w:bidi="lt-LT"/>
        </w:rPr>
        <w:t>.</w:t>
      </w:r>
    </w:p>
    <w:p w14:paraId="4F11877E" w14:textId="41B03ADE" w:rsidR="00E104E9" w:rsidRP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Nustatant aukštus gamybinius standartus ES gamintojams, kai kuriais atvejais didės ir jų gamybos sąnaudos, todėl reikia ieškoti būdų, kaip ES ūkininkams užtikrinti lygias konkurencines sąlygas, konkuruojant su produkcija iš trečiųjų šalių, pagaminta nesilaikant adekvačių standartų.</w:t>
      </w:r>
    </w:p>
    <w:p w14:paraId="6E87C124" w14:textId="2822FBAC" w:rsidR="00E104E9" w:rsidRDefault="00E104E9" w:rsidP="00E104E9">
      <w:pPr>
        <w:spacing w:line="360" w:lineRule="auto"/>
        <w:ind w:firstLine="426"/>
        <w:jc w:val="both"/>
        <w:rPr>
          <w:color w:val="000000"/>
          <w:szCs w:val="20"/>
          <w:lang w:eastAsia="lt-LT" w:bidi="lt-LT"/>
        </w:rPr>
      </w:pPr>
      <w:r w:rsidRPr="00E104E9">
        <w:rPr>
          <w:color w:val="000000"/>
          <w:szCs w:val="20"/>
          <w:lang w:eastAsia="lt-LT" w:bidi="lt-LT"/>
        </w:rPr>
        <w:t>Turi būti užtikrintas pakankamas BŽŪP finansavimas, ūkininkams turėtų būti deramai atlyginama už aplinkai ir klimatui palankų ūkininkavimą, turi būti užtikrinta išorinė tiesioginių išmokų konvergencija</w:t>
      </w:r>
      <w:r w:rsidR="00CF78A3">
        <w:rPr>
          <w:color w:val="000000"/>
          <w:szCs w:val="20"/>
          <w:lang w:eastAsia="lt-LT" w:bidi="lt-LT"/>
        </w:rPr>
        <w:t>, atsižvelgiama į COVID-19 pandemijos poveikį žemės ūkio sektoriui</w:t>
      </w:r>
      <w:r w:rsidRPr="00E104E9">
        <w:rPr>
          <w:color w:val="000000"/>
          <w:szCs w:val="20"/>
          <w:lang w:eastAsia="lt-LT" w:bidi="lt-LT"/>
        </w:rPr>
        <w:t>.</w:t>
      </w:r>
    </w:p>
    <w:p w14:paraId="2A203534" w14:textId="6ECEF8A4" w:rsidR="00E104E9" w:rsidRPr="00E104E9" w:rsidRDefault="00E104E9" w:rsidP="00304C9B">
      <w:pPr>
        <w:spacing w:line="360" w:lineRule="auto"/>
        <w:ind w:firstLine="426"/>
        <w:jc w:val="both"/>
        <w:rPr>
          <w:color w:val="000000"/>
          <w:szCs w:val="20"/>
          <w:lang w:eastAsia="lt-LT" w:bidi="lt-LT"/>
        </w:rPr>
      </w:pPr>
      <w:r w:rsidRPr="00E104E9">
        <w:rPr>
          <w:color w:val="000000"/>
          <w:szCs w:val="20"/>
          <w:lang w:eastAsia="lt-LT" w:bidi="lt-LT"/>
        </w:rPr>
        <w:t>Atidžiai stebėsime EK teisėkūros iniciatyvas</w:t>
      </w:r>
      <w:r w:rsidR="00304C9B">
        <w:rPr>
          <w:color w:val="000000"/>
          <w:szCs w:val="20"/>
          <w:lang w:eastAsia="lt-LT" w:bidi="lt-LT"/>
        </w:rPr>
        <w:t>,</w:t>
      </w:r>
      <w:r w:rsidRPr="00E104E9">
        <w:rPr>
          <w:color w:val="000000"/>
          <w:szCs w:val="20"/>
          <w:lang w:eastAsia="lt-LT" w:bidi="lt-LT"/>
        </w:rPr>
        <w:t xml:space="preserve"> kylančias dėl šios strategijos įgyvendinimo ir kiekvienu atveju formuosime individualią poziciją bei vertinimą dėl teisės aktų projektų poveikio Lietuvos žemės ūkio sektoriui.</w:t>
      </w:r>
      <w:r w:rsidR="009935E4">
        <w:rPr>
          <w:color w:val="000000"/>
          <w:szCs w:val="20"/>
          <w:lang w:eastAsia="lt-LT" w:bidi="lt-LT"/>
        </w:rPr>
        <w:t xml:space="preserve"> S</w:t>
      </w:r>
      <w:r w:rsidR="009935E4" w:rsidRPr="009935E4">
        <w:rPr>
          <w:color w:val="000000"/>
          <w:szCs w:val="20"/>
          <w:lang w:eastAsia="lt-LT" w:bidi="lt-LT"/>
        </w:rPr>
        <w:t>varbu siekti, kad dėl strategijos įgyvendinimo priemonių žemės ūkio subjektai nepatirtų nepagrįstos administracinės naštos</w:t>
      </w:r>
      <w:r w:rsidR="00304C9B">
        <w:rPr>
          <w:color w:val="000000"/>
          <w:szCs w:val="20"/>
          <w:lang w:eastAsia="lt-LT" w:bidi="lt-LT"/>
        </w:rPr>
        <w:t>.</w:t>
      </w:r>
    </w:p>
    <w:p w14:paraId="30A5C5BD" w14:textId="16C737B2" w:rsidR="00E104E9" w:rsidRDefault="0046164B" w:rsidP="00E104E9">
      <w:pPr>
        <w:spacing w:line="360" w:lineRule="auto"/>
        <w:ind w:firstLine="426"/>
        <w:jc w:val="both"/>
        <w:rPr>
          <w:color w:val="000000"/>
          <w:szCs w:val="20"/>
          <w:lang w:eastAsia="lt-LT" w:bidi="lt-LT"/>
        </w:rPr>
      </w:pPr>
      <w:r>
        <w:rPr>
          <w:color w:val="000000"/>
          <w:szCs w:val="20"/>
          <w:lang w:eastAsia="lt-LT" w:bidi="lt-LT"/>
        </w:rPr>
        <w:t xml:space="preserve">Siekiant strategijos </w:t>
      </w:r>
      <w:r w:rsidRPr="00E104E9">
        <w:rPr>
          <w:color w:val="000000"/>
          <w:szCs w:val="20"/>
          <w:lang w:eastAsia="lt-LT" w:bidi="lt-LT"/>
        </w:rPr>
        <w:t xml:space="preserve">„Nuo ūkio iki stalo“ </w:t>
      </w:r>
      <w:r>
        <w:rPr>
          <w:color w:val="000000"/>
          <w:szCs w:val="20"/>
          <w:lang w:eastAsia="lt-LT" w:bidi="lt-LT"/>
        </w:rPr>
        <w:t>tikslų</w:t>
      </w:r>
      <w:r w:rsidR="00251EA4">
        <w:rPr>
          <w:color w:val="000000"/>
          <w:szCs w:val="20"/>
          <w:lang w:eastAsia="lt-LT" w:bidi="lt-LT"/>
        </w:rPr>
        <w:t>,</w:t>
      </w:r>
      <w:r>
        <w:rPr>
          <w:color w:val="000000"/>
          <w:szCs w:val="20"/>
          <w:lang w:eastAsia="lt-LT" w:bidi="lt-LT"/>
        </w:rPr>
        <w:t xml:space="preserve"> turi būti nuosekliai laikomasi visa apimančio požiūrio, taip pat </w:t>
      </w:r>
      <w:r w:rsidR="00E104E9" w:rsidRPr="00E104E9">
        <w:rPr>
          <w:color w:val="000000"/>
          <w:szCs w:val="20"/>
          <w:lang w:eastAsia="lt-LT" w:bidi="lt-LT"/>
        </w:rPr>
        <w:t xml:space="preserve">kalbant </w:t>
      </w:r>
      <w:r>
        <w:rPr>
          <w:color w:val="000000"/>
          <w:szCs w:val="20"/>
          <w:lang w:eastAsia="lt-LT" w:bidi="lt-LT"/>
        </w:rPr>
        <w:t xml:space="preserve">ir </w:t>
      </w:r>
      <w:r w:rsidR="00E104E9" w:rsidRPr="00E104E9">
        <w:rPr>
          <w:color w:val="000000"/>
          <w:szCs w:val="20"/>
          <w:lang w:eastAsia="lt-LT" w:bidi="lt-LT"/>
        </w:rPr>
        <w:t xml:space="preserve">apie paskatas jiems pasiekti. </w:t>
      </w:r>
      <w:r w:rsidR="00E42FEE">
        <w:t xml:space="preserve">Turi būti pažymėtas visų susijusių sričių ir fondų prisidėjimas. </w:t>
      </w:r>
    </w:p>
    <w:p w14:paraId="329D702C" w14:textId="16FC403F" w:rsidR="00E42FEE" w:rsidRPr="00E104E9" w:rsidRDefault="00E42FEE" w:rsidP="00E42FEE">
      <w:pPr>
        <w:spacing w:line="360" w:lineRule="auto"/>
        <w:ind w:firstLine="426"/>
        <w:jc w:val="both"/>
        <w:rPr>
          <w:color w:val="000000"/>
          <w:szCs w:val="20"/>
          <w:lang w:eastAsia="lt-LT" w:bidi="lt-LT"/>
        </w:rPr>
      </w:pPr>
      <w:r>
        <w:t xml:space="preserve">Taip pat svarbu, kad išvadose </w:t>
      </w:r>
      <w:r w:rsidRPr="000A2270">
        <w:t>liktų ir nebūtų sil</w:t>
      </w:r>
      <w:r>
        <w:t>p</w:t>
      </w:r>
      <w:r w:rsidRPr="000A2270">
        <w:t>ninam</w:t>
      </w:r>
      <w:r>
        <w:t xml:space="preserve">os nuostatos ir dėl BŽŪP strateginių </w:t>
      </w:r>
      <w:r w:rsidRPr="000A2270">
        <w:t>planų vertinim</w:t>
      </w:r>
      <w:r>
        <w:t>o</w:t>
      </w:r>
      <w:r w:rsidR="00251EA4">
        <w:t xml:space="preserve"> </w:t>
      </w:r>
      <w:r>
        <w:t>/</w:t>
      </w:r>
      <w:r w:rsidR="00251EA4">
        <w:t xml:space="preserve"> </w:t>
      </w:r>
      <w:r>
        <w:t>tvirtinimo</w:t>
      </w:r>
      <w:r w:rsidRPr="000A2270">
        <w:t xml:space="preserve"> pagal </w:t>
      </w:r>
      <w:r>
        <w:t xml:space="preserve">tai, kas sutarta </w:t>
      </w:r>
      <w:r w:rsidRPr="000A2270">
        <w:t>teisėkūr</w:t>
      </w:r>
      <w:r>
        <w:t>os procese</w:t>
      </w:r>
      <w:r w:rsidR="00251EA4">
        <w:t xml:space="preserve"> –</w:t>
      </w:r>
      <w:r w:rsidRPr="000A2270">
        <w:t xml:space="preserve"> </w:t>
      </w:r>
      <w:r>
        <w:t>ūkininkų vaidmens maisto tiekimo grandinėje tolesnis stiprinimo</w:t>
      </w:r>
      <w:r w:rsidR="00F55D30">
        <w:t>,</w:t>
      </w:r>
      <w:r>
        <w:t xml:space="preserve"> direktyvos dėl nesąžiningų prekybos praktikų įgyvendinimo stebėsenos.  </w:t>
      </w:r>
    </w:p>
    <w:p w14:paraId="2FEE1094" w14:textId="71A95262" w:rsidR="00E104E9" w:rsidRPr="00E104E9" w:rsidRDefault="00E104E9" w:rsidP="00E104E9">
      <w:pPr>
        <w:spacing w:line="360" w:lineRule="auto"/>
        <w:ind w:firstLine="426"/>
        <w:jc w:val="both"/>
        <w:rPr>
          <w:color w:val="000000"/>
          <w:szCs w:val="20"/>
          <w:lang w:eastAsia="lt-LT" w:bidi="lt-LT"/>
        </w:rPr>
      </w:pPr>
    </w:p>
    <w:sectPr w:rsidR="00E104E9" w:rsidRPr="00E104E9" w:rsidSect="009C3193">
      <w:headerReference w:type="default" r:id="rId8"/>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D83C7" w14:textId="77777777" w:rsidR="00A92326" w:rsidRDefault="00A92326" w:rsidP="00653435">
      <w:r>
        <w:separator/>
      </w:r>
    </w:p>
  </w:endnote>
  <w:endnote w:type="continuationSeparator" w:id="0">
    <w:p w14:paraId="3CD49702" w14:textId="77777777" w:rsidR="00A92326" w:rsidRDefault="00A92326"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215B5" w14:textId="77777777" w:rsidR="00A92326" w:rsidRDefault="00A92326" w:rsidP="00653435">
      <w:r>
        <w:separator/>
      </w:r>
    </w:p>
  </w:footnote>
  <w:footnote w:type="continuationSeparator" w:id="0">
    <w:p w14:paraId="5C7A5D41" w14:textId="77777777" w:rsidR="00A92326" w:rsidRDefault="00A92326" w:rsidP="00653435">
      <w:r>
        <w:continuationSeparator/>
      </w:r>
    </w:p>
  </w:footnote>
  <w:footnote w:id="1">
    <w:p w14:paraId="5DF58B43" w14:textId="0C5C7696" w:rsidR="00C67395" w:rsidRPr="00E80C43" w:rsidRDefault="00C67395" w:rsidP="00C67395">
      <w:pPr>
        <w:pStyle w:val="Puslapioinaostekstas"/>
        <w:rPr>
          <w:rFonts w:ascii="Times New Roman" w:hAnsi="Times New Roman"/>
          <w:lang w:val="lt-LT"/>
        </w:rPr>
      </w:pPr>
      <w:r w:rsidRPr="00581F22">
        <w:rPr>
          <w:rStyle w:val="Puslapioinaosnuoroda"/>
          <w:rFonts w:ascii="Times New Roman" w:hAnsi="Times New Roman"/>
        </w:rPr>
        <w:footnoteRef/>
      </w:r>
      <w:r w:rsidRPr="00581F22">
        <w:rPr>
          <w:rFonts w:ascii="Times New Roman" w:hAnsi="Times New Roman"/>
        </w:rPr>
        <w:t xml:space="preserve"> </w:t>
      </w:r>
      <w:r w:rsidRPr="00E80C43">
        <w:rPr>
          <w:rFonts w:ascii="Times New Roman" w:hAnsi="Times New Roman"/>
          <w:lang w:val="lt-LT"/>
        </w:rPr>
        <w:t>GAAB</w:t>
      </w:r>
      <w:r w:rsidRPr="00E80C43">
        <w:rPr>
          <w:lang w:val="lt-LT"/>
        </w:rPr>
        <w:t xml:space="preserve"> 9: </w:t>
      </w:r>
      <w:r w:rsidRPr="00E80C43">
        <w:rPr>
          <w:rFonts w:ascii="Times New Roman" w:hAnsi="Times New Roman"/>
          <w:lang w:val="lt-LT"/>
        </w:rPr>
        <w:t>Nustatyti vienodą minimalų neproduktyvių plotų</w:t>
      </w:r>
      <w:r w:rsidR="0011470C">
        <w:rPr>
          <w:rFonts w:ascii="Times New Roman" w:hAnsi="Times New Roman"/>
          <w:lang w:val="lt-LT"/>
        </w:rPr>
        <w:t xml:space="preserve"> </w:t>
      </w:r>
      <w:r w:rsidRPr="00E80C43">
        <w:rPr>
          <w:rFonts w:ascii="Times New Roman" w:hAnsi="Times New Roman"/>
          <w:lang w:val="lt-LT"/>
        </w:rPr>
        <w:t>/</w:t>
      </w:r>
      <w:r w:rsidR="0011470C">
        <w:rPr>
          <w:rFonts w:ascii="Times New Roman" w:hAnsi="Times New Roman"/>
          <w:lang w:val="lt-LT"/>
        </w:rPr>
        <w:t xml:space="preserve"> </w:t>
      </w:r>
      <w:r w:rsidRPr="00E80C43">
        <w:rPr>
          <w:rFonts w:ascii="Times New Roman" w:hAnsi="Times New Roman"/>
          <w:lang w:val="lt-LT"/>
        </w:rPr>
        <w:t>elementų lygį ES mastu. Padidinti minimalią ariamos žemės dalį nuo 5% (kaip yra numatyta dabar taikomuose žalinimo reikalavimuose) iki [x</w:t>
      </w:r>
      <w:bookmarkStart w:id="6" w:name="_Hlk51229410"/>
      <w:r w:rsidRPr="00E80C43">
        <w:rPr>
          <w:rFonts w:ascii="Times New Roman" w:hAnsi="Times New Roman"/>
          <w:lang w:val="lt-LT"/>
        </w:rPr>
        <w:t>] %</w:t>
      </w:r>
      <w:bookmarkEnd w:id="6"/>
      <w:r w:rsidRPr="00E80C43">
        <w:rPr>
          <w:rFonts w:ascii="Times New Roman" w:hAnsi="Times New Roman"/>
          <w:lang w:val="lt-LT"/>
        </w:rPr>
        <w:t xml:space="preserve"> (dėl konkretaus [x] % turi būti susitarta ES lygiu) </w:t>
      </w:r>
      <w:r w:rsidR="0011470C">
        <w:rPr>
          <w:rFonts w:ascii="Times New Roman" w:hAnsi="Times New Roman"/>
          <w:lang w:val="lt-LT"/>
        </w:rPr>
        <w:t>–</w:t>
      </w:r>
      <w:r w:rsidRPr="00E80C43">
        <w:rPr>
          <w:rFonts w:ascii="Times New Roman" w:hAnsi="Times New Roman"/>
          <w:lang w:val="lt-LT"/>
        </w:rPr>
        <w:t xml:space="preserve"> jei įtraukiami neproduktyvūs ir dalis produktyvių, bioįvairovei naudingų plotų; taikyti 3% </w:t>
      </w:r>
      <w:r w:rsidR="0011470C">
        <w:rPr>
          <w:rFonts w:ascii="Times New Roman" w:hAnsi="Times New Roman"/>
          <w:lang w:val="lt-LT"/>
        </w:rPr>
        <w:t>–</w:t>
      </w:r>
      <w:r w:rsidRPr="00E80C43">
        <w:rPr>
          <w:rFonts w:ascii="Times New Roman" w:hAnsi="Times New Roman"/>
          <w:lang w:val="lt-LT"/>
        </w:rPr>
        <w:t xml:space="preserve"> jei įtraukiami tik neproduktyvūs plotai.</w:t>
      </w:r>
    </w:p>
    <w:p w14:paraId="2FEC7A2F" w14:textId="77777777" w:rsidR="00C67395" w:rsidRPr="00581F22" w:rsidRDefault="00C67395" w:rsidP="00C67395">
      <w:pPr>
        <w:pStyle w:val="Puslapioinaostekstas"/>
        <w:rPr>
          <w:rFonts w:ascii="Times New Roman" w:hAnsi="Times New Roman"/>
          <w:sz w:val="10"/>
          <w:szCs w:val="10"/>
        </w:rPr>
      </w:pPr>
    </w:p>
  </w:footnote>
  <w:footnote w:id="2">
    <w:p w14:paraId="0F579FA2" w14:textId="5F2CD125" w:rsidR="00024BB6" w:rsidRPr="00733DB5" w:rsidRDefault="00024BB6">
      <w:pPr>
        <w:pStyle w:val="Puslapioinaostekstas"/>
        <w:rPr>
          <w:lang w:val="lt-LT"/>
        </w:rPr>
      </w:pPr>
      <w:r>
        <w:rPr>
          <w:rStyle w:val="Puslapioinaosnuoroda"/>
        </w:rPr>
        <w:footnoteRef/>
      </w:r>
      <w:r>
        <w:t xml:space="preserve"> </w:t>
      </w:r>
      <w:r>
        <w:rPr>
          <w:lang w:val="lt-LT"/>
        </w:rPr>
        <w:t>Taikoma tik bazinei išmokai.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1"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9"/>
  </w:num>
  <w:num w:numId="5">
    <w:abstractNumId w:val="12"/>
  </w:num>
  <w:num w:numId="6">
    <w:abstractNumId w:val="13"/>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5"/>
  </w:num>
  <w:num w:numId="12">
    <w:abstractNumId w:val="10"/>
  </w:num>
  <w:num w:numId="13">
    <w:abstractNumId w:val="16"/>
  </w:num>
  <w:num w:numId="14">
    <w:abstractNumId w:val="6"/>
  </w:num>
  <w:num w:numId="15">
    <w:abstractNumId w:val="5"/>
  </w:num>
  <w:num w:numId="16">
    <w:abstractNumId w:val="0"/>
  </w:num>
  <w:num w:numId="17">
    <w:abstractNumId w:val="11"/>
  </w:num>
  <w:num w:numId="18">
    <w:abstractNumId w:val="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243C"/>
    <w:rsid w:val="000225C9"/>
    <w:rsid w:val="00024BB6"/>
    <w:rsid w:val="00025A1E"/>
    <w:rsid w:val="00030C45"/>
    <w:rsid w:val="00044866"/>
    <w:rsid w:val="000454F0"/>
    <w:rsid w:val="0004746E"/>
    <w:rsid w:val="000503B8"/>
    <w:rsid w:val="00051B2F"/>
    <w:rsid w:val="00057B92"/>
    <w:rsid w:val="00061754"/>
    <w:rsid w:val="00065F77"/>
    <w:rsid w:val="00071D16"/>
    <w:rsid w:val="00076701"/>
    <w:rsid w:val="00077114"/>
    <w:rsid w:val="00087D3E"/>
    <w:rsid w:val="00093F21"/>
    <w:rsid w:val="000A0005"/>
    <w:rsid w:val="000B0394"/>
    <w:rsid w:val="000B2394"/>
    <w:rsid w:val="000D4346"/>
    <w:rsid w:val="000D5629"/>
    <w:rsid w:val="000E3B63"/>
    <w:rsid w:val="000F735A"/>
    <w:rsid w:val="00101370"/>
    <w:rsid w:val="0011470C"/>
    <w:rsid w:val="00114744"/>
    <w:rsid w:val="0011583B"/>
    <w:rsid w:val="001236B7"/>
    <w:rsid w:val="001444D2"/>
    <w:rsid w:val="001444F2"/>
    <w:rsid w:val="00147E7C"/>
    <w:rsid w:val="0015590F"/>
    <w:rsid w:val="00161A36"/>
    <w:rsid w:val="00163871"/>
    <w:rsid w:val="00166666"/>
    <w:rsid w:val="00181AEF"/>
    <w:rsid w:val="00192034"/>
    <w:rsid w:val="00194792"/>
    <w:rsid w:val="00195CB2"/>
    <w:rsid w:val="001A6692"/>
    <w:rsid w:val="001A6C15"/>
    <w:rsid w:val="001B0555"/>
    <w:rsid w:val="001D07F7"/>
    <w:rsid w:val="001D0844"/>
    <w:rsid w:val="001D4D2A"/>
    <w:rsid w:val="001E1D83"/>
    <w:rsid w:val="001E4F76"/>
    <w:rsid w:val="001E5CC7"/>
    <w:rsid w:val="001F11D4"/>
    <w:rsid w:val="00214CB3"/>
    <w:rsid w:val="00215DAC"/>
    <w:rsid w:val="00216E58"/>
    <w:rsid w:val="002274D5"/>
    <w:rsid w:val="00236B5A"/>
    <w:rsid w:val="00236FCE"/>
    <w:rsid w:val="00251EA4"/>
    <w:rsid w:val="0025527E"/>
    <w:rsid w:val="00267E18"/>
    <w:rsid w:val="00280225"/>
    <w:rsid w:val="00280D90"/>
    <w:rsid w:val="00281562"/>
    <w:rsid w:val="00281E73"/>
    <w:rsid w:val="00282533"/>
    <w:rsid w:val="00294F4D"/>
    <w:rsid w:val="002B2A23"/>
    <w:rsid w:val="002B4729"/>
    <w:rsid w:val="002B47A9"/>
    <w:rsid w:val="002C6259"/>
    <w:rsid w:val="002D03B5"/>
    <w:rsid w:val="002D1510"/>
    <w:rsid w:val="002E3EE3"/>
    <w:rsid w:val="002E78D6"/>
    <w:rsid w:val="00304C9B"/>
    <w:rsid w:val="00310897"/>
    <w:rsid w:val="003144AE"/>
    <w:rsid w:val="00325ACE"/>
    <w:rsid w:val="00327744"/>
    <w:rsid w:val="003306B2"/>
    <w:rsid w:val="00337EC5"/>
    <w:rsid w:val="003413FE"/>
    <w:rsid w:val="00343587"/>
    <w:rsid w:val="00345667"/>
    <w:rsid w:val="00347A60"/>
    <w:rsid w:val="00353B20"/>
    <w:rsid w:val="00360F41"/>
    <w:rsid w:val="0036221A"/>
    <w:rsid w:val="00365D10"/>
    <w:rsid w:val="003701AD"/>
    <w:rsid w:val="00373A7A"/>
    <w:rsid w:val="0038245B"/>
    <w:rsid w:val="00386BB3"/>
    <w:rsid w:val="00392F30"/>
    <w:rsid w:val="0039703B"/>
    <w:rsid w:val="003A5C9F"/>
    <w:rsid w:val="003B735C"/>
    <w:rsid w:val="003B7877"/>
    <w:rsid w:val="003D7045"/>
    <w:rsid w:val="003E06E2"/>
    <w:rsid w:val="003E2A52"/>
    <w:rsid w:val="003E2E04"/>
    <w:rsid w:val="003F7142"/>
    <w:rsid w:val="00400BB3"/>
    <w:rsid w:val="00421EE2"/>
    <w:rsid w:val="00424C39"/>
    <w:rsid w:val="00427332"/>
    <w:rsid w:val="004401CE"/>
    <w:rsid w:val="00450C20"/>
    <w:rsid w:val="0045208C"/>
    <w:rsid w:val="00455F00"/>
    <w:rsid w:val="00457F83"/>
    <w:rsid w:val="0046164B"/>
    <w:rsid w:val="004668BB"/>
    <w:rsid w:val="004669B6"/>
    <w:rsid w:val="0047109F"/>
    <w:rsid w:val="004754FE"/>
    <w:rsid w:val="00482113"/>
    <w:rsid w:val="004821A0"/>
    <w:rsid w:val="00482F90"/>
    <w:rsid w:val="00492BDE"/>
    <w:rsid w:val="004A00DC"/>
    <w:rsid w:val="004A5EC2"/>
    <w:rsid w:val="004A7CD9"/>
    <w:rsid w:val="004B4CBD"/>
    <w:rsid w:val="004B7725"/>
    <w:rsid w:val="004C0C5C"/>
    <w:rsid w:val="004C1D90"/>
    <w:rsid w:val="004C36AD"/>
    <w:rsid w:val="004C4B00"/>
    <w:rsid w:val="004C58BB"/>
    <w:rsid w:val="004C74F8"/>
    <w:rsid w:val="004D1BD6"/>
    <w:rsid w:val="004D1E14"/>
    <w:rsid w:val="004D582F"/>
    <w:rsid w:val="004D7EBE"/>
    <w:rsid w:val="004E44C4"/>
    <w:rsid w:val="004F546A"/>
    <w:rsid w:val="004F70E5"/>
    <w:rsid w:val="005001CD"/>
    <w:rsid w:val="005008FC"/>
    <w:rsid w:val="00500AB6"/>
    <w:rsid w:val="00504910"/>
    <w:rsid w:val="00505D0D"/>
    <w:rsid w:val="00505E84"/>
    <w:rsid w:val="00507B15"/>
    <w:rsid w:val="0051123A"/>
    <w:rsid w:val="00512B57"/>
    <w:rsid w:val="005155DF"/>
    <w:rsid w:val="00521BBF"/>
    <w:rsid w:val="005262AA"/>
    <w:rsid w:val="005362BF"/>
    <w:rsid w:val="00542F85"/>
    <w:rsid w:val="00543A7D"/>
    <w:rsid w:val="00552936"/>
    <w:rsid w:val="005538CA"/>
    <w:rsid w:val="00553F86"/>
    <w:rsid w:val="00555FD6"/>
    <w:rsid w:val="0056579F"/>
    <w:rsid w:val="00567817"/>
    <w:rsid w:val="00572640"/>
    <w:rsid w:val="00576B82"/>
    <w:rsid w:val="00577205"/>
    <w:rsid w:val="00581D4E"/>
    <w:rsid w:val="005A0AF4"/>
    <w:rsid w:val="005A1708"/>
    <w:rsid w:val="005A4628"/>
    <w:rsid w:val="005B39AC"/>
    <w:rsid w:val="005B4B3C"/>
    <w:rsid w:val="005B4F55"/>
    <w:rsid w:val="005C3677"/>
    <w:rsid w:val="005D2B79"/>
    <w:rsid w:val="005E1AE3"/>
    <w:rsid w:val="005E5FC3"/>
    <w:rsid w:val="005F1488"/>
    <w:rsid w:val="005F392B"/>
    <w:rsid w:val="0060044F"/>
    <w:rsid w:val="00602084"/>
    <w:rsid w:val="006316EA"/>
    <w:rsid w:val="00634239"/>
    <w:rsid w:val="00635585"/>
    <w:rsid w:val="00653435"/>
    <w:rsid w:val="00655463"/>
    <w:rsid w:val="006569A9"/>
    <w:rsid w:val="00662744"/>
    <w:rsid w:val="006655A3"/>
    <w:rsid w:val="0066789E"/>
    <w:rsid w:val="006743CB"/>
    <w:rsid w:val="006868FD"/>
    <w:rsid w:val="00691F85"/>
    <w:rsid w:val="006A1B39"/>
    <w:rsid w:val="006A49E2"/>
    <w:rsid w:val="006C1E0C"/>
    <w:rsid w:val="006D5593"/>
    <w:rsid w:val="006E3E09"/>
    <w:rsid w:val="006F569E"/>
    <w:rsid w:val="007040BB"/>
    <w:rsid w:val="007046E6"/>
    <w:rsid w:val="00706F4A"/>
    <w:rsid w:val="007141E3"/>
    <w:rsid w:val="007173A1"/>
    <w:rsid w:val="00720D88"/>
    <w:rsid w:val="00733DB5"/>
    <w:rsid w:val="00735072"/>
    <w:rsid w:val="00744D89"/>
    <w:rsid w:val="00747474"/>
    <w:rsid w:val="00751B20"/>
    <w:rsid w:val="00757D1B"/>
    <w:rsid w:val="0076467E"/>
    <w:rsid w:val="007721E1"/>
    <w:rsid w:val="0077282F"/>
    <w:rsid w:val="00774419"/>
    <w:rsid w:val="00775E6E"/>
    <w:rsid w:val="007842AB"/>
    <w:rsid w:val="007934A9"/>
    <w:rsid w:val="007964E9"/>
    <w:rsid w:val="007A087C"/>
    <w:rsid w:val="007A5A21"/>
    <w:rsid w:val="007B12C3"/>
    <w:rsid w:val="007B4C57"/>
    <w:rsid w:val="007B64F2"/>
    <w:rsid w:val="007B726C"/>
    <w:rsid w:val="007B7735"/>
    <w:rsid w:val="007C2218"/>
    <w:rsid w:val="007D2630"/>
    <w:rsid w:val="007D2DCE"/>
    <w:rsid w:val="007D4906"/>
    <w:rsid w:val="007D57DD"/>
    <w:rsid w:val="007F07EE"/>
    <w:rsid w:val="00820C3A"/>
    <w:rsid w:val="00820D3C"/>
    <w:rsid w:val="0082481F"/>
    <w:rsid w:val="008303BF"/>
    <w:rsid w:val="00831133"/>
    <w:rsid w:val="00834F12"/>
    <w:rsid w:val="00835988"/>
    <w:rsid w:val="00836E99"/>
    <w:rsid w:val="0084493D"/>
    <w:rsid w:val="00847439"/>
    <w:rsid w:val="00857B56"/>
    <w:rsid w:val="00857DE8"/>
    <w:rsid w:val="00861F65"/>
    <w:rsid w:val="008649E8"/>
    <w:rsid w:val="00884D08"/>
    <w:rsid w:val="00887E9B"/>
    <w:rsid w:val="00893A05"/>
    <w:rsid w:val="00893DE4"/>
    <w:rsid w:val="008A0F32"/>
    <w:rsid w:val="008A5687"/>
    <w:rsid w:val="008A6F0C"/>
    <w:rsid w:val="008B1086"/>
    <w:rsid w:val="008B3631"/>
    <w:rsid w:val="008B3B02"/>
    <w:rsid w:val="008C3D42"/>
    <w:rsid w:val="008F32ED"/>
    <w:rsid w:val="008F3F81"/>
    <w:rsid w:val="008F4844"/>
    <w:rsid w:val="00903B66"/>
    <w:rsid w:val="00906FC1"/>
    <w:rsid w:val="00915033"/>
    <w:rsid w:val="00915597"/>
    <w:rsid w:val="00922988"/>
    <w:rsid w:val="009372F3"/>
    <w:rsid w:val="00941638"/>
    <w:rsid w:val="00943780"/>
    <w:rsid w:val="00943D9D"/>
    <w:rsid w:val="00945DC5"/>
    <w:rsid w:val="00951BC7"/>
    <w:rsid w:val="00954006"/>
    <w:rsid w:val="00955457"/>
    <w:rsid w:val="00956682"/>
    <w:rsid w:val="009572D7"/>
    <w:rsid w:val="0096696D"/>
    <w:rsid w:val="009677A6"/>
    <w:rsid w:val="00975669"/>
    <w:rsid w:val="009935E4"/>
    <w:rsid w:val="009B6FB7"/>
    <w:rsid w:val="009C043E"/>
    <w:rsid w:val="009C3193"/>
    <w:rsid w:val="009C52E9"/>
    <w:rsid w:val="009D1811"/>
    <w:rsid w:val="009E6E23"/>
    <w:rsid w:val="009E7CEF"/>
    <w:rsid w:val="009F26D6"/>
    <w:rsid w:val="00A010B0"/>
    <w:rsid w:val="00A24A6B"/>
    <w:rsid w:val="00A24B83"/>
    <w:rsid w:val="00A34F9D"/>
    <w:rsid w:val="00A3698B"/>
    <w:rsid w:val="00A40ACC"/>
    <w:rsid w:val="00A40F1D"/>
    <w:rsid w:val="00A57BD7"/>
    <w:rsid w:val="00A6317E"/>
    <w:rsid w:val="00A731C5"/>
    <w:rsid w:val="00A83A3B"/>
    <w:rsid w:val="00A90504"/>
    <w:rsid w:val="00A91C43"/>
    <w:rsid w:val="00A92326"/>
    <w:rsid w:val="00AA31E0"/>
    <w:rsid w:val="00AA6D96"/>
    <w:rsid w:val="00AB4274"/>
    <w:rsid w:val="00AC6CC3"/>
    <w:rsid w:val="00AD7CCD"/>
    <w:rsid w:val="00AE7138"/>
    <w:rsid w:val="00AF586F"/>
    <w:rsid w:val="00B049CB"/>
    <w:rsid w:val="00B1123F"/>
    <w:rsid w:val="00B17D66"/>
    <w:rsid w:val="00B35A43"/>
    <w:rsid w:val="00B370E0"/>
    <w:rsid w:val="00B37775"/>
    <w:rsid w:val="00B45249"/>
    <w:rsid w:val="00B455AC"/>
    <w:rsid w:val="00B54068"/>
    <w:rsid w:val="00B613B3"/>
    <w:rsid w:val="00B629FB"/>
    <w:rsid w:val="00B67148"/>
    <w:rsid w:val="00B83B3A"/>
    <w:rsid w:val="00B900BB"/>
    <w:rsid w:val="00BA45EC"/>
    <w:rsid w:val="00BA6165"/>
    <w:rsid w:val="00BA7682"/>
    <w:rsid w:val="00BB2175"/>
    <w:rsid w:val="00BB3CC5"/>
    <w:rsid w:val="00BC782F"/>
    <w:rsid w:val="00BD413C"/>
    <w:rsid w:val="00BE3B39"/>
    <w:rsid w:val="00BF04ED"/>
    <w:rsid w:val="00BF693A"/>
    <w:rsid w:val="00C0045E"/>
    <w:rsid w:val="00C02835"/>
    <w:rsid w:val="00C05A9C"/>
    <w:rsid w:val="00C13238"/>
    <w:rsid w:val="00C13C37"/>
    <w:rsid w:val="00C21E84"/>
    <w:rsid w:val="00C26086"/>
    <w:rsid w:val="00C26F8F"/>
    <w:rsid w:val="00C332E8"/>
    <w:rsid w:val="00C360CE"/>
    <w:rsid w:val="00C4322F"/>
    <w:rsid w:val="00C51632"/>
    <w:rsid w:val="00C67395"/>
    <w:rsid w:val="00C72F91"/>
    <w:rsid w:val="00C76268"/>
    <w:rsid w:val="00C90180"/>
    <w:rsid w:val="00C94B30"/>
    <w:rsid w:val="00CA23F1"/>
    <w:rsid w:val="00CA7F5E"/>
    <w:rsid w:val="00CB4D87"/>
    <w:rsid w:val="00CB592A"/>
    <w:rsid w:val="00CB640F"/>
    <w:rsid w:val="00CC1126"/>
    <w:rsid w:val="00CC5C12"/>
    <w:rsid w:val="00CD4925"/>
    <w:rsid w:val="00CE0360"/>
    <w:rsid w:val="00CF5D8D"/>
    <w:rsid w:val="00CF6336"/>
    <w:rsid w:val="00CF6663"/>
    <w:rsid w:val="00CF78A3"/>
    <w:rsid w:val="00D002FB"/>
    <w:rsid w:val="00D00FEA"/>
    <w:rsid w:val="00D148E0"/>
    <w:rsid w:val="00D315BA"/>
    <w:rsid w:val="00D32195"/>
    <w:rsid w:val="00D34105"/>
    <w:rsid w:val="00D359D8"/>
    <w:rsid w:val="00D45300"/>
    <w:rsid w:val="00D51A0A"/>
    <w:rsid w:val="00D57DA0"/>
    <w:rsid w:val="00D72B5F"/>
    <w:rsid w:val="00D7548F"/>
    <w:rsid w:val="00D82DFA"/>
    <w:rsid w:val="00D9136A"/>
    <w:rsid w:val="00D96FB2"/>
    <w:rsid w:val="00DA18AB"/>
    <w:rsid w:val="00DA3F35"/>
    <w:rsid w:val="00DA66A9"/>
    <w:rsid w:val="00DC6CB5"/>
    <w:rsid w:val="00DD0468"/>
    <w:rsid w:val="00DD1074"/>
    <w:rsid w:val="00DD1C9C"/>
    <w:rsid w:val="00DD508D"/>
    <w:rsid w:val="00DE1A4A"/>
    <w:rsid w:val="00DE37CD"/>
    <w:rsid w:val="00DE3BA1"/>
    <w:rsid w:val="00DE6B92"/>
    <w:rsid w:val="00DF575F"/>
    <w:rsid w:val="00DF61BA"/>
    <w:rsid w:val="00E05369"/>
    <w:rsid w:val="00E104E9"/>
    <w:rsid w:val="00E152D4"/>
    <w:rsid w:val="00E15529"/>
    <w:rsid w:val="00E15AAD"/>
    <w:rsid w:val="00E24BB4"/>
    <w:rsid w:val="00E267D6"/>
    <w:rsid w:val="00E3354B"/>
    <w:rsid w:val="00E42FEE"/>
    <w:rsid w:val="00E44695"/>
    <w:rsid w:val="00E44CC9"/>
    <w:rsid w:val="00E46747"/>
    <w:rsid w:val="00E468BF"/>
    <w:rsid w:val="00E6312A"/>
    <w:rsid w:val="00E662D6"/>
    <w:rsid w:val="00E74F38"/>
    <w:rsid w:val="00E80C43"/>
    <w:rsid w:val="00E86FCF"/>
    <w:rsid w:val="00E87BE2"/>
    <w:rsid w:val="00E9631D"/>
    <w:rsid w:val="00EA5C7A"/>
    <w:rsid w:val="00EB3F43"/>
    <w:rsid w:val="00EB563F"/>
    <w:rsid w:val="00EC406B"/>
    <w:rsid w:val="00EC4A46"/>
    <w:rsid w:val="00ED4101"/>
    <w:rsid w:val="00ED73BC"/>
    <w:rsid w:val="00EE3856"/>
    <w:rsid w:val="00EF42DB"/>
    <w:rsid w:val="00EF5B38"/>
    <w:rsid w:val="00F01EA6"/>
    <w:rsid w:val="00F02B6A"/>
    <w:rsid w:val="00F05437"/>
    <w:rsid w:val="00F054AE"/>
    <w:rsid w:val="00F117E0"/>
    <w:rsid w:val="00F12676"/>
    <w:rsid w:val="00F154D2"/>
    <w:rsid w:val="00F34BBF"/>
    <w:rsid w:val="00F425CC"/>
    <w:rsid w:val="00F45F77"/>
    <w:rsid w:val="00F55D30"/>
    <w:rsid w:val="00F705D4"/>
    <w:rsid w:val="00F73CB9"/>
    <w:rsid w:val="00F74BCF"/>
    <w:rsid w:val="00F8110F"/>
    <w:rsid w:val="00F81E15"/>
    <w:rsid w:val="00F834FA"/>
    <w:rsid w:val="00F91E9C"/>
    <w:rsid w:val="00F95DCD"/>
    <w:rsid w:val="00FA0A08"/>
    <w:rsid w:val="00FA2D29"/>
    <w:rsid w:val="00FA4A2C"/>
    <w:rsid w:val="00FA5015"/>
    <w:rsid w:val="00FB373F"/>
    <w:rsid w:val="00FB49D2"/>
    <w:rsid w:val="00FC144D"/>
    <w:rsid w:val="00FD5E4F"/>
    <w:rsid w:val="00FD68F2"/>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4E9"/>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CA31-E787-4177-8AF7-F96EAF07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10770</Words>
  <Characters>6140</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11</cp:revision>
  <cp:lastPrinted>2020-10-01T12:47:00Z</cp:lastPrinted>
  <dcterms:created xsi:type="dcterms:W3CDTF">2020-10-02T05:50:00Z</dcterms:created>
  <dcterms:modified xsi:type="dcterms:W3CDTF">2020-10-02T07:03:00Z</dcterms:modified>
</cp:coreProperties>
</file>