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F1D4C" w14:textId="1063340A" w:rsidR="0056601A" w:rsidRPr="0056601A" w:rsidRDefault="00746341" w:rsidP="0056601A">
      <w:pPr>
        <w:tabs>
          <w:tab w:val="left" w:pos="567"/>
        </w:tabs>
        <w:ind w:firstLine="567"/>
        <w:jc w:val="center"/>
        <w:rPr>
          <w:szCs w:val="22"/>
        </w:rPr>
      </w:pPr>
      <w:r>
        <w:rPr>
          <w:b/>
        </w:rPr>
        <w:t>REGLAMENTO</w:t>
      </w:r>
      <w:r w:rsidR="009C302C" w:rsidRPr="00E921FC">
        <w:rPr>
          <w:b/>
        </w:rPr>
        <w:t xml:space="preserve"> </w:t>
      </w:r>
      <w:r w:rsidR="006649D0" w:rsidRPr="00E921FC">
        <w:rPr>
          <w:b/>
        </w:rPr>
        <w:t>2019/</w:t>
      </w:r>
      <w:r w:rsidR="00037517">
        <w:rPr>
          <w:b/>
        </w:rPr>
        <w:t>941</w:t>
      </w:r>
      <w:r w:rsidR="009C302C" w:rsidRPr="00E921FC">
        <w:rPr>
          <w:b/>
        </w:rPr>
        <w:t xml:space="preserve"> IR </w:t>
      </w:r>
      <w:r w:rsidR="006649D0" w:rsidRPr="00E921FC">
        <w:rPr>
          <w:b/>
        </w:rPr>
        <w:t xml:space="preserve">LIETUVOS RESPUBLIKOS </w:t>
      </w:r>
      <w:r w:rsidR="0056601A" w:rsidRPr="0056601A">
        <w:rPr>
          <w:b/>
          <w:szCs w:val="22"/>
        </w:rPr>
        <w:t>ELEKTROS ENERGETIKOS ĮSTATYMO NR. VIII-1881 3, 6, 7 STRAIPSNIŲ, VIENUOLIKTOJO SKIRSNIO PAVADINIMO IR PRIEDO PAKEITIMO IR ĮSTATYMO PAPILDYMO 73</w:t>
      </w:r>
      <w:r w:rsidR="0056601A" w:rsidRPr="0056601A">
        <w:rPr>
          <w:b/>
          <w:szCs w:val="22"/>
          <w:vertAlign w:val="superscript"/>
        </w:rPr>
        <w:t xml:space="preserve">1 </w:t>
      </w:r>
      <w:r w:rsidR="0056601A" w:rsidRPr="0056601A">
        <w:rPr>
          <w:b/>
          <w:szCs w:val="22"/>
        </w:rPr>
        <w:t>STRAIPSNIU</w:t>
      </w:r>
    </w:p>
    <w:p w14:paraId="16FE9CC8" w14:textId="027B5332" w:rsidR="00363F19" w:rsidRPr="00E921FC" w:rsidRDefault="00654124" w:rsidP="0056601A">
      <w:pPr>
        <w:spacing w:after="240"/>
        <w:jc w:val="center"/>
        <w:rPr>
          <w:b/>
        </w:rPr>
      </w:pPr>
      <w:r>
        <w:rPr>
          <w:b/>
        </w:rPr>
        <w:t xml:space="preserve">ĮSTATYMO </w:t>
      </w:r>
      <w:r w:rsidR="002F29BB" w:rsidRPr="00E921FC">
        <w:rPr>
          <w:b/>
        </w:rPr>
        <w:t xml:space="preserve">PROJEKTO </w:t>
      </w:r>
      <w:r w:rsidR="00B540ED" w:rsidRPr="00E921FC">
        <w:rPr>
          <w:b/>
        </w:rPr>
        <w:t>ATITIKTIES LENTELĖ</w:t>
      </w:r>
    </w:p>
    <w:tbl>
      <w:tblPr>
        <w:tblW w:w="148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6811"/>
        <w:gridCol w:w="1800"/>
      </w:tblGrid>
      <w:tr w:rsidR="00585C9A" w:rsidRPr="00E921FC" w14:paraId="09BD380D" w14:textId="77777777" w:rsidTr="00960674">
        <w:trPr>
          <w:trHeight w:val="529"/>
        </w:trPr>
        <w:tc>
          <w:tcPr>
            <w:tcW w:w="6237" w:type="dxa"/>
            <w:tcBorders>
              <w:bottom w:val="single" w:sz="4" w:space="0" w:color="auto"/>
            </w:tcBorders>
          </w:tcPr>
          <w:p w14:paraId="40D16EB0" w14:textId="595A891A" w:rsidR="00585C9A" w:rsidRPr="00E921FC" w:rsidRDefault="006649D0" w:rsidP="00217631">
            <w:pPr>
              <w:pStyle w:val="HTMLPreformatted"/>
              <w:jc w:val="both"/>
              <w:rPr>
                <w:rFonts w:ascii="Times New Roman" w:hAnsi="Times New Roman" w:cs="Times New Roman"/>
                <w:b/>
                <w:sz w:val="24"/>
                <w:szCs w:val="24"/>
              </w:rPr>
            </w:pPr>
            <w:r w:rsidRPr="00E921FC">
              <w:rPr>
                <w:rFonts w:ascii="Times New Roman" w:hAnsi="Times New Roman" w:cs="Times New Roman"/>
                <w:b/>
                <w:sz w:val="24"/>
                <w:szCs w:val="24"/>
              </w:rPr>
              <w:t>2019 m. b</w:t>
            </w:r>
            <w:r w:rsidR="002C3C5B">
              <w:rPr>
                <w:rFonts w:ascii="Times New Roman" w:hAnsi="Times New Roman" w:cs="Times New Roman"/>
                <w:b/>
                <w:sz w:val="24"/>
                <w:szCs w:val="24"/>
              </w:rPr>
              <w:t>irželio</w:t>
            </w:r>
            <w:r w:rsidRPr="00E921FC">
              <w:rPr>
                <w:rFonts w:ascii="Times New Roman" w:hAnsi="Times New Roman" w:cs="Times New Roman"/>
                <w:b/>
                <w:sz w:val="24"/>
                <w:szCs w:val="24"/>
              </w:rPr>
              <w:t xml:space="preserve"> </w:t>
            </w:r>
            <w:r w:rsidR="00020C76">
              <w:rPr>
                <w:rFonts w:ascii="Times New Roman" w:hAnsi="Times New Roman" w:cs="Times New Roman"/>
                <w:b/>
                <w:sz w:val="24"/>
                <w:szCs w:val="24"/>
              </w:rPr>
              <w:t>5</w:t>
            </w:r>
            <w:r w:rsidRPr="00E921FC">
              <w:rPr>
                <w:rFonts w:ascii="Times New Roman" w:hAnsi="Times New Roman" w:cs="Times New Roman"/>
                <w:b/>
                <w:sz w:val="24"/>
                <w:szCs w:val="24"/>
              </w:rPr>
              <w:t xml:space="preserve"> d. Europos Parlamento ir Tarybos </w:t>
            </w:r>
            <w:r w:rsidR="00746341">
              <w:rPr>
                <w:rFonts w:ascii="Times New Roman" w:hAnsi="Times New Roman" w:cs="Times New Roman"/>
                <w:b/>
                <w:sz w:val="24"/>
                <w:szCs w:val="24"/>
              </w:rPr>
              <w:t>reglamento</w:t>
            </w:r>
            <w:r w:rsidRPr="00E921FC">
              <w:rPr>
                <w:rFonts w:ascii="Times New Roman" w:hAnsi="Times New Roman" w:cs="Times New Roman"/>
                <w:b/>
                <w:sz w:val="24"/>
                <w:szCs w:val="24"/>
              </w:rPr>
              <w:t xml:space="preserve"> (ES) 2019/</w:t>
            </w:r>
            <w:r w:rsidR="00746341">
              <w:rPr>
                <w:rFonts w:ascii="Times New Roman" w:hAnsi="Times New Roman" w:cs="Times New Roman"/>
                <w:b/>
                <w:sz w:val="24"/>
                <w:szCs w:val="24"/>
              </w:rPr>
              <w:t>941 dėl pasirengimo valdyti riziką elektros energetikos sektoriuje</w:t>
            </w:r>
            <w:r w:rsidR="00217631">
              <w:rPr>
                <w:rFonts w:ascii="Times New Roman" w:hAnsi="Times New Roman" w:cs="Times New Roman"/>
                <w:b/>
                <w:sz w:val="24"/>
                <w:szCs w:val="24"/>
              </w:rPr>
              <w:t xml:space="preserve">, kuriuo panaikinama Direktyva 2005/89/EB </w:t>
            </w:r>
          </w:p>
        </w:tc>
        <w:tc>
          <w:tcPr>
            <w:tcW w:w="6811" w:type="dxa"/>
          </w:tcPr>
          <w:p w14:paraId="453C2F52" w14:textId="3556ADE9" w:rsidR="00363BCF" w:rsidRPr="00E921FC" w:rsidRDefault="000B142A" w:rsidP="00DA7034">
            <w:r w:rsidRPr="000B142A">
              <w:rPr>
                <w:b/>
              </w:rPr>
              <w:t xml:space="preserve">Lietuvos Respublikos elektros energetikos įstatymo Nr. </w:t>
            </w:r>
            <w:r w:rsidRPr="000B142A">
              <w:rPr>
                <w:b/>
                <w:szCs w:val="22"/>
              </w:rPr>
              <w:t>VIII-1881 3, 6, 7 straipsnių, vienuoliktojo skirsnio pavadinimo ir priedo pakeitimo ir Įstatymo papildymo 73</w:t>
            </w:r>
            <w:r w:rsidRPr="000B142A">
              <w:rPr>
                <w:b/>
                <w:szCs w:val="22"/>
                <w:vertAlign w:val="superscript"/>
              </w:rPr>
              <w:t xml:space="preserve">1 </w:t>
            </w:r>
            <w:r w:rsidRPr="000B142A">
              <w:rPr>
                <w:b/>
                <w:szCs w:val="22"/>
              </w:rPr>
              <w:t xml:space="preserve">straipsniu </w:t>
            </w:r>
            <w:r w:rsidRPr="000B142A">
              <w:rPr>
                <w:b/>
              </w:rPr>
              <w:t>įstatymo projektas</w:t>
            </w:r>
          </w:p>
        </w:tc>
        <w:tc>
          <w:tcPr>
            <w:tcW w:w="1800" w:type="dxa"/>
          </w:tcPr>
          <w:p w14:paraId="30F0320F" w14:textId="52EC028F" w:rsidR="00585C9A" w:rsidRPr="00E921FC" w:rsidRDefault="00217631" w:rsidP="002E15B0">
            <w:pPr>
              <w:pStyle w:val="HTMLPreformatted"/>
              <w:rPr>
                <w:rFonts w:ascii="Times New Roman" w:hAnsi="Times New Roman" w:cs="Times New Roman"/>
                <w:b/>
                <w:sz w:val="24"/>
                <w:szCs w:val="24"/>
              </w:rPr>
            </w:pPr>
            <w:r>
              <w:rPr>
                <w:rFonts w:ascii="Times New Roman" w:hAnsi="Times New Roman" w:cs="Times New Roman"/>
                <w:b/>
                <w:sz w:val="24"/>
                <w:szCs w:val="24"/>
              </w:rPr>
              <w:t xml:space="preserve">Reglamento </w:t>
            </w:r>
            <w:r w:rsidR="00585C9A" w:rsidRPr="00E921FC">
              <w:rPr>
                <w:rFonts w:ascii="Times New Roman" w:hAnsi="Times New Roman" w:cs="Times New Roman"/>
                <w:b/>
                <w:sz w:val="24"/>
                <w:szCs w:val="24"/>
              </w:rPr>
              <w:t>įgyvendinimo lygis (visiškas, dalinis)</w:t>
            </w:r>
          </w:p>
        </w:tc>
      </w:tr>
      <w:tr w:rsidR="0077486A" w:rsidRPr="00E921FC" w14:paraId="4114325A" w14:textId="77777777" w:rsidTr="00960674">
        <w:trPr>
          <w:trHeight w:val="70"/>
        </w:trPr>
        <w:tc>
          <w:tcPr>
            <w:tcW w:w="6237" w:type="dxa"/>
          </w:tcPr>
          <w:p w14:paraId="1090A597" w14:textId="77777777" w:rsidR="0077486A" w:rsidRPr="00BE74D8" w:rsidRDefault="0077486A" w:rsidP="0077486A">
            <w:pPr>
              <w:jc w:val="both"/>
              <w:rPr>
                <w:b/>
                <w:bCs/>
                <w:color w:val="000000"/>
                <w:shd w:val="clear" w:color="auto" w:fill="FFFFFF"/>
              </w:rPr>
            </w:pPr>
            <w:r>
              <w:rPr>
                <w:b/>
                <w:bCs/>
                <w:color w:val="000000"/>
                <w:shd w:val="clear" w:color="auto" w:fill="FFFFFF"/>
              </w:rPr>
              <w:t xml:space="preserve">3 straipsnis. </w:t>
            </w:r>
            <w:r w:rsidRPr="00BE74D8">
              <w:rPr>
                <w:b/>
                <w:bCs/>
                <w:color w:val="000000"/>
                <w:shd w:val="clear" w:color="auto" w:fill="FFFFFF"/>
              </w:rPr>
              <w:t>Kompetentinga institucija</w:t>
            </w:r>
          </w:p>
          <w:p w14:paraId="182D41BD" w14:textId="005A9080" w:rsidR="0077486A" w:rsidRDefault="00BD37BD" w:rsidP="0077486A">
            <w:pPr>
              <w:jc w:val="both"/>
              <w:rPr>
                <w:color w:val="000000"/>
                <w:shd w:val="clear" w:color="auto" w:fill="FFFFFF"/>
              </w:rPr>
            </w:pPr>
            <w:r>
              <w:rPr>
                <w:color w:val="000000"/>
                <w:shd w:val="clear" w:color="auto" w:fill="FFFFFF"/>
              </w:rPr>
              <w:t>„</w:t>
            </w:r>
            <w:r w:rsidR="0077486A" w:rsidRPr="00BE74D8">
              <w:rPr>
                <w:color w:val="000000"/>
                <w:shd w:val="clear" w:color="auto" w:fill="FFFFFF"/>
              </w:rPr>
              <w:t>1.   Kuo greičiau ir bet kuriuo atveju ne vėliau kaip iki 2020 m. sausio 5 d. kiekviena valstybė narė savo kompetentinga institucija paskiria nacionalinę vyriausybės instituciją arba reguliavimo instituciją. Kompetentingos institucijos yra atsakingos už šiame reglamente numatytų užduočių vykdymą ir tuo tikslu bendradarbiauja tarpusavyje. Atitinkamu atveju, kol bus paskirta kompetentinga institucija, pagal šį reglamentą numatytas kompetentingos institucijos užduotis vykdo nacionaliniai subjektai, atsakingi už elektros energijos tiekimo saugumą.</w:t>
            </w:r>
          </w:p>
          <w:p w14:paraId="1B3FA5C3" w14:textId="77777777" w:rsidR="0077486A" w:rsidRDefault="0077486A" w:rsidP="0077486A">
            <w:pPr>
              <w:jc w:val="both"/>
              <w:rPr>
                <w:color w:val="000000"/>
                <w:shd w:val="clear" w:color="auto" w:fill="FFFFFF"/>
              </w:rPr>
            </w:pPr>
            <w:r>
              <w:rPr>
                <w:color w:val="000000"/>
                <w:shd w:val="clear" w:color="auto" w:fill="FFFFFF"/>
              </w:rPr>
              <w:t>(...)</w:t>
            </w:r>
          </w:p>
          <w:p w14:paraId="12522F31" w14:textId="79B8E959" w:rsidR="0077486A" w:rsidRDefault="0077486A" w:rsidP="0077486A">
            <w:pPr>
              <w:jc w:val="both"/>
              <w:rPr>
                <w:b/>
                <w:bCs/>
                <w:color w:val="000000"/>
                <w:shd w:val="clear" w:color="auto" w:fill="FFFFFF"/>
              </w:rPr>
            </w:pPr>
            <w:r>
              <w:rPr>
                <w:color w:val="000000"/>
                <w:shd w:val="clear" w:color="auto" w:fill="FFFFFF"/>
              </w:rPr>
              <w:t>3.   Valstybės narės gali leisti kompetentingai institucijai pavesti šiame reglamente nustatytas veiklos užduotis, susijusias su pasirengimo valdyti riziką planavimu ir rizikos valdymu, kitoms įstaigoms. Pavestos užduotys atliekamos prižiūrint kompetentingai institucijai ir nurodomos pasirengimo valdyti riziką plane, laikantis 11 straipsnio 1 dalies b punkto.</w:t>
            </w:r>
            <w:r w:rsidR="00BD37BD">
              <w:rPr>
                <w:color w:val="000000"/>
                <w:shd w:val="clear" w:color="auto" w:fill="FFFFFF"/>
              </w:rPr>
              <w:t>“</w:t>
            </w:r>
          </w:p>
        </w:tc>
        <w:tc>
          <w:tcPr>
            <w:tcW w:w="6811" w:type="dxa"/>
          </w:tcPr>
          <w:p w14:paraId="2FF9F487" w14:textId="77777777" w:rsidR="0077486A" w:rsidRPr="009D274B" w:rsidRDefault="0077486A" w:rsidP="0077486A">
            <w:pPr>
              <w:suppressAutoHyphens/>
              <w:autoSpaceDE w:val="0"/>
              <w:autoSpaceDN w:val="0"/>
              <w:adjustRightInd w:val="0"/>
              <w:jc w:val="both"/>
              <w:textAlignment w:val="center"/>
              <w:rPr>
                <w:b/>
                <w:bCs/>
                <w:color w:val="000000"/>
              </w:rPr>
            </w:pPr>
            <w:r w:rsidRPr="009D274B">
              <w:rPr>
                <w:b/>
                <w:bCs/>
                <w:color w:val="000000"/>
              </w:rPr>
              <w:t>5 straipsnis. Vienuoliktojo skirsnio papildymas 73</w:t>
            </w:r>
            <w:r w:rsidRPr="009D274B">
              <w:rPr>
                <w:b/>
                <w:bCs/>
                <w:color w:val="000000"/>
                <w:vertAlign w:val="superscript"/>
              </w:rPr>
              <w:t xml:space="preserve">1 </w:t>
            </w:r>
            <w:r w:rsidRPr="009D274B">
              <w:rPr>
                <w:b/>
                <w:bCs/>
                <w:color w:val="000000"/>
              </w:rPr>
              <w:t>straipsniu</w:t>
            </w:r>
          </w:p>
          <w:p w14:paraId="2326BA62" w14:textId="77777777" w:rsidR="0077486A" w:rsidRPr="009D274B" w:rsidRDefault="0077486A" w:rsidP="0077486A">
            <w:pPr>
              <w:suppressAutoHyphens/>
              <w:autoSpaceDE w:val="0"/>
              <w:autoSpaceDN w:val="0"/>
              <w:adjustRightInd w:val="0"/>
              <w:jc w:val="both"/>
              <w:textAlignment w:val="center"/>
              <w:rPr>
                <w:b/>
                <w:bCs/>
                <w:color w:val="000000"/>
              </w:rPr>
            </w:pPr>
            <w:r w:rsidRPr="009D274B">
              <w:rPr>
                <w:bCs/>
                <w:color w:val="000000"/>
              </w:rPr>
              <w:t>Papildyti vienuoliktąjį skirsnį 73</w:t>
            </w:r>
            <w:r w:rsidRPr="009D274B">
              <w:rPr>
                <w:bCs/>
                <w:color w:val="000000"/>
                <w:vertAlign w:val="superscript"/>
              </w:rPr>
              <w:t>1</w:t>
            </w:r>
            <w:r w:rsidRPr="009D274B">
              <w:rPr>
                <w:b/>
                <w:bCs/>
                <w:color w:val="000000"/>
                <w:vertAlign w:val="superscript"/>
              </w:rPr>
              <w:t xml:space="preserve"> </w:t>
            </w:r>
            <w:r w:rsidRPr="009D274B">
              <w:rPr>
                <w:bCs/>
                <w:color w:val="000000"/>
                <w:vertAlign w:val="superscript"/>
              </w:rPr>
              <w:t xml:space="preserve"> </w:t>
            </w:r>
            <w:r w:rsidRPr="009D274B">
              <w:rPr>
                <w:bCs/>
                <w:color w:val="000000"/>
              </w:rPr>
              <w:t>straipsniu:</w:t>
            </w:r>
          </w:p>
          <w:p w14:paraId="1FC90530" w14:textId="77777777" w:rsidR="0077486A" w:rsidRDefault="0077486A" w:rsidP="0077486A">
            <w:pPr>
              <w:suppressAutoHyphens/>
              <w:autoSpaceDE w:val="0"/>
              <w:autoSpaceDN w:val="0"/>
              <w:adjustRightInd w:val="0"/>
              <w:jc w:val="both"/>
              <w:textAlignment w:val="center"/>
              <w:rPr>
                <w:b/>
                <w:bCs/>
                <w:color w:val="000000"/>
              </w:rPr>
            </w:pPr>
            <w:r w:rsidRPr="009D274B">
              <w:rPr>
                <w:bCs/>
                <w:color w:val="000000"/>
              </w:rPr>
              <w:t>„</w:t>
            </w:r>
            <w:r w:rsidRPr="009D274B">
              <w:rPr>
                <w:b/>
                <w:bCs/>
                <w:color w:val="000000"/>
              </w:rPr>
              <w:t>73</w:t>
            </w:r>
            <w:r w:rsidRPr="009D274B">
              <w:rPr>
                <w:b/>
                <w:bCs/>
                <w:color w:val="000000"/>
                <w:vertAlign w:val="superscript"/>
              </w:rPr>
              <w:t xml:space="preserve">1 </w:t>
            </w:r>
            <w:r w:rsidRPr="009D274B">
              <w:rPr>
                <w:b/>
                <w:bCs/>
                <w:color w:val="000000"/>
              </w:rPr>
              <w:t>straipsnis. Elektros energijos tiekimo saugumo užtikrinimas</w:t>
            </w:r>
          </w:p>
          <w:p w14:paraId="7DD8D621" w14:textId="77777777" w:rsidR="0077486A" w:rsidRDefault="0077486A" w:rsidP="0077486A">
            <w:pPr>
              <w:jc w:val="both"/>
              <w:rPr>
                <w:rFonts w:eastAsia="Calibri"/>
              </w:rPr>
            </w:pPr>
            <w:r>
              <w:rPr>
                <w:rFonts w:eastAsia="Calibri"/>
              </w:rPr>
              <w:t>(...)</w:t>
            </w:r>
          </w:p>
          <w:p w14:paraId="029BAC13" w14:textId="77777777" w:rsidR="0077486A" w:rsidRDefault="0077486A" w:rsidP="0077486A">
            <w:pPr>
              <w:jc w:val="both"/>
              <w:rPr>
                <w:rFonts w:eastAsia="Calibri"/>
              </w:rPr>
            </w:pPr>
            <w:r>
              <w:rPr>
                <w:rFonts w:eastAsia="Calibri"/>
              </w:rPr>
              <w:t xml:space="preserve">3. </w:t>
            </w:r>
            <w:r w:rsidRPr="00FE0F67">
              <w:rPr>
                <w:rFonts w:eastAsia="Calibri"/>
              </w:rPr>
              <w:t>Kompetentinga institucija, atsakinga už Reglamente (ES) 2019/941</w:t>
            </w:r>
            <w:r>
              <w:rPr>
                <w:rFonts w:eastAsia="Calibri"/>
              </w:rPr>
              <w:t xml:space="preserve"> </w:t>
            </w:r>
            <w:r w:rsidRPr="00FE0F67">
              <w:rPr>
                <w:rFonts w:eastAsia="Calibri"/>
              </w:rPr>
              <w:t>numatytų užduočių,</w:t>
            </w:r>
            <w:r>
              <w:rPr>
                <w:rFonts w:eastAsia="Calibri"/>
              </w:rPr>
              <w:t xml:space="preserve"> susijusių su pasirengimu elektros energetikos sektoriaus krizėms ir jų valdymu, vykdymą yra Energetikos ministerija.</w:t>
            </w:r>
          </w:p>
          <w:p w14:paraId="29250096" w14:textId="77777777" w:rsidR="0077486A" w:rsidRDefault="0077486A" w:rsidP="0077486A">
            <w:pPr>
              <w:jc w:val="both"/>
              <w:rPr>
                <w:rFonts w:eastAsia="Calibri"/>
              </w:rPr>
            </w:pPr>
            <w:r>
              <w:rPr>
                <w:rFonts w:eastAsia="Calibri"/>
              </w:rPr>
              <w:t>(...)</w:t>
            </w:r>
          </w:p>
          <w:p w14:paraId="0B94505E" w14:textId="10D670DE" w:rsidR="0077486A" w:rsidRDefault="0077486A" w:rsidP="0077486A">
            <w:pPr>
              <w:jc w:val="both"/>
              <w:rPr>
                <w:rFonts w:eastAsia="Calibri"/>
              </w:rPr>
            </w:pPr>
            <w:r>
              <w:rPr>
                <w:rFonts w:eastAsia="Calibri"/>
              </w:rPr>
              <w:t>5. Nacionalinius e</w:t>
            </w:r>
            <w:r w:rsidRPr="00061684">
              <w:rPr>
                <w:rFonts w:eastAsia="Calibri"/>
              </w:rPr>
              <w:t>lektros energ</w:t>
            </w:r>
            <w:r>
              <w:rPr>
                <w:rFonts w:eastAsia="Calibri"/>
              </w:rPr>
              <w:t>etik</w:t>
            </w:r>
            <w:r w:rsidRPr="00061684">
              <w:rPr>
                <w:rFonts w:eastAsia="Calibri"/>
              </w:rPr>
              <w:t xml:space="preserve">os sektoriaus krizės scenarijus </w:t>
            </w:r>
            <w:r w:rsidR="000B735B">
              <w:rPr>
                <w:rFonts w:eastAsia="Calibri"/>
              </w:rPr>
              <w:t>identifikuoja</w:t>
            </w:r>
            <w:r>
              <w:rPr>
                <w:rFonts w:eastAsia="Calibri"/>
              </w:rPr>
              <w:t xml:space="preserve"> </w:t>
            </w:r>
            <w:r w:rsidRPr="00061684">
              <w:rPr>
                <w:rFonts w:eastAsia="Calibri"/>
              </w:rPr>
              <w:t xml:space="preserve">ir </w:t>
            </w:r>
            <w:r>
              <w:rPr>
                <w:rFonts w:eastAsia="Calibri"/>
              </w:rPr>
              <w:t>P</w:t>
            </w:r>
            <w:r w:rsidRPr="00061684">
              <w:rPr>
                <w:rFonts w:eastAsia="Calibri"/>
              </w:rPr>
              <w:t>asirengimo valdyti riziką elektros energetikos sektoriuje planą rengia ir kompetentingai institucijai tvirtinti teikia Agentūra.</w:t>
            </w:r>
          </w:p>
          <w:p w14:paraId="75E93547" w14:textId="53DBD068" w:rsidR="0077486A" w:rsidRPr="00813D3A" w:rsidRDefault="0077486A" w:rsidP="0077486A">
            <w:pPr>
              <w:jc w:val="both"/>
              <w:rPr>
                <w:rFonts w:eastAsia="Calibri"/>
                <w:b/>
                <w:bCs/>
                <w:lang w:eastAsia="en-US"/>
              </w:rPr>
            </w:pPr>
            <w:r>
              <w:rPr>
                <w:rFonts w:eastAsia="Calibri"/>
              </w:rPr>
              <w:t>(...).“</w:t>
            </w:r>
          </w:p>
        </w:tc>
        <w:tc>
          <w:tcPr>
            <w:tcW w:w="1800" w:type="dxa"/>
          </w:tcPr>
          <w:p w14:paraId="0EADEAC5" w14:textId="32D710B4" w:rsidR="0077486A" w:rsidRPr="001D55A4" w:rsidRDefault="0077486A" w:rsidP="0077486A">
            <w:pPr>
              <w:rPr>
                <w:b/>
                <w:bCs/>
              </w:rPr>
            </w:pPr>
            <w:r>
              <w:rPr>
                <w:b/>
                <w:bCs/>
              </w:rPr>
              <w:t>Visiškas</w:t>
            </w:r>
          </w:p>
        </w:tc>
      </w:tr>
      <w:tr w:rsidR="002A6BE2" w:rsidRPr="005D2C4C" w14:paraId="38E96419" w14:textId="77777777" w:rsidTr="00357429">
        <w:trPr>
          <w:trHeight w:val="70"/>
        </w:trPr>
        <w:tc>
          <w:tcPr>
            <w:tcW w:w="6237" w:type="dxa"/>
          </w:tcPr>
          <w:p w14:paraId="3CA3E1C1" w14:textId="77777777" w:rsidR="002A6BE2" w:rsidRPr="005B7627" w:rsidRDefault="002A6BE2" w:rsidP="00357429">
            <w:pPr>
              <w:jc w:val="both"/>
              <w:rPr>
                <w:b/>
                <w:bCs/>
                <w:i/>
                <w:iCs/>
                <w:color w:val="000000"/>
                <w:shd w:val="clear" w:color="auto" w:fill="FFFFFF"/>
              </w:rPr>
            </w:pPr>
            <w:r w:rsidRPr="005B7627">
              <w:rPr>
                <w:b/>
                <w:bCs/>
                <w:color w:val="000000"/>
                <w:shd w:val="clear" w:color="auto" w:fill="FFFFFF"/>
              </w:rPr>
              <w:t>7 straipsnis.</w:t>
            </w:r>
            <w:r>
              <w:rPr>
                <w:b/>
                <w:bCs/>
                <w:i/>
                <w:iCs/>
                <w:color w:val="000000"/>
                <w:shd w:val="clear" w:color="auto" w:fill="FFFFFF"/>
              </w:rPr>
              <w:t xml:space="preserve"> </w:t>
            </w:r>
            <w:r w:rsidRPr="005B7627">
              <w:rPr>
                <w:b/>
                <w:bCs/>
                <w:color w:val="000000"/>
                <w:shd w:val="clear" w:color="auto" w:fill="FFFFFF"/>
              </w:rPr>
              <w:t>Nacionalinių elektros energijos sektoriaus krizės scenarijų nustatymas</w:t>
            </w:r>
          </w:p>
          <w:p w14:paraId="10E76565" w14:textId="7E08771D" w:rsidR="00BD37BD" w:rsidRDefault="00BD37BD" w:rsidP="00357429">
            <w:pPr>
              <w:jc w:val="both"/>
              <w:rPr>
                <w:color w:val="000000"/>
                <w:shd w:val="clear" w:color="auto" w:fill="FFFFFF"/>
              </w:rPr>
            </w:pPr>
            <w:r>
              <w:rPr>
                <w:color w:val="000000"/>
                <w:shd w:val="clear" w:color="auto" w:fill="FFFFFF"/>
              </w:rPr>
              <w:t>„</w:t>
            </w:r>
            <w:r w:rsidR="002A6BE2" w:rsidRPr="005B7627">
              <w:rPr>
                <w:color w:val="000000"/>
                <w:shd w:val="clear" w:color="auto" w:fill="FFFFFF"/>
              </w:rPr>
              <w:t>1.   Per keturis mėnesius po regioninių elektros energijos sektoriaus krizės scenarijų nustatymo pagal 6 straipsnio 1 dalį kompetentinga institucija nustato aktualiausius nacionalinius elektros energijos sektoriaus krizės scenarijus.</w:t>
            </w:r>
          </w:p>
          <w:p w14:paraId="26D1ABE4" w14:textId="29B1466C" w:rsidR="002A6BE2" w:rsidRPr="005B7627" w:rsidRDefault="002A6BE2" w:rsidP="00357429">
            <w:pPr>
              <w:jc w:val="both"/>
              <w:rPr>
                <w:color w:val="000000"/>
                <w:shd w:val="clear" w:color="auto" w:fill="FFFFFF"/>
              </w:rPr>
            </w:pPr>
            <w:r w:rsidRPr="005B7627">
              <w:rPr>
                <w:color w:val="000000"/>
                <w:shd w:val="clear" w:color="auto" w:fill="FFFFFF"/>
              </w:rPr>
              <w:lastRenderedPageBreak/>
              <w:t>2.   Nustatydama nacionalinius elektros energijos sektoriaus krizės scenarijus, kompetentinga institucija konsultuojasi su perdavimo sistemos operatoriais, skirstymo sistemos operatoriais, kuriuos kompetentinga institucija laiko svarbiais, atitinkamais gamintojais arba jų prekybos organizacijomis ir reguliavimo institucija, jeigu ji nėra kompetentinga institucija.</w:t>
            </w:r>
          </w:p>
          <w:p w14:paraId="54BC0AA4" w14:textId="77777777" w:rsidR="002A6BE2" w:rsidRDefault="002A6BE2" w:rsidP="00357429">
            <w:pPr>
              <w:jc w:val="both"/>
              <w:rPr>
                <w:color w:val="000000"/>
                <w:shd w:val="clear" w:color="auto" w:fill="FFFFFF"/>
              </w:rPr>
            </w:pPr>
            <w:r w:rsidRPr="005B7627">
              <w:rPr>
                <w:color w:val="000000"/>
                <w:shd w:val="clear" w:color="auto" w:fill="FFFFFF"/>
              </w:rPr>
              <w:t>3.   Nacionaliniai elektros energijos sektoriaus krizės scenarijai nustatomi remiantis bent 5 straipsnio 2 dalyje nurodyta rizika ir turi būti suderinti su regioniniais elektros energijos sektoriaus krizės scenarijais, nustatytais pagal 6 straipsnio 1 dalį. Valstybės narės nacionalinius elektros energijos sektoriaus krizės scenarijus atnaujina kas ketverius metus, nebent dėl tam tikrų aplinkybių juos reikėtų atnaujinti dažniau.</w:t>
            </w:r>
          </w:p>
          <w:p w14:paraId="4CF113FD" w14:textId="6CEDD484" w:rsidR="002A6BE2" w:rsidRPr="005B7627" w:rsidRDefault="002A6BE2" w:rsidP="00357429">
            <w:pPr>
              <w:jc w:val="both"/>
              <w:rPr>
                <w:color w:val="000000"/>
                <w:shd w:val="clear" w:color="auto" w:fill="FFFFFF"/>
              </w:rPr>
            </w:pPr>
            <w:r>
              <w:rPr>
                <w:color w:val="000000"/>
                <w:shd w:val="clear" w:color="auto" w:fill="FFFFFF"/>
              </w:rPr>
              <w:t>(...)</w:t>
            </w:r>
            <w:r w:rsidR="00BD37BD">
              <w:rPr>
                <w:color w:val="000000"/>
                <w:shd w:val="clear" w:color="auto" w:fill="FFFFFF"/>
              </w:rPr>
              <w:t>“</w:t>
            </w:r>
          </w:p>
        </w:tc>
        <w:tc>
          <w:tcPr>
            <w:tcW w:w="6811" w:type="dxa"/>
          </w:tcPr>
          <w:p w14:paraId="5798A5A7" w14:textId="77777777" w:rsidR="002A6BE2" w:rsidRPr="009D274B" w:rsidRDefault="002A6BE2" w:rsidP="00357429">
            <w:pPr>
              <w:suppressAutoHyphens/>
              <w:autoSpaceDE w:val="0"/>
              <w:autoSpaceDN w:val="0"/>
              <w:adjustRightInd w:val="0"/>
              <w:jc w:val="both"/>
              <w:textAlignment w:val="center"/>
              <w:rPr>
                <w:b/>
                <w:bCs/>
                <w:color w:val="000000"/>
              </w:rPr>
            </w:pPr>
            <w:r w:rsidRPr="009D274B">
              <w:rPr>
                <w:b/>
                <w:bCs/>
                <w:color w:val="000000"/>
              </w:rPr>
              <w:lastRenderedPageBreak/>
              <w:t>5 straipsnis. Vienuoliktojo skirsnio papildymas 73</w:t>
            </w:r>
            <w:r w:rsidRPr="009D274B">
              <w:rPr>
                <w:b/>
                <w:bCs/>
                <w:color w:val="000000"/>
                <w:vertAlign w:val="superscript"/>
              </w:rPr>
              <w:t xml:space="preserve">1 </w:t>
            </w:r>
            <w:r w:rsidRPr="009D274B">
              <w:rPr>
                <w:b/>
                <w:bCs/>
                <w:color w:val="000000"/>
              </w:rPr>
              <w:t>straipsniu</w:t>
            </w:r>
          </w:p>
          <w:p w14:paraId="1617E238" w14:textId="77777777" w:rsidR="002A6BE2" w:rsidRPr="009D274B" w:rsidRDefault="002A6BE2" w:rsidP="00357429">
            <w:pPr>
              <w:suppressAutoHyphens/>
              <w:autoSpaceDE w:val="0"/>
              <w:autoSpaceDN w:val="0"/>
              <w:adjustRightInd w:val="0"/>
              <w:jc w:val="both"/>
              <w:textAlignment w:val="center"/>
              <w:rPr>
                <w:b/>
                <w:bCs/>
                <w:color w:val="000000"/>
              </w:rPr>
            </w:pPr>
            <w:r w:rsidRPr="009D274B">
              <w:rPr>
                <w:bCs/>
                <w:color w:val="000000"/>
              </w:rPr>
              <w:t>Papildyti vienuoliktąjį skirsnį 73</w:t>
            </w:r>
            <w:r w:rsidRPr="009D274B">
              <w:rPr>
                <w:bCs/>
                <w:color w:val="000000"/>
                <w:vertAlign w:val="superscript"/>
              </w:rPr>
              <w:t>1</w:t>
            </w:r>
            <w:r w:rsidRPr="009D274B">
              <w:rPr>
                <w:b/>
                <w:bCs/>
                <w:color w:val="000000"/>
                <w:vertAlign w:val="superscript"/>
              </w:rPr>
              <w:t xml:space="preserve"> </w:t>
            </w:r>
            <w:r w:rsidRPr="009D274B">
              <w:rPr>
                <w:bCs/>
                <w:color w:val="000000"/>
                <w:vertAlign w:val="superscript"/>
              </w:rPr>
              <w:t xml:space="preserve"> </w:t>
            </w:r>
            <w:r w:rsidRPr="009D274B">
              <w:rPr>
                <w:bCs/>
                <w:color w:val="000000"/>
              </w:rPr>
              <w:t>straipsniu:</w:t>
            </w:r>
          </w:p>
          <w:p w14:paraId="2D4E3D0F" w14:textId="77777777" w:rsidR="002A6BE2" w:rsidRDefault="002A6BE2" w:rsidP="00357429">
            <w:pPr>
              <w:suppressAutoHyphens/>
              <w:autoSpaceDE w:val="0"/>
              <w:autoSpaceDN w:val="0"/>
              <w:adjustRightInd w:val="0"/>
              <w:jc w:val="both"/>
              <w:textAlignment w:val="center"/>
              <w:rPr>
                <w:b/>
                <w:bCs/>
                <w:color w:val="000000"/>
              </w:rPr>
            </w:pPr>
            <w:r w:rsidRPr="009D274B">
              <w:rPr>
                <w:bCs/>
                <w:color w:val="000000"/>
              </w:rPr>
              <w:t>„</w:t>
            </w:r>
            <w:r w:rsidRPr="009D274B">
              <w:rPr>
                <w:b/>
                <w:bCs/>
                <w:color w:val="000000"/>
              </w:rPr>
              <w:t>73</w:t>
            </w:r>
            <w:r w:rsidRPr="009D274B">
              <w:rPr>
                <w:b/>
                <w:bCs/>
                <w:color w:val="000000"/>
                <w:vertAlign w:val="superscript"/>
              </w:rPr>
              <w:t xml:space="preserve">1 </w:t>
            </w:r>
            <w:r w:rsidRPr="009D274B">
              <w:rPr>
                <w:b/>
                <w:bCs/>
                <w:color w:val="000000"/>
              </w:rPr>
              <w:t>straipsnis. Elektros energijos tiekimo saugumo užtikrinimas</w:t>
            </w:r>
          </w:p>
          <w:p w14:paraId="2D894390" w14:textId="7863E6EE" w:rsidR="002A6BE2" w:rsidRPr="00243EC8" w:rsidRDefault="002A6BE2" w:rsidP="00357429">
            <w:pPr>
              <w:contextualSpacing/>
              <w:jc w:val="both"/>
              <w:rPr>
                <w:rFonts w:eastAsia="Calibri"/>
                <w:lang w:eastAsia="en-US"/>
              </w:rPr>
            </w:pPr>
            <w:r w:rsidRPr="00243EC8">
              <w:rPr>
                <w:rFonts w:eastAsia="Calibri"/>
                <w:lang w:eastAsia="en-US"/>
              </w:rPr>
              <w:t xml:space="preserve">1. Už elektros energijos tiekimo saugumo užtikrinimą pagal savo kompetenciją atsako elektros energetikos įmonės, </w:t>
            </w:r>
            <w:bookmarkStart w:id="0" w:name="_Hlk34983700"/>
            <w:r w:rsidR="0032337F">
              <w:rPr>
                <w:rFonts w:eastAsia="Calibri"/>
                <w:lang w:eastAsia="en-US"/>
              </w:rPr>
              <w:t>vartotojai</w:t>
            </w:r>
            <w:r w:rsidR="005C3061">
              <w:rPr>
                <w:rFonts w:eastAsia="Calibri"/>
              </w:rPr>
              <w:t>, ku</w:t>
            </w:r>
            <w:r w:rsidR="005C3061" w:rsidRPr="00E305C5">
              <w:rPr>
                <w:rFonts w:eastAsia="Calibri"/>
              </w:rPr>
              <w:t>ri</w:t>
            </w:r>
            <w:r w:rsidR="005C3061">
              <w:rPr>
                <w:rFonts w:eastAsia="Calibri"/>
              </w:rPr>
              <w:t>ų įrenginiai yra prijungti prie perdavimo tinklų</w:t>
            </w:r>
            <w:bookmarkEnd w:id="0"/>
            <w:r w:rsidRPr="00243EC8">
              <w:rPr>
                <w:rFonts w:eastAsia="Calibri"/>
                <w:lang w:eastAsia="en-US"/>
              </w:rPr>
              <w:t xml:space="preserve">, Vyriausybė, Energetikos ministerija, Taryba, viešoji įstaiga Lietuvos energetikos </w:t>
            </w:r>
            <w:r w:rsidRPr="00243EC8">
              <w:rPr>
                <w:rFonts w:eastAsia="Calibri"/>
                <w:lang w:eastAsia="en-US"/>
              </w:rPr>
              <w:lastRenderedPageBreak/>
              <w:t xml:space="preserve">agentūra (toliau – Agentūra). Siekdami energijos tiekimo saugumo užtikrinimo, nurodyti dalyviai tarpusavyje bendradarbiauja </w:t>
            </w:r>
            <w:r w:rsidR="007820B2">
              <w:rPr>
                <w:rFonts w:eastAsia="Calibri"/>
                <w:lang w:eastAsia="en-US"/>
              </w:rPr>
              <w:t>identifikuojant</w:t>
            </w:r>
            <w:r w:rsidRPr="00243EC8">
              <w:rPr>
                <w:rFonts w:eastAsia="Calibri"/>
                <w:lang w:eastAsia="en-US"/>
              </w:rPr>
              <w:t xml:space="preserve"> nacionalinius elektros energetikos sektoriaus krizės scenarijus, rengiant Pasirengimo valdyti riziką elektros energetikos sektoriuje planą ir įgyvendinant kitas elektros energijos tiekimo saugumą užtikrinančias priemones</w:t>
            </w:r>
            <w:r w:rsidR="000A50FF" w:rsidRPr="007812E1">
              <w:rPr>
                <w:rFonts w:eastAsia="Calibri"/>
              </w:rPr>
              <w:t xml:space="preserve">, vadovaudamiesi </w:t>
            </w:r>
            <w:r w:rsidR="000A50FF">
              <w:rPr>
                <w:rFonts w:eastAsia="Calibri"/>
              </w:rPr>
              <w:t>Vyriausybės tvirtinamo elektros energijos tiekimo saugumo užtikrinimo priemonių aprašo nuostatomis</w:t>
            </w:r>
            <w:r w:rsidRPr="00243EC8">
              <w:rPr>
                <w:rFonts w:eastAsia="Calibri"/>
                <w:lang w:eastAsia="en-US"/>
              </w:rPr>
              <w:t>.</w:t>
            </w:r>
          </w:p>
          <w:p w14:paraId="05F1C05C" w14:textId="77777777" w:rsidR="002A6BE2" w:rsidRDefault="002A6BE2" w:rsidP="00357429">
            <w:pPr>
              <w:jc w:val="both"/>
              <w:rPr>
                <w:rFonts w:eastAsia="Calibri"/>
              </w:rPr>
            </w:pPr>
            <w:r>
              <w:rPr>
                <w:rFonts w:eastAsia="Calibri"/>
              </w:rPr>
              <w:t>(...)</w:t>
            </w:r>
          </w:p>
          <w:p w14:paraId="266D431E" w14:textId="156AB1B0" w:rsidR="002A6BE2" w:rsidRDefault="002A6BE2" w:rsidP="00357429">
            <w:pPr>
              <w:jc w:val="both"/>
              <w:rPr>
                <w:rFonts w:eastAsia="Calibri"/>
              </w:rPr>
            </w:pPr>
            <w:r>
              <w:rPr>
                <w:rFonts w:eastAsia="Calibri"/>
              </w:rPr>
              <w:t>5. Nacionalinius e</w:t>
            </w:r>
            <w:r w:rsidRPr="00061684">
              <w:rPr>
                <w:rFonts w:eastAsia="Calibri"/>
              </w:rPr>
              <w:t>lektros energ</w:t>
            </w:r>
            <w:r>
              <w:rPr>
                <w:rFonts w:eastAsia="Calibri"/>
              </w:rPr>
              <w:t>etik</w:t>
            </w:r>
            <w:r w:rsidRPr="00061684">
              <w:rPr>
                <w:rFonts w:eastAsia="Calibri"/>
              </w:rPr>
              <w:t xml:space="preserve">os sektoriaus krizės scenarijus </w:t>
            </w:r>
            <w:r w:rsidR="006451C6">
              <w:rPr>
                <w:rFonts w:eastAsia="Calibri"/>
              </w:rPr>
              <w:t>identifikuoja</w:t>
            </w:r>
            <w:r>
              <w:rPr>
                <w:rFonts w:eastAsia="Calibri"/>
              </w:rPr>
              <w:t xml:space="preserve"> </w:t>
            </w:r>
            <w:r w:rsidRPr="00061684">
              <w:rPr>
                <w:rFonts w:eastAsia="Calibri"/>
              </w:rPr>
              <w:t xml:space="preserve">ir </w:t>
            </w:r>
            <w:r>
              <w:rPr>
                <w:rFonts w:eastAsia="Calibri"/>
              </w:rPr>
              <w:t>P</w:t>
            </w:r>
            <w:r w:rsidRPr="00061684">
              <w:rPr>
                <w:rFonts w:eastAsia="Calibri"/>
              </w:rPr>
              <w:t>asirengimo valdyti riziką elektros energetikos sektoriuje planą rengia ir kompetentingai institucijai tvirtinti teikia Agentūra.</w:t>
            </w:r>
          </w:p>
          <w:p w14:paraId="48B4AA7E" w14:textId="3ADD0CC6" w:rsidR="002A6BE2" w:rsidRPr="009D274B" w:rsidRDefault="002A6BE2" w:rsidP="00357429">
            <w:pPr>
              <w:suppressAutoHyphens/>
              <w:autoSpaceDE w:val="0"/>
              <w:autoSpaceDN w:val="0"/>
              <w:adjustRightInd w:val="0"/>
              <w:jc w:val="both"/>
              <w:textAlignment w:val="center"/>
              <w:rPr>
                <w:b/>
                <w:bCs/>
                <w:color w:val="000000"/>
              </w:rPr>
            </w:pPr>
            <w:r>
              <w:rPr>
                <w:rFonts w:eastAsia="Calibri"/>
              </w:rPr>
              <w:t>6. Nacionaliniai elektros energetikos sektoriaus krizės scenarijai ir Pasirengimo valdyti riziką elektros energetikos sektoriuje planas atnaujinami kas ketverius metus, nebent dėl svarbių priežasčių</w:t>
            </w:r>
            <w:r w:rsidR="002454C8" w:rsidRPr="00A42B13">
              <w:rPr>
                <w:rFonts w:eastAsia="Calibri"/>
              </w:rPr>
              <w:t>, inicijavus Energetikos ministerijai, Tarybai ar perdavimo sistemos operatoriui,</w:t>
            </w:r>
            <w:r w:rsidR="002454C8">
              <w:rPr>
                <w:rFonts w:eastAsia="Calibri"/>
              </w:rPr>
              <w:t xml:space="preserve"> </w:t>
            </w:r>
            <w:r>
              <w:rPr>
                <w:rFonts w:eastAsia="Calibri"/>
              </w:rPr>
              <w:t xml:space="preserve"> juos reikėtų atnaujinti dažniau.“</w:t>
            </w:r>
          </w:p>
        </w:tc>
        <w:tc>
          <w:tcPr>
            <w:tcW w:w="1800" w:type="dxa"/>
          </w:tcPr>
          <w:p w14:paraId="55FD8062" w14:textId="77777777" w:rsidR="002A6BE2" w:rsidRDefault="002A6BE2" w:rsidP="00357429">
            <w:pPr>
              <w:rPr>
                <w:b/>
                <w:bCs/>
              </w:rPr>
            </w:pPr>
            <w:r>
              <w:rPr>
                <w:b/>
                <w:bCs/>
              </w:rPr>
              <w:lastRenderedPageBreak/>
              <w:t>Dalinis</w:t>
            </w:r>
          </w:p>
          <w:p w14:paraId="79331CEB" w14:textId="1C571480" w:rsidR="002A6BE2" w:rsidRPr="005D2C4C" w:rsidRDefault="002A6BE2" w:rsidP="00357429">
            <w:r>
              <w:t xml:space="preserve">Nacionalinių elektros energetikos sektoriaus krizės scenarijų </w:t>
            </w:r>
            <w:r w:rsidR="00B40376">
              <w:t>identifikavimo</w:t>
            </w:r>
            <w:bookmarkStart w:id="1" w:name="_GoBack"/>
            <w:bookmarkEnd w:id="1"/>
            <w:r>
              <w:t xml:space="preserve"> </w:t>
            </w:r>
            <w:r>
              <w:lastRenderedPageBreak/>
              <w:t xml:space="preserve">terminas, tvarka ir reikalavimai jiems bus įtvirtinti Vyriausybės tvirtinamame </w:t>
            </w:r>
            <w:r w:rsidR="00B03C5D">
              <w:t>e</w:t>
            </w:r>
            <w:r>
              <w:t>lektros energijos tiekimo saugumo užtikrinimo priemonių apraše.</w:t>
            </w:r>
          </w:p>
        </w:tc>
      </w:tr>
      <w:tr w:rsidR="0077486A" w:rsidRPr="00E921FC" w14:paraId="56343EB5" w14:textId="77777777" w:rsidTr="00960674">
        <w:trPr>
          <w:trHeight w:val="70"/>
        </w:trPr>
        <w:tc>
          <w:tcPr>
            <w:tcW w:w="6237" w:type="dxa"/>
          </w:tcPr>
          <w:p w14:paraId="7901EBC1" w14:textId="6A255041" w:rsidR="0077486A" w:rsidRDefault="0077486A" w:rsidP="0077486A">
            <w:pPr>
              <w:jc w:val="both"/>
              <w:rPr>
                <w:b/>
                <w:bCs/>
                <w:color w:val="000000"/>
                <w:shd w:val="clear" w:color="auto" w:fill="FFFFFF"/>
              </w:rPr>
            </w:pPr>
            <w:r>
              <w:rPr>
                <w:b/>
                <w:bCs/>
                <w:color w:val="000000"/>
                <w:shd w:val="clear" w:color="auto" w:fill="FFFFFF"/>
              </w:rPr>
              <w:lastRenderedPageBreak/>
              <w:t>10 straipsnis. Pasirengimo valdyti riziką planų rengimas</w:t>
            </w:r>
          </w:p>
          <w:p w14:paraId="0A2C1911" w14:textId="273ADF1D" w:rsidR="0077486A" w:rsidRDefault="00C37895" w:rsidP="0077486A">
            <w:pPr>
              <w:jc w:val="both"/>
              <w:rPr>
                <w:color w:val="000000"/>
                <w:shd w:val="clear" w:color="auto" w:fill="FFFFFF"/>
              </w:rPr>
            </w:pPr>
            <w:r>
              <w:rPr>
                <w:color w:val="000000"/>
                <w:shd w:val="clear" w:color="auto" w:fill="FFFFFF"/>
              </w:rPr>
              <w:t>„</w:t>
            </w:r>
            <w:r w:rsidR="0077486A">
              <w:rPr>
                <w:color w:val="000000"/>
                <w:shd w:val="clear" w:color="auto" w:fill="FFFFFF"/>
              </w:rPr>
              <w:t>1.   Remdamasi pagal 6 ir 7 straipsnius nustatytais regioniniais ir nacionaliniais elektros energijos sektoriaus krizės scenarijais, kiekvienos valstybės narės kompetentinga institucija, pasikonsultavusi su skirstymo sistemos operatoriais, kuriuos kompetentinga institucija laiko svarbiais, perdavimo sistemos operatoriais, atitinkamais gamintojais arba jų prekybos organizacijomis, elektros energijos ir gamtinių dujų įmonėmis, atitinkamomis pramoninių ir nepramoninių elektros energijos vartotojų interesams atstovaujančiomis organizacijomis ir reguliavimo institucija, jeigu ji nėra kompetentinga institucija, parengia pasirengimo valdyti riziką planą.</w:t>
            </w:r>
          </w:p>
          <w:p w14:paraId="2514D84F" w14:textId="3CA4270A" w:rsidR="0077486A" w:rsidRDefault="0077486A" w:rsidP="0077486A">
            <w:pPr>
              <w:jc w:val="both"/>
              <w:rPr>
                <w:color w:val="000000"/>
                <w:shd w:val="clear" w:color="auto" w:fill="FFFFFF"/>
              </w:rPr>
            </w:pPr>
            <w:r>
              <w:rPr>
                <w:color w:val="000000"/>
                <w:shd w:val="clear" w:color="auto" w:fill="FFFFFF"/>
              </w:rPr>
              <w:t>(...)</w:t>
            </w:r>
          </w:p>
          <w:p w14:paraId="2BD70957" w14:textId="0B52FFCD" w:rsidR="0077486A" w:rsidRDefault="0077486A" w:rsidP="0077486A">
            <w:pPr>
              <w:jc w:val="both"/>
              <w:rPr>
                <w:color w:val="000000"/>
                <w:shd w:val="clear" w:color="auto" w:fill="FFFFFF"/>
              </w:rPr>
            </w:pPr>
            <w:r>
              <w:rPr>
                <w:color w:val="000000"/>
                <w:shd w:val="clear" w:color="auto" w:fill="FFFFFF"/>
              </w:rPr>
              <w:t xml:space="preserve">7.   Kompetentingos institucijos ir Komisija pasirengimo valdyti riziką planus paskelbia savo interneto svetainėse, </w:t>
            </w:r>
            <w:r>
              <w:rPr>
                <w:color w:val="000000"/>
                <w:shd w:val="clear" w:color="auto" w:fill="FFFFFF"/>
              </w:rPr>
              <w:lastRenderedPageBreak/>
              <w:t>užtikrindamos, kad būtų išlaikytas neskelbtinos informacijos konfidencialumas, ypač informacijos apie priemones, susijusias su piktavališkų išpuolių prevencija ir jų padarinių švelninimu. Neskelbtinos informacijos konfidencialumo apsauga yra grindžiama principais, nustatytais pagal 19 straipsnį.</w:t>
            </w:r>
          </w:p>
          <w:p w14:paraId="01E11CD4" w14:textId="15255C55" w:rsidR="0077486A" w:rsidRPr="00E921FC" w:rsidRDefault="0077486A" w:rsidP="0077486A">
            <w:pPr>
              <w:jc w:val="both"/>
            </w:pPr>
            <w:r w:rsidRPr="00A37EB7">
              <w:rPr>
                <w:color w:val="000000"/>
                <w:shd w:val="clear" w:color="auto" w:fill="FFFFFF"/>
              </w:rPr>
              <w:t>8.</w:t>
            </w:r>
            <w:r>
              <w:rPr>
                <w:b/>
                <w:bCs/>
                <w:color w:val="000000"/>
                <w:shd w:val="clear" w:color="auto" w:fill="FFFFFF"/>
              </w:rPr>
              <w:t xml:space="preserve"> </w:t>
            </w:r>
            <w:r>
              <w:rPr>
                <w:color w:val="000000"/>
                <w:shd w:val="clear" w:color="auto" w:fill="FFFFFF"/>
              </w:rPr>
              <w:t>Pirmuosius pasirengimo valdyti riziką planus kompetentingos institucijos patvirtina ir paskelbia ne vėliau kaip 2022 m. sausio 5 d. Jos planus vėliau atnaujina kas ketverius metus, nebent dėl tam tikrų aplinkybių juos reikėtų atnaujinti dažniau.</w:t>
            </w:r>
            <w:r w:rsidR="00C37895">
              <w:rPr>
                <w:color w:val="000000"/>
                <w:shd w:val="clear" w:color="auto" w:fill="FFFFFF"/>
              </w:rPr>
              <w:t>“</w:t>
            </w:r>
          </w:p>
        </w:tc>
        <w:tc>
          <w:tcPr>
            <w:tcW w:w="6811" w:type="dxa"/>
          </w:tcPr>
          <w:p w14:paraId="59552958" w14:textId="1E5B4E26" w:rsidR="0077486A" w:rsidRPr="00813D3A" w:rsidRDefault="0077486A" w:rsidP="0077486A">
            <w:pPr>
              <w:jc w:val="both"/>
              <w:rPr>
                <w:rFonts w:eastAsia="Calibri"/>
                <w:lang w:eastAsia="en-US"/>
              </w:rPr>
            </w:pPr>
            <w:r w:rsidRPr="00813D3A">
              <w:rPr>
                <w:rFonts w:eastAsia="Calibri"/>
                <w:b/>
                <w:bCs/>
                <w:lang w:eastAsia="en-US"/>
              </w:rPr>
              <w:lastRenderedPageBreak/>
              <w:t>3 straipsnis. 7 straipsnio pakeitimas</w:t>
            </w:r>
            <w:r w:rsidRPr="00813D3A">
              <w:rPr>
                <w:rFonts w:eastAsia="Calibri"/>
                <w:lang w:eastAsia="en-US"/>
              </w:rPr>
              <w:t xml:space="preserve"> </w:t>
            </w:r>
          </w:p>
          <w:p w14:paraId="331FFDDF" w14:textId="77777777" w:rsidR="0077486A" w:rsidRPr="00813D3A" w:rsidRDefault="0077486A" w:rsidP="0077486A">
            <w:pPr>
              <w:jc w:val="both"/>
              <w:rPr>
                <w:rFonts w:eastAsia="Calibri"/>
                <w:lang w:eastAsia="en-US"/>
              </w:rPr>
            </w:pPr>
            <w:r w:rsidRPr="00813D3A">
              <w:rPr>
                <w:rFonts w:eastAsia="Calibri"/>
                <w:lang w:eastAsia="en-US"/>
              </w:rPr>
              <w:t>1. Papildyti 7 straipsnį nauju 16 punktu:</w:t>
            </w:r>
          </w:p>
          <w:p w14:paraId="6D5B12E0" w14:textId="28A07CB5" w:rsidR="0077486A" w:rsidRPr="00813D3A" w:rsidRDefault="0077486A" w:rsidP="0077486A">
            <w:pPr>
              <w:jc w:val="both"/>
              <w:rPr>
                <w:rFonts w:eastAsia="Calibri"/>
                <w:lang w:eastAsia="en-US"/>
              </w:rPr>
            </w:pPr>
            <w:r>
              <w:rPr>
                <w:rFonts w:eastAsia="Calibri"/>
                <w:lang w:eastAsia="en-US"/>
              </w:rPr>
              <w:t>„</w:t>
            </w:r>
            <w:r w:rsidRPr="00813D3A">
              <w:rPr>
                <w:rFonts w:eastAsia="Calibri"/>
                <w:lang w:eastAsia="en-US"/>
              </w:rPr>
              <w:t>17) tvirtina Pasirengimo valdyti riziką elektros energetikos sektoriuje planą;</w:t>
            </w:r>
            <w:r>
              <w:rPr>
                <w:rFonts w:eastAsia="Calibri"/>
                <w:lang w:eastAsia="en-US"/>
              </w:rPr>
              <w:t>“.</w:t>
            </w:r>
          </w:p>
          <w:p w14:paraId="794EC31E" w14:textId="7B37A728" w:rsidR="0077486A" w:rsidRPr="009D274B" w:rsidRDefault="0077486A" w:rsidP="0077486A">
            <w:pPr>
              <w:suppressAutoHyphens/>
              <w:autoSpaceDE w:val="0"/>
              <w:autoSpaceDN w:val="0"/>
              <w:adjustRightInd w:val="0"/>
              <w:jc w:val="both"/>
              <w:textAlignment w:val="center"/>
              <w:rPr>
                <w:b/>
                <w:bCs/>
                <w:color w:val="000000"/>
              </w:rPr>
            </w:pPr>
            <w:r w:rsidRPr="009D274B">
              <w:rPr>
                <w:b/>
                <w:bCs/>
                <w:color w:val="000000"/>
              </w:rPr>
              <w:t>5 straipsnis. Vienuoliktojo skirsnio papildymas 73</w:t>
            </w:r>
            <w:r w:rsidRPr="009D274B">
              <w:rPr>
                <w:b/>
                <w:bCs/>
                <w:color w:val="000000"/>
                <w:vertAlign w:val="superscript"/>
              </w:rPr>
              <w:t xml:space="preserve">1 </w:t>
            </w:r>
            <w:r w:rsidRPr="009D274B">
              <w:rPr>
                <w:b/>
                <w:bCs/>
                <w:color w:val="000000"/>
              </w:rPr>
              <w:t>straipsniu</w:t>
            </w:r>
          </w:p>
          <w:p w14:paraId="5DA05E6B" w14:textId="77777777" w:rsidR="0077486A" w:rsidRPr="009D274B" w:rsidRDefault="0077486A" w:rsidP="0077486A">
            <w:pPr>
              <w:suppressAutoHyphens/>
              <w:autoSpaceDE w:val="0"/>
              <w:autoSpaceDN w:val="0"/>
              <w:adjustRightInd w:val="0"/>
              <w:jc w:val="both"/>
              <w:textAlignment w:val="center"/>
              <w:rPr>
                <w:b/>
                <w:bCs/>
                <w:color w:val="000000"/>
              </w:rPr>
            </w:pPr>
            <w:r w:rsidRPr="009D274B">
              <w:rPr>
                <w:bCs/>
                <w:color w:val="000000"/>
              </w:rPr>
              <w:t>Papildyti vienuoliktąjį skirsnį 73</w:t>
            </w:r>
            <w:r w:rsidRPr="009D274B">
              <w:rPr>
                <w:bCs/>
                <w:color w:val="000000"/>
                <w:vertAlign w:val="superscript"/>
              </w:rPr>
              <w:t>1</w:t>
            </w:r>
            <w:r w:rsidRPr="009D274B">
              <w:rPr>
                <w:b/>
                <w:bCs/>
                <w:color w:val="000000"/>
                <w:vertAlign w:val="superscript"/>
              </w:rPr>
              <w:t xml:space="preserve"> </w:t>
            </w:r>
            <w:r w:rsidRPr="009D274B">
              <w:rPr>
                <w:bCs/>
                <w:color w:val="000000"/>
                <w:vertAlign w:val="superscript"/>
              </w:rPr>
              <w:t xml:space="preserve"> </w:t>
            </w:r>
            <w:r w:rsidRPr="009D274B">
              <w:rPr>
                <w:bCs/>
                <w:color w:val="000000"/>
              </w:rPr>
              <w:t>straipsniu:</w:t>
            </w:r>
          </w:p>
          <w:p w14:paraId="6C5306E9" w14:textId="213AA831" w:rsidR="0077486A" w:rsidRDefault="0077486A" w:rsidP="0077486A">
            <w:pPr>
              <w:suppressAutoHyphens/>
              <w:autoSpaceDE w:val="0"/>
              <w:autoSpaceDN w:val="0"/>
              <w:adjustRightInd w:val="0"/>
              <w:jc w:val="both"/>
              <w:textAlignment w:val="center"/>
              <w:rPr>
                <w:b/>
                <w:bCs/>
                <w:color w:val="000000"/>
              </w:rPr>
            </w:pPr>
            <w:r w:rsidRPr="009D274B">
              <w:rPr>
                <w:bCs/>
                <w:color w:val="000000"/>
              </w:rPr>
              <w:t>„</w:t>
            </w:r>
            <w:r w:rsidRPr="009D274B">
              <w:rPr>
                <w:b/>
                <w:bCs/>
                <w:color w:val="000000"/>
              </w:rPr>
              <w:t>73</w:t>
            </w:r>
            <w:r w:rsidRPr="009D274B">
              <w:rPr>
                <w:b/>
                <w:bCs/>
                <w:color w:val="000000"/>
                <w:vertAlign w:val="superscript"/>
              </w:rPr>
              <w:t xml:space="preserve">1 </w:t>
            </w:r>
            <w:r w:rsidRPr="009D274B">
              <w:rPr>
                <w:b/>
                <w:bCs/>
                <w:color w:val="000000"/>
              </w:rPr>
              <w:t>straipsnis. Elektros energijos tiekimo saugumo užtikrinimas</w:t>
            </w:r>
          </w:p>
          <w:p w14:paraId="50380020" w14:textId="36B7C401" w:rsidR="0077486A" w:rsidRPr="00243EC8" w:rsidRDefault="0077486A" w:rsidP="0077486A">
            <w:pPr>
              <w:contextualSpacing/>
              <w:jc w:val="both"/>
              <w:rPr>
                <w:rFonts w:eastAsia="Calibri"/>
                <w:lang w:eastAsia="en-US"/>
              </w:rPr>
            </w:pPr>
            <w:r w:rsidRPr="00243EC8">
              <w:rPr>
                <w:rFonts w:eastAsia="Calibri"/>
                <w:lang w:eastAsia="en-US"/>
              </w:rPr>
              <w:t xml:space="preserve">1. </w:t>
            </w:r>
            <w:r w:rsidR="004C7107" w:rsidRPr="00243EC8">
              <w:rPr>
                <w:rFonts w:eastAsia="Calibri"/>
                <w:lang w:eastAsia="en-US"/>
              </w:rPr>
              <w:t xml:space="preserve">Už elektros energijos tiekimo saugumo užtikrinimą pagal savo kompetenciją atsako elektros energetikos įmonės, </w:t>
            </w:r>
            <w:r w:rsidR="004C7107">
              <w:rPr>
                <w:rFonts w:eastAsia="Calibri"/>
                <w:lang w:eastAsia="en-US"/>
              </w:rPr>
              <w:t>vartotojai</w:t>
            </w:r>
            <w:r w:rsidR="004C7107">
              <w:rPr>
                <w:rFonts w:eastAsia="Calibri"/>
              </w:rPr>
              <w:t>, ku</w:t>
            </w:r>
            <w:r w:rsidR="004C7107" w:rsidRPr="00E305C5">
              <w:rPr>
                <w:rFonts w:eastAsia="Calibri"/>
              </w:rPr>
              <w:t>ri</w:t>
            </w:r>
            <w:r w:rsidR="004C7107">
              <w:rPr>
                <w:rFonts w:eastAsia="Calibri"/>
              </w:rPr>
              <w:t>ų įrenginiai yra prijungti prie perdavimo tinklų</w:t>
            </w:r>
            <w:r w:rsidR="004C7107" w:rsidRPr="00243EC8">
              <w:rPr>
                <w:rFonts w:eastAsia="Calibri"/>
                <w:lang w:eastAsia="en-US"/>
              </w:rPr>
              <w:t xml:space="preserve">, Vyriausybė, Energetikos ministerija, Taryba, viešoji įstaiga Lietuvos energetikos agentūra (toliau – Agentūra). Siekdami energijos tiekimo saugumo užtikrinimo, nurodyti dalyviai tarpusavyje bendradarbiauja </w:t>
            </w:r>
            <w:r w:rsidR="004C7107">
              <w:rPr>
                <w:rFonts w:eastAsia="Calibri"/>
                <w:lang w:eastAsia="en-US"/>
              </w:rPr>
              <w:t>identifikuojant</w:t>
            </w:r>
            <w:r w:rsidR="004C7107" w:rsidRPr="00243EC8">
              <w:rPr>
                <w:rFonts w:eastAsia="Calibri"/>
                <w:lang w:eastAsia="en-US"/>
              </w:rPr>
              <w:t xml:space="preserve"> nacionalinius elektros energetikos sektoriaus krizės scenarijus, rengiant Pasirengimo valdyti riziką elektros energetikos sektoriuje planą ir įgyvendinant kitas elektros energijos tiekimo </w:t>
            </w:r>
            <w:r w:rsidR="004C7107" w:rsidRPr="00243EC8">
              <w:rPr>
                <w:rFonts w:eastAsia="Calibri"/>
                <w:lang w:eastAsia="en-US"/>
              </w:rPr>
              <w:lastRenderedPageBreak/>
              <w:t>saugumą užtikrinančias priemones</w:t>
            </w:r>
            <w:r w:rsidR="004C7107" w:rsidRPr="007812E1">
              <w:rPr>
                <w:rFonts w:eastAsia="Calibri"/>
              </w:rPr>
              <w:t xml:space="preserve">, vadovaudamiesi </w:t>
            </w:r>
            <w:r w:rsidR="004C7107">
              <w:rPr>
                <w:rFonts w:eastAsia="Calibri"/>
              </w:rPr>
              <w:t>Vyriausybės tvirtinamo elektros energijos tiekimo saugumo užtikrinimo priemonių aprašo nuostatomis</w:t>
            </w:r>
            <w:r w:rsidRPr="00243EC8">
              <w:rPr>
                <w:rFonts w:eastAsia="Calibri"/>
                <w:lang w:eastAsia="en-US"/>
              </w:rPr>
              <w:t>.</w:t>
            </w:r>
          </w:p>
          <w:p w14:paraId="3B487278" w14:textId="762FEFB1" w:rsidR="0077486A" w:rsidRDefault="0077486A" w:rsidP="0077486A">
            <w:pPr>
              <w:contextualSpacing/>
              <w:jc w:val="both"/>
              <w:rPr>
                <w:color w:val="000000"/>
              </w:rPr>
            </w:pPr>
            <w:r>
              <w:rPr>
                <w:color w:val="000000"/>
              </w:rPr>
              <w:t>(...)</w:t>
            </w:r>
          </w:p>
          <w:p w14:paraId="533BFEF8" w14:textId="500DC4EC" w:rsidR="0077486A" w:rsidRDefault="0077486A" w:rsidP="0077486A">
            <w:pPr>
              <w:contextualSpacing/>
              <w:jc w:val="both"/>
              <w:rPr>
                <w:rFonts w:eastAsia="Calibri"/>
                <w:lang w:eastAsia="en-US"/>
              </w:rPr>
            </w:pPr>
            <w:r w:rsidRPr="00BB75D9">
              <w:rPr>
                <w:rFonts w:eastAsia="Calibri"/>
                <w:lang w:eastAsia="en-US"/>
              </w:rPr>
              <w:t>4. Energetikos ministerija, vykdydama užduotis, susijusias su elektros energijos tiekimo saugumo įgyvendinimu, tvirtina ir savo interneto svetainėje skelbia Pasirengimo valdyti riziką elektros energetikos sektoriuje planą</w:t>
            </w:r>
            <w:r>
              <w:rPr>
                <w:rFonts w:eastAsia="Calibri"/>
                <w:lang w:eastAsia="en-US"/>
              </w:rPr>
              <w:t xml:space="preserve"> (...)</w:t>
            </w:r>
            <w:r w:rsidRPr="00BB75D9">
              <w:rPr>
                <w:rFonts w:eastAsia="Calibri"/>
                <w:lang w:eastAsia="en-US"/>
              </w:rPr>
              <w:t xml:space="preserve">.  </w:t>
            </w:r>
          </w:p>
          <w:p w14:paraId="2E4C8AB8" w14:textId="52DC7E9A" w:rsidR="0042751A" w:rsidRDefault="0042751A" w:rsidP="0042751A">
            <w:pPr>
              <w:jc w:val="both"/>
              <w:rPr>
                <w:rFonts w:eastAsia="Calibri"/>
              </w:rPr>
            </w:pPr>
            <w:r>
              <w:rPr>
                <w:rFonts w:eastAsia="Calibri"/>
              </w:rPr>
              <w:t>5. Nacionalinius e</w:t>
            </w:r>
            <w:r w:rsidRPr="00061684">
              <w:rPr>
                <w:rFonts w:eastAsia="Calibri"/>
              </w:rPr>
              <w:t>lektros energ</w:t>
            </w:r>
            <w:r>
              <w:rPr>
                <w:rFonts w:eastAsia="Calibri"/>
              </w:rPr>
              <w:t>etik</w:t>
            </w:r>
            <w:r w:rsidRPr="00061684">
              <w:rPr>
                <w:rFonts w:eastAsia="Calibri"/>
              </w:rPr>
              <w:t xml:space="preserve">os sektoriaus krizės scenarijus </w:t>
            </w:r>
            <w:r w:rsidR="00087C29">
              <w:rPr>
                <w:rFonts w:eastAsia="Calibri"/>
              </w:rPr>
              <w:t>identifikuoja</w:t>
            </w:r>
            <w:r>
              <w:rPr>
                <w:rFonts w:eastAsia="Calibri"/>
              </w:rPr>
              <w:t xml:space="preserve"> </w:t>
            </w:r>
            <w:r w:rsidRPr="00061684">
              <w:rPr>
                <w:rFonts w:eastAsia="Calibri"/>
              </w:rPr>
              <w:t xml:space="preserve">ir </w:t>
            </w:r>
            <w:r>
              <w:rPr>
                <w:rFonts w:eastAsia="Calibri"/>
              </w:rPr>
              <w:t>P</w:t>
            </w:r>
            <w:r w:rsidRPr="00061684">
              <w:rPr>
                <w:rFonts w:eastAsia="Calibri"/>
              </w:rPr>
              <w:t>asirengimo valdyti riziką elektros energetikos sektoriuje planą rengia ir kompetentingai institucijai tvirtinti teikia Agentūra.</w:t>
            </w:r>
          </w:p>
          <w:p w14:paraId="343052E6" w14:textId="3A0F5032" w:rsidR="0077486A" w:rsidRPr="003A6099" w:rsidRDefault="0077486A" w:rsidP="0077486A">
            <w:pPr>
              <w:contextualSpacing/>
              <w:jc w:val="both"/>
              <w:rPr>
                <w:rFonts w:eastAsia="Calibri"/>
                <w:lang w:eastAsia="en-US"/>
              </w:rPr>
            </w:pPr>
            <w:r>
              <w:rPr>
                <w:rFonts w:eastAsia="Calibri"/>
              </w:rPr>
              <w:t>6. Nacionaliniai elektros energetikos sektoriaus krizės scenarijai ir Pasirengimo valdyti riziką elektros energetikos sektoriuje planas atnaujinami kas ketverius metus, nebent dėl svarbių priežasčių</w:t>
            </w:r>
            <w:r w:rsidR="007C1C7C" w:rsidRPr="00A42B13">
              <w:rPr>
                <w:rFonts w:eastAsia="Calibri"/>
              </w:rPr>
              <w:t>, inicijavus Energetikos ministerijai, Tarybai ar perdavimo sistemos operatoriui,</w:t>
            </w:r>
            <w:r w:rsidR="007C1C7C">
              <w:rPr>
                <w:rFonts w:eastAsia="Calibri"/>
              </w:rPr>
              <w:t xml:space="preserve"> </w:t>
            </w:r>
            <w:r>
              <w:rPr>
                <w:rFonts w:eastAsia="Calibri"/>
              </w:rPr>
              <w:t xml:space="preserve"> juos reikėtų atnaujinti dažniau.“</w:t>
            </w:r>
          </w:p>
        </w:tc>
        <w:tc>
          <w:tcPr>
            <w:tcW w:w="1800" w:type="dxa"/>
          </w:tcPr>
          <w:p w14:paraId="0ABAA8E3" w14:textId="77777777" w:rsidR="0077486A" w:rsidRPr="001D55A4" w:rsidRDefault="0077486A" w:rsidP="0077486A">
            <w:pPr>
              <w:rPr>
                <w:b/>
                <w:bCs/>
              </w:rPr>
            </w:pPr>
            <w:r w:rsidRPr="001D55A4">
              <w:rPr>
                <w:b/>
                <w:bCs/>
              </w:rPr>
              <w:lastRenderedPageBreak/>
              <w:t>Dalinis</w:t>
            </w:r>
          </w:p>
          <w:p w14:paraId="3CE91E17" w14:textId="166DB20D" w:rsidR="0077486A" w:rsidRPr="00E921FC" w:rsidRDefault="0077486A" w:rsidP="0077486A">
            <w:r>
              <w:t xml:space="preserve">Pasirengimo valdyti riziką elektros energetikos sektoriuje plano patvirtinimo terminas ir jo paskelbimo tvarka bus nustatyti  Vyriausybės tvirtinamame </w:t>
            </w:r>
            <w:r w:rsidR="00B03C5D">
              <w:t>e</w:t>
            </w:r>
            <w:r>
              <w:t xml:space="preserve">lektros energijos tiekimo </w:t>
            </w:r>
            <w:r>
              <w:lastRenderedPageBreak/>
              <w:t>saugumo užtikrinimo priemonių apraše.</w:t>
            </w:r>
          </w:p>
        </w:tc>
      </w:tr>
    </w:tbl>
    <w:p w14:paraId="3BC31CD2" w14:textId="77777777" w:rsidR="006E4841" w:rsidRPr="00E921FC" w:rsidRDefault="001E0A17" w:rsidP="00735105">
      <w:pPr>
        <w:jc w:val="center"/>
      </w:pPr>
      <w:r w:rsidRPr="00E921FC">
        <w:t>_______________</w:t>
      </w:r>
    </w:p>
    <w:sectPr w:rsidR="006E4841" w:rsidRPr="00E921FC" w:rsidSect="00960674">
      <w:headerReference w:type="even" r:id="rId11"/>
      <w:footnotePr>
        <w:numFmt w:val="chicago"/>
      </w:footnotePr>
      <w:pgSz w:w="16838" w:h="11906" w:orient="landscape" w:code="9"/>
      <w:pgMar w:top="1135" w:right="567" w:bottom="1134" w:left="1134"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70E9E" w14:textId="77777777" w:rsidR="00742056" w:rsidRDefault="00742056">
      <w:r>
        <w:separator/>
      </w:r>
    </w:p>
  </w:endnote>
  <w:endnote w:type="continuationSeparator" w:id="0">
    <w:p w14:paraId="3E68149E" w14:textId="77777777" w:rsidR="00742056" w:rsidRDefault="0074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6CCD8" w14:textId="77777777" w:rsidR="00742056" w:rsidRDefault="00742056">
      <w:r>
        <w:separator/>
      </w:r>
    </w:p>
  </w:footnote>
  <w:footnote w:type="continuationSeparator" w:id="0">
    <w:p w14:paraId="1505C8E2" w14:textId="77777777" w:rsidR="00742056" w:rsidRDefault="00742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B34FF" w14:textId="77777777" w:rsidR="006050C1" w:rsidRDefault="006050C1" w:rsidP="0024578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BD12D3" w14:textId="77777777" w:rsidR="006050C1" w:rsidRDefault="006050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8584F"/>
    <w:multiLevelType w:val="hybridMultilevel"/>
    <w:tmpl w:val="964C6DC4"/>
    <w:lvl w:ilvl="0" w:tplc="643E1E94">
      <w:start w:val="1"/>
      <w:numFmt w:val="lowerLetter"/>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 w15:restartNumberingAfterBreak="0">
    <w:nsid w:val="19033248"/>
    <w:multiLevelType w:val="hybridMultilevel"/>
    <w:tmpl w:val="34DC6DD8"/>
    <w:lvl w:ilvl="0" w:tplc="315058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72860CD"/>
    <w:multiLevelType w:val="hybridMultilevel"/>
    <w:tmpl w:val="76C87BC0"/>
    <w:lvl w:ilvl="0" w:tplc="315058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340"/>
    <w:rsid w:val="000071DD"/>
    <w:rsid w:val="00013E1B"/>
    <w:rsid w:val="00014F37"/>
    <w:rsid w:val="00017708"/>
    <w:rsid w:val="0002034A"/>
    <w:rsid w:val="00020C76"/>
    <w:rsid w:val="000223AC"/>
    <w:rsid w:val="00025F9A"/>
    <w:rsid w:val="00030606"/>
    <w:rsid w:val="00031564"/>
    <w:rsid w:val="00037517"/>
    <w:rsid w:val="00040177"/>
    <w:rsid w:val="00054218"/>
    <w:rsid w:val="00057731"/>
    <w:rsid w:val="00061E0B"/>
    <w:rsid w:val="000632E4"/>
    <w:rsid w:val="000659BC"/>
    <w:rsid w:val="000674E0"/>
    <w:rsid w:val="00067D13"/>
    <w:rsid w:val="00087C29"/>
    <w:rsid w:val="00091BD0"/>
    <w:rsid w:val="0009691C"/>
    <w:rsid w:val="000A0A01"/>
    <w:rsid w:val="000A4237"/>
    <w:rsid w:val="000A4DF7"/>
    <w:rsid w:val="000A50FF"/>
    <w:rsid w:val="000B142A"/>
    <w:rsid w:val="000B2959"/>
    <w:rsid w:val="000B735B"/>
    <w:rsid w:val="000B7D14"/>
    <w:rsid w:val="000C42DC"/>
    <w:rsid w:val="000D02B0"/>
    <w:rsid w:val="000D0DE3"/>
    <w:rsid w:val="000D3BC0"/>
    <w:rsid w:val="000E2480"/>
    <w:rsid w:val="000F0768"/>
    <w:rsid w:val="000F13B5"/>
    <w:rsid w:val="000F2B61"/>
    <w:rsid w:val="000F2F9F"/>
    <w:rsid w:val="000F49EF"/>
    <w:rsid w:val="00102644"/>
    <w:rsid w:val="001138D4"/>
    <w:rsid w:val="0011556A"/>
    <w:rsid w:val="00116F1E"/>
    <w:rsid w:val="00117E32"/>
    <w:rsid w:val="00121ED2"/>
    <w:rsid w:val="001230DB"/>
    <w:rsid w:val="001239EE"/>
    <w:rsid w:val="00127B12"/>
    <w:rsid w:val="0013016D"/>
    <w:rsid w:val="00140E2E"/>
    <w:rsid w:val="00147B98"/>
    <w:rsid w:val="00150E2E"/>
    <w:rsid w:val="0016557D"/>
    <w:rsid w:val="001663AB"/>
    <w:rsid w:val="00167EE2"/>
    <w:rsid w:val="001748CB"/>
    <w:rsid w:val="00174EDC"/>
    <w:rsid w:val="0017533B"/>
    <w:rsid w:val="00176D4F"/>
    <w:rsid w:val="001869F0"/>
    <w:rsid w:val="001911BD"/>
    <w:rsid w:val="00193075"/>
    <w:rsid w:val="0019714C"/>
    <w:rsid w:val="001A2B96"/>
    <w:rsid w:val="001A4482"/>
    <w:rsid w:val="001A4518"/>
    <w:rsid w:val="001A6D3E"/>
    <w:rsid w:val="001B2E22"/>
    <w:rsid w:val="001B3989"/>
    <w:rsid w:val="001B4E39"/>
    <w:rsid w:val="001B5640"/>
    <w:rsid w:val="001B6666"/>
    <w:rsid w:val="001C3016"/>
    <w:rsid w:val="001C414A"/>
    <w:rsid w:val="001C7DD5"/>
    <w:rsid w:val="001D0A4A"/>
    <w:rsid w:val="001D3278"/>
    <w:rsid w:val="001D55A4"/>
    <w:rsid w:val="001E0A17"/>
    <w:rsid w:val="001E0AB3"/>
    <w:rsid w:val="001E1202"/>
    <w:rsid w:val="001E2735"/>
    <w:rsid w:val="001E3F6C"/>
    <w:rsid w:val="00205734"/>
    <w:rsid w:val="00216ED4"/>
    <w:rsid w:val="00217631"/>
    <w:rsid w:val="002209A0"/>
    <w:rsid w:val="00220F48"/>
    <w:rsid w:val="00222A0A"/>
    <w:rsid w:val="002332B2"/>
    <w:rsid w:val="0023406A"/>
    <w:rsid w:val="002365BB"/>
    <w:rsid w:val="00236FB0"/>
    <w:rsid w:val="00241E3B"/>
    <w:rsid w:val="00243A76"/>
    <w:rsid w:val="00243EC8"/>
    <w:rsid w:val="00244431"/>
    <w:rsid w:val="00245021"/>
    <w:rsid w:val="002454C8"/>
    <w:rsid w:val="00245784"/>
    <w:rsid w:val="00247A04"/>
    <w:rsid w:val="0025174A"/>
    <w:rsid w:val="00253C7E"/>
    <w:rsid w:val="00260D7E"/>
    <w:rsid w:val="00263009"/>
    <w:rsid w:val="0026462E"/>
    <w:rsid w:val="002647B3"/>
    <w:rsid w:val="002702FF"/>
    <w:rsid w:val="00270BD9"/>
    <w:rsid w:val="00273FC2"/>
    <w:rsid w:val="0028046C"/>
    <w:rsid w:val="002823B6"/>
    <w:rsid w:val="0028417F"/>
    <w:rsid w:val="002875D1"/>
    <w:rsid w:val="002938AE"/>
    <w:rsid w:val="0029425F"/>
    <w:rsid w:val="002A14A7"/>
    <w:rsid w:val="002A2278"/>
    <w:rsid w:val="002A6BE2"/>
    <w:rsid w:val="002B24F0"/>
    <w:rsid w:val="002B787F"/>
    <w:rsid w:val="002C3C5B"/>
    <w:rsid w:val="002D5DCF"/>
    <w:rsid w:val="002E15B0"/>
    <w:rsid w:val="002F1D0F"/>
    <w:rsid w:val="002F25D1"/>
    <w:rsid w:val="002F29BB"/>
    <w:rsid w:val="00313135"/>
    <w:rsid w:val="003154B8"/>
    <w:rsid w:val="0032337F"/>
    <w:rsid w:val="00324A08"/>
    <w:rsid w:val="003262DF"/>
    <w:rsid w:val="003265BD"/>
    <w:rsid w:val="00327F17"/>
    <w:rsid w:val="0033013F"/>
    <w:rsid w:val="003304F2"/>
    <w:rsid w:val="0033368F"/>
    <w:rsid w:val="00335E3E"/>
    <w:rsid w:val="00336B97"/>
    <w:rsid w:val="00337870"/>
    <w:rsid w:val="00343BD9"/>
    <w:rsid w:val="00353FB0"/>
    <w:rsid w:val="00355E55"/>
    <w:rsid w:val="00363BCF"/>
    <w:rsid w:val="00363F19"/>
    <w:rsid w:val="003645D6"/>
    <w:rsid w:val="00376855"/>
    <w:rsid w:val="003814AC"/>
    <w:rsid w:val="00387300"/>
    <w:rsid w:val="003919FB"/>
    <w:rsid w:val="00397EDA"/>
    <w:rsid w:val="003A1F30"/>
    <w:rsid w:val="003A24E4"/>
    <w:rsid w:val="003A5276"/>
    <w:rsid w:val="003A6099"/>
    <w:rsid w:val="003B149D"/>
    <w:rsid w:val="003B16B7"/>
    <w:rsid w:val="003C6314"/>
    <w:rsid w:val="003D12C3"/>
    <w:rsid w:val="003D3F79"/>
    <w:rsid w:val="003D61B0"/>
    <w:rsid w:val="003E0E0B"/>
    <w:rsid w:val="003E6932"/>
    <w:rsid w:val="003E6C7E"/>
    <w:rsid w:val="003F10CF"/>
    <w:rsid w:val="003F7F02"/>
    <w:rsid w:val="00400833"/>
    <w:rsid w:val="00400B42"/>
    <w:rsid w:val="004016CB"/>
    <w:rsid w:val="00402C72"/>
    <w:rsid w:val="00410C3B"/>
    <w:rsid w:val="00411317"/>
    <w:rsid w:val="00413A27"/>
    <w:rsid w:val="00413BE7"/>
    <w:rsid w:val="00420F8E"/>
    <w:rsid w:val="00423ACD"/>
    <w:rsid w:val="004264FA"/>
    <w:rsid w:val="0042751A"/>
    <w:rsid w:val="004332B8"/>
    <w:rsid w:val="004333EC"/>
    <w:rsid w:val="00434361"/>
    <w:rsid w:val="00437451"/>
    <w:rsid w:val="00454C10"/>
    <w:rsid w:val="0045734D"/>
    <w:rsid w:val="00460BC6"/>
    <w:rsid w:val="00465A3B"/>
    <w:rsid w:val="00471398"/>
    <w:rsid w:val="00474A83"/>
    <w:rsid w:val="0048700C"/>
    <w:rsid w:val="004871D5"/>
    <w:rsid w:val="00494BD0"/>
    <w:rsid w:val="004A514D"/>
    <w:rsid w:val="004B6085"/>
    <w:rsid w:val="004C595E"/>
    <w:rsid w:val="004C7107"/>
    <w:rsid w:val="004C7B29"/>
    <w:rsid w:val="004D7BDD"/>
    <w:rsid w:val="004E2533"/>
    <w:rsid w:val="004E2CFD"/>
    <w:rsid w:val="004F121C"/>
    <w:rsid w:val="004F3D82"/>
    <w:rsid w:val="0050531E"/>
    <w:rsid w:val="005134E9"/>
    <w:rsid w:val="005146AD"/>
    <w:rsid w:val="00521642"/>
    <w:rsid w:val="00521F05"/>
    <w:rsid w:val="00524E4D"/>
    <w:rsid w:val="005469CD"/>
    <w:rsid w:val="0055216C"/>
    <w:rsid w:val="00560488"/>
    <w:rsid w:val="0056601A"/>
    <w:rsid w:val="00577759"/>
    <w:rsid w:val="00584ED6"/>
    <w:rsid w:val="00585C9A"/>
    <w:rsid w:val="00586B6C"/>
    <w:rsid w:val="00586CBE"/>
    <w:rsid w:val="005926A2"/>
    <w:rsid w:val="005A0A09"/>
    <w:rsid w:val="005A28EA"/>
    <w:rsid w:val="005A37F3"/>
    <w:rsid w:val="005A3A39"/>
    <w:rsid w:val="005A59DA"/>
    <w:rsid w:val="005B3677"/>
    <w:rsid w:val="005B4335"/>
    <w:rsid w:val="005B7627"/>
    <w:rsid w:val="005C3061"/>
    <w:rsid w:val="005D07D3"/>
    <w:rsid w:val="005D2C4C"/>
    <w:rsid w:val="005F2025"/>
    <w:rsid w:val="005F5ADF"/>
    <w:rsid w:val="005F6B19"/>
    <w:rsid w:val="006050C1"/>
    <w:rsid w:val="006113C4"/>
    <w:rsid w:val="00612B09"/>
    <w:rsid w:val="006249D3"/>
    <w:rsid w:val="00625929"/>
    <w:rsid w:val="00625CA8"/>
    <w:rsid w:val="006307FB"/>
    <w:rsid w:val="006451C6"/>
    <w:rsid w:val="00646E9D"/>
    <w:rsid w:val="00650DF3"/>
    <w:rsid w:val="006523FA"/>
    <w:rsid w:val="00654124"/>
    <w:rsid w:val="00654391"/>
    <w:rsid w:val="006643FA"/>
    <w:rsid w:val="006644E6"/>
    <w:rsid w:val="006649D0"/>
    <w:rsid w:val="00664CD6"/>
    <w:rsid w:val="00666B90"/>
    <w:rsid w:val="00667F86"/>
    <w:rsid w:val="006702F0"/>
    <w:rsid w:val="0068240C"/>
    <w:rsid w:val="00682EC6"/>
    <w:rsid w:val="00684298"/>
    <w:rsid w:val="0068621A"/>
    <w:rsid w:val="0068720A"/>
    <w:rsid w:val="0068744F"/>
    <w:rsid w:val="00693913"/>
    <w:rsid w:val="006A45BC"/>
    <w:rsid w:val="006A6646"/>
    <w:rsid w:val="006B1340"/>
    <w:rsid w:val="006C086E"/>
    <w:rsid w:val="006C72C0"/>
    <w:rsid w:val="006C77AA"/>
    <w:rsid w:val="006D3754"/>
    <w:rsid w:val="006D3A84"/>
    <w:rsid w:val="006E42F7"/>
    <w:rsid w:val="006E4841"/>
    <w:rsid w:val="006E6E81"/>
    <w:rsid w:val="007008C4"/>
    <w:rsid w:val="00706F9B"/>
    <w:rsid w:val="00710ED2"/>
    <w:rsid w:val="00711C1C"/>
    <w:rsid w:val="00714570"/>
    <w:rsid w:val="00717F1E"/>
    <w:rsid w:val="007248EA"/>
    <w:rsid w:val="007319CC"/>
    <w:rsid w:val="007320A2"/>
    <w:rsid w:val="00735105"/>
    <w:rsid w:val="007408EA"/>
    <w:rsid w:val="00742056"/>
    <w:rsid w:val="00746341"/>
    <w:rsid w:val="007566A7"/>
    <w:rsid w:val="0076205C"/>
    <w:rsid w:val="007622AE"/>
    <w:rsid w:val="007678A3"/>
    <w:rsid w:val="0077170B"/>
    <w:rsid w:val="00772C7D"/>
    <w:rsid w:val="00773646"/>
    <w:rsid w:val="00773A40"/>
    <w:rsid w:val="0077486A"/>
    <w:rsid w:val="007820B2"/>
    <w:rsid w:val="007823CA"/>
    <w:rsid w:val="007824B5"/>
    <w:rsid w:val="007955ED"/>
    <w:rsid w:val="00796224"/>
    <w:rsid w:val="00796666"/>
    <w:rsid w:val="007974D9"/>
    <w:rsid w:val="007A18D6"/>
    <w:rsid w:val="007A76A7"/>
    <w:rsid w:val="007B2654"/>
    <w:rsid w:val="007B4AC8"/>
    <w:rsid w:val="007C0CB6"/>
    <w:rsid w:val="007C0FC4"/>
    <w:rsid w:val="007C145C"/>
    <w:rsid w:val="007C1C7C"/>
    <w:rsid w:val="007C5EFE"/>
    <w:rsid w:val="007D7808"/>
    <w:rsid w:val="007F6EE3"/>
    <w:rsid w:val="00801E64"/>
    <w:rsid w:val="00803C13"/>
    <w:rsid w:val="00807A9E"/>
    <w:rsid w:val="0081054D"/>
    <w:rsid w:val="00810815"/>
    <w:rsid w:val="00813D3A"/>
    <w:rsid w:val="00816D33"/>
    <w:rsid w:val="00822A65"/>
    <w:rsid w:val="008243FB"/>
    <w:rsid w:val="00825513"/>
    <w:rsid w:val="008261E3"/>
    <w:rsid w:val="008268EC"/>
    <w:rsid w:val="00827FA7"/>
    <w:rsid w:val="008303FC"/>
    <w:rsid w:val="008507D7"/>
    <w:rsid w:val="00856B27"/>
    <w:rsid w:val="008678C9"/>
    <w:rsid w:val="0087532C"/>
    <w:rsid w:val="0087616F"/>
    <w:rsid w:val="00877498"/>
    <w:rsid w:val="00884A23"/>
    <w:rsid w:val="00892763"/>
    <w:rsid w:val="00892C27"/>
    <w:rsid w:val="00892E20"/>
    <w:rsid w:val="00896910"/>
    <w:rsid w:val="00897541"/>
    <w:rsid w:val="008A3A4A"/>
    <w:rsid w:val="008A4F51"/>
    <w:rsid w:val="008A7345"/>
    <w:rsid w:val="008A7C24"/>
    <w:rsid w:val="008B5343"/>
    <w:rsid w:val="008B5FE0"/>
    <w:rsid w:val="008B70D9"/>
    <w:rsid w:val="008C12D5"/>
    <w:rsid w:val="008C2461"/>
    <w:rsid w:val="008C641E"/>
    <w:rsid w:val="008D0847"/>
    <w:rsid w:val="008D204B"/>
    <w:rsid w:val="008E78D7"/>
    <w:rsid w:val="008F0670"/>
    <w:rsid w:val="008F0878"/>
    <w:rsid w:val="008F1AB5"/>
    <w:rsid w:val="008F2C0C"/>
    <w:rsid w:val="008F612B"/>
    <w:rsid w:val="0090373C"/>
    <w:rsid w:val="009049E6"/>
    <w:rsid w:val="00904C85"/>
    <w:rsid w:val="009054E6"/>
    <w:rsid w:val="00924F2C"/>
    <w:rsid w:val="00925F66"/>
    <w:rsid w:val="00927B2A"/>
    <w:rsid w:val="009325F1"/>
    <w:rsid w:val="00943717"/>
    <w:rsid w:val="00944219"/>
    <w:rsid w:val="00945BF2"/>
    <w:rsid w:val="00945DA4"/>
    <w:rsid w:val="009472A8"/>
    <w:rsid w:val="0095447E"/>
    <w:rsid w:val="0095534F"/>
    <w:rsid w:val="0095550D"/>
    <w:rsid w:val="00955AB6"/>
    <w:rsid w:val="00960674"/>
    <w:rsid w:val="00961E6B"/>
    <w:rsid w:val="00967FC9"/>
    <w:rsid w:val="0097199D"/>
    <w:rsid w:val="00973DC8"/>
    <w:rsid w:val="009823B0"/>
    <w:rsid w:val="00982E1D"/>
    <w:rsid w:val="00983A60"/>
    <w:rsid w:val="009850A6"/>
    <w:rsid w:val="0098665F"/>
    <w:rsid w:val="00991731"/>
    <w:rsid w:val="00997C08"/>
    <w:rsid w:val="009A3676"/>
    <w:rsid w:val="009A389E"/>
    <w:rsid w:val="009A3F77"/>
    <w:rsid w:val="009A453B"/>
    <w:rsid w:val="009A4CAA"/>
    <w:rsid w:val="009A61C1"/>
    <w:rsid w:val="009B77BF"/>
    <w:rsid w:val="009C302C"/>
    <w:rsid w:val="009D0310"/>
    <w:rsid w:val="009D063B"/>
    <w:rsid w:val="009D274B"/>
    <w:rsid w:val="009D2FF8"/>
    <w:rsid w:val="009D6CD1"/>
    <w:rsid w:val="009D7776"/>
    <w:rsid w:val="009E097B"/>
    <w:rsid w:val="009E31F0"/>
    <w:rsid w:val="009F133B"/>
    <w:rsid w:val="009F289D"/>
    <w:rsid w:val="009F41D2"/>
    <w:rsid w:val="009F675C"/>
    <w:rsid w:val="00A00D09"/>
    <w:rsid w:val="00A01566"/>
    <w:rsid w:val="00A07800"/>
    <w:rsid w:val="00A11D09"/>
    <w:rsid w:val="00A171E9"/>
    <w:rsid w:val="00A3027F"/>
    <w:rsid w:val="00A321E4"/>
    <w:rsid w:val="00A3482F"/>
    <w:rsid w:val="00A34FD1"/>
    <w:rsid w:val="00A35905"/>
    <w:rsid w:val="00A359A4"/>
    <w:rsid w:val="00A360FF"/>
    <w:rsid w:val="00A37EB7"/>
    <w:rsid w:val="00A40C6D"/>
    <w:rsid w:val="00A418A2"/>
    <w:rsid w:val="00A4215F"/>
    <w:rsid w:val="00A4621E"/>
    <w:rsid w:val="00A57B03"/>
    <w:rsid w:val="00A60FAC"/>
    <w:rsid w:val="00A65015"/>
    <w:rsid w:val="00A766F6"/>
    <w:rsid w:val="00A7755F"/>
    <w:rsid w:val="00A8397C"/>
    <w:rsid w:val="00A91FFA"/>
    <w:rsid w:val="00A942FF"/>
    <w:rsid w:val="00A95EF3"/>
    <w:rsid w:val="00A95FCC"/>
    <w:rsid w:val="00AA0B5C"/>
    <w:rsid w:val="00AA2A8E"/>
    <w:rsid w:val="00AA4757"/>
    <w:rsid w:val="00AB0515"/>
    <w:rsid w:val="00AB68F3"/>
    <w:rsid w:val="00AB6D54"/>
    <w:rsid w:val="00AC11E0"/>
    <w:rsid w:val="00AC459E"/>
    <w:rsid w:val="00AF6E3B"/>
    <w:rsid w:val="00B03C5D"/>
    <w:rsid w:val="00B10CB5"/>
    <w:rsid w:val="00B154EA"/>
    <w:rsid w:val="00B162EF"/>
    <w:rsid w:val="00B27FFD"/>
    <w:rsid w:val="00B36A30"/>
    <w:rsid w:val="00B40376"/>
    <w:rsid w:val="00B42CC9"/>
    <w:rsid w:val="00B43476"/>
    <w:rsid w:val="00B43CB2"/>
    <w:rsid w:val="00B455B9"/>
    <w:rsid w:val="00B465E8"/>
    <w:rsid w:val="00B52E57"/>
    <w:rsid w:val="00B540ED"/>
    <w:rsid w:val="00B54A3A"/>
    <w:rsid w:val="00B54D41"/>
    <w:rsid w:val="00B640F0"/>
    <w:rsid w:val="00B75EA4"/>
    <w:rsid w:val="00B805EA"/>
    <w:rsid w:val="00B82ABF"/>
    <w:rsid w:val="00B874D6"/>
    <w:rsid w:val="00B904C3"/>
    <w:rsid w:val="00B92914"/>
    <w:rsid w:val="00B9374B"/>
    <w:rsid w:val="00BB75D9"/>
    <w:rsid w:val="00BD37BD"/>
    <w:rsid w:val="00BD3D64"/>
    <w:rsid w:val="00BD6469"/>
    <w:rsid w:val="00BD69A5"/>
    <w:rsid w:val="00BE74D8"/>
    <w:rsid w:val="00BE7EFE"/>
    <w:rsid w:val="00BF32FA"/>
    <w:rsid w:val="00BF3DD9"/>
    <w:rsid w:val="00BF4A5E"/>
    <w:rsid w:val="00C0030A"/>
    <w:rsid w:val="00C02A2A"/>
    <w:rsid w:val="00C12553"/>
    <w:rsid w:val="00C16787"/>
    <w:rsid w:val="00C20F60"/>
    <w:rsid w:val="00C21B51"/>
    <w:rsid w:val="00C24C94"/>
    <w:rsid w:val="00C2524D"/>
    <w:rsid w:val="00C27F79"/>
    <w:rsid w:val="00C3056C"/>
    <w:rsid w:val="00C308A1"/>
    <w:rsid w:val="00C33439"/>
    <w:rsid w:val="00C37895"/>
    <w:rsid w:val="00C44EF7"/>
    <w:rsid w:val="00C47CA1"/>
    <w:rsid w:val="00C533B4"/>
    <w:rsid w:val="00C64D5B"/>
    <w:rsid w:val="00C66789"/>
    <w:rsid w:val="00C70D36"/>
    <w:rsid w:val="00C726E6"/>
    <w:rsid w:val="00C753F8"/>
    <w:rsid w:val="00C75ED9"/>
    <w:rsid w:val="00C84832"/>
    <w:rsid w:val="00C907E6"/>
    <w:rsid w:val="00C92505"/>
    <w:rsid w:val="00CB23D4"/>
    <w:rsid w:val="00CB5903"/>
    <w:rsid w:val="00CC010A"/>
    <w:rsid w:val="00CC0341"/>
    <w:rsid w:val="00CC74C1"/>
    <w:rsid w:val="00CD7FC2"/>
    <w:rsid w:val="00CE05D5"/>
    <w:rsid w:val="00CE2A64"/>
    <w:rsid w:val="00CF1F23"/>
    <w:rsid w:val="00CF3887"/>
    <w:rsid w:val="00CF47AC"/>
    <w:rsid w:val="00CF5239"/>
    <w:rsid w:val="00CF7ABC"/>
    <w:rsid w:val="00D07DCF"/>
    <w:rsid w:val="00D10547"/>
    <w:rsid w:val="00D10DAA"/>
    <w:rsid w:val="00D1359E"/>
    <w:rsid w:val="00D15246"/>
    <w:rsid w:val="00D21131"/>
    <w:rsid w:val="00D34134"/>
    <w:rsid w:val="00D40D7E"/>
    <w:rsid w:val="00D432DA"/>
    <w:rsid w:val="00D4397E"/>
    <w:rsid w:val="00D47000"/>
    <w:rsid w:val="00D54F4A"/>
    <w:rsid w:val="00D61E81"/>
    <w:rsid w:val="00D622D3"/>
    <w:rsid w:val="00D73F0F"/>
    <w:rsid w:val="00DA05DA"/>
    <w:rsid w:val="00DA17B5"/>
    <w:rsid w:val="00DA4421"/>
    <w:rsid w:val="00DA54E6"/>
    <w:rsid w:val="00DA6DBB"/>
    <w:rsid w:val="00DA7034"/>
    <w:rsid w:val="00DB280E"/>
    <w:rsid w:val="00DB35FB"/>
    <w:rsid w:val="00DB6B92"/>
    <w:rsid w:val="00DC2C8B"/>
    <w:rsid w:val="00DC528B"/>
    <w:rsid w:val="00DC5640"/>
    <w:rsid w:val="00DC7822"/>
    <w:rsid w:val="00DD1A91"/>
    <w:rsid w:val="00DD3BD2"/>
    <w:rsid w:val="00DD5BF2"/>
    <w:rsid w:val="00DD664E"/>
    <w:rsid w:val="00DD6FAB"/>
    <w:rsid w:val="00DE158B"/>
    <w:rsid w:val="00DE1D54"/>
    <w:rsid w:val="00DE560B"/>
    <w:rsid w:val="00E06858"/>
    <w:rsid w:val="00E0685C"/>
    <w:rsid w:val="00E07062"/>
    <w:rsid w:val="00E140CA"/>
    <w:rsid w:val="00E1413A"/>
    <w:rsid w:val="00E150F5"/>
    <w:rsid w:val="00E1523B"/>
    <w:rsid w:val="00E16BFD"/>
    <w:rsid w:val="00E2298E"/>
    <w:rsid w:val="00E24254"/>
    <w:rsid w:val="00E270E9"/>
    <w:rsid w:val="00E304DC"/>
    <w:rsid w:val="00E43339"/>
    <w:rsid w:val="00E4473C"/>
    <w:rsid w:val="00E46415"/>
    <w:rsid w:val="00E476BB"/>
    <w:rsid w:val="00E53B03"/>
    <w:rsid w:val="00E53BCB"/>
    <w:rsid w:val="00E54CB4"/>
    <w:rsid w:val="00E5557E"/>
    <w:rsid w:val="00E63031"/>
    <w:rsid w:val="00E70401"/>
    <w:rsid w:val="00E75097"/>
    <w:rsid w:val="00E759E7"/>
    <w:rsid w:val="00E779EE"/>
    <w:rsid w:val="00E77C9B"/>
    <w:rsid w:val="00E8132A"/>
    <w:rsid w:val="00E907A7"/>
    <w:rsid w:val="00E90D2F"/>
    <w:rsid w:val="00E91720"/>
    <w:rsid w:val="00E921FC"/>
    <w:rsid w:val="00EA07F6"/>
    <w:rsid w:val="00EA0AD9"/>
    <w:rsid w:val="00EA3FDF"/>
    <w:rsid w:val="00EA72D5"/>
    <w:rsid w:val="00EC0212"/>
    <w:rsid w:val="00EC1DC2"/>
    <w:rsid w:val="00EC76A8"/>
    <w:rsid w:val="00EC7ABB"/>
    <w:rsid w:val="00ED130E"/>
    <w:rsid w:val="00EE2B80"/>
    <w:rsid w:val="00EE2E29"/>
    <w:rsid w:val="00EE4FEF"/>
    <w:rsid w:val="00EE596F"/>
    <w:rsid w:val="00EE7D96"/>
    <w:rsid w:val="00EF6227"/>
    <w:rsid w:val="00F14946"/>
    <w:rsid w:val="00F15410"/>
    <w:rsid w:val="00F22671"/>
    <w:rsid w:val="00F3339A"/>
    <w:rsid w:val="00F33C02"/>
    <w:rsid w:val="00F33E60"/>
    <w:rsid w:val="00F34FA0"/>
    <w:rsid w:val="00F42DFA"/>
    <w:rsid w:val="00F447C3"/>
    <w:rsid w:val="00F4573C"/>
    <w:rsid w:val="00F52E1E"/>
    <w:rsid w:val="00F6332D"/>
    <w:rsid w:val="00F660D9"/>
    <w:rsid w:val="00F7353D"/>
    <w:rsid w:val="00F744A6"/>
    <w:rsid w:val="00F970D0"/>
    <w:rsid w:val="00FA7CEF"/>
    <w:rsid w:val="00FB1ED9"/>
    <w:rsid w:val="00FC2F4C"/>
    <w:rsid w:val="00FC77E0"/>
    <w:rsid w:val="00FD0E06"/>
    <w:rsid w:val="00FD1DAE"/>
    <w:rsid w:val="00FE2240"/>
    <w:rsid w:val="00FE26B2"/>
    <w:rsid w:val="00FE3B8D"/>
    <w:rsid w:val="00FF35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006CB"/>
  <w15:docId w15:val="{42D73D86-C02F-42CE-A7C3-AA4FD2E5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7E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9D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9D063B"/>
    <w:pPr>
      <w:spacing w:before="129" w:after="129"/>
      <w:ind w:left="579" w:right="450"/>
    </w:pPr>
    <w:rPr>
      <w:sz w:val="19"/>
      <w:szCs w:val="19"/>
    </w:rPr>
  </w:style>
  <w:style w:type="paragraph" w:customStyle="1" w:styleId="prastasistinklapis8">
    <w:name w:val="Įprastasis (tinklapis)8"/>
    <w:basedOn w:val="Normal"/>
    <w:rsid w:val="009D063B"/>
    <w:pPr>
      <w:spacing w:before="100" w:after="100"/>
      <w:ind w:left="300" w:right="300"/>
    </w:pPr>
    <w:rPr>
      <w:sz w:val="22"/>
      <w:szCs w:val="22"/>
    </w:rPr>
  </w:style>
  <w:style w:type="paragraph" w:styleId="BodyText">
    <w:name w:val="Body Text"/>
    <w:basedOn w:val="Normal"/>
    <w:rsid w:val="00A07800"/>
    <w:pPr>
      <w:spacing w:before="100" w:beforeAutospacing="1" w:after="100" w:afterAutospacing="1"/>
    </w:pPr>
  </w:style>
  <w:style w:type="character" w:styleId="Hyperlink">
    <w:name w:val="Hyperlink"/>
    <w:rsid w:val="00CC010A"/>
    <w:rPr>
      <w:color w:val="0000FF"/>
      <w:u w:val="single"/>
    </w:rPr>
  </w:style>
  <w:style w:type="character" w:styleId="Strong">
    <w:name w:val="Strong"/>
    <w:qFormat/>
    <w:rsid w:val="009F289D"/>
    <w:rPr>
      <w:b/>
      <w:bCs/>
    </w:rPr>
  </w:style>
  <w:style w:type="character" w:styleId="Emphasis">
    <w:name w:val="Emphasis"/>
    <w:qFormat/>
    <w:rsid w:val="009A389E"/>
    <w:rPr>
      <w:i/>
      <w:iCs/>
    </w:rPr>
  </w:style>
  <w:style w:type="paragraph" w:styleId="BodyTextIndent">
    <w:name w:val="Body Text Indent"/>
    <w:basedOn w:val="Normal"/>
    <w:rsid w:val="00827FA7"/>
    <w:pPr>
      <w:spacing w:after="120"/>
      <w:ind w:left="283"/>
    </w:p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Normal"/>
    <w:rsid w:val="00127B12"/>
    <w:pPr>
      <w:spacing w:after="160" w:line="240" w:lineRule="exact"/>
    </w:pPr>
    <w:rPr>
      <w:rFonts w:ascii="Tahoma" w:hAnsi="Tahoma"/>
      <w:sz w:val="20"/>
      <w:szCs w:val="20"/>
      <w:lang w:val="en-US" w:eastAsia="en-US"/>
    </w:rPr>
  </w:style>
  <w:style w:type="paragraph" w:styleId="Footer">
    <w:name w:val="footer"/>
    <w:basedOn w:val="Normal"/>
    <w:rsid w:val="00DB280E"/>
    <w:pPr>
      <w:tabs>
        <w:tab w:val="center" w:pos="4320"/>
        <w:tab w:val="right" w:pos="8640"/>
      </w:tabs>
      <w:spacing w:line="360" w:lineRule="auto"/>
      <w:ind w:firstLine="720"/>
      <w:jc w:val="both"/>
    </w:pPr>
    <w:rPr>
      <w:rFonts w:ascii="TimesLT" w:hAnsi="TimesLT"/>
      <w:szCs w:val="20"/>
      <w:lang w:eastAsia="en-US"/>
    </w:rPr>
  </w:style>
  <w:style w:type="paragraph" w:customStyle="1" w:styleId="Char">
    <w:name w:val="Char"/>
    <w:basedOn w:val="Normal"/>
    <w:rsid w:val="00E140CA"/>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CharCharDiagramaCharCharDiagramaCharCharDiagramaCharChar">
    <w:name w:val="Char Char Diagrama Char Char Diagrama Char Char Diagrama Char Char"/>
    <w:basedOn w:val="Normal"/>
    <w:rsid w:val="00B54D41"/>
    <w:pPr>
      <w:spacing w:after="160" w:line="240" w:lineRule="exact"/>
    </w:pPr>
    <w:rPr>
      <w:rFonts w:ascii="Tahoma" w:hAnsi="Tahoma"/>
      <w:sz w:val="20"/>
      <w:szCs w:val="20"/>
      <w:lang w:val="en-US" w:eastAsia="en-US"/>
    </w:rPr>
  </w:style>
  <w:style w:type="paragraph" w:styleId="Header">
    <w:name w:val="header"/>
    <w:basedOn w:val="Normal"/>
    <w:rsid w:val="00245784"/>
    <w:pPr>
      <w:tabs>
        <w:tab w:val="center" w:pos="4986"/>
        <w:tab w:val="right" w:pos="9972"/>
      </w:tabs>
    </w:pPr>
  </w:style>
  <w:style w:type="character" w:styleId="PageNumber">
    <w:name w:val="page number"/>
    <w:basedOn w:val="DefaultParagraphFont"/>
    <w:rsid w:val="00245784"/>
  </w:style>
  <w:style w:type="paragraph" w:styleId="BalloonText">
    <w:name w:val="Balloon Text"/>
    <w:basedOn w:val="Normal"/>
    <w:semiHidden/>
    <w:rsid w:val="003E0E0B"/>
    <w:rPr>
      <w:rFonts w:ascii="Tahoma" w:hAnsi="Tahoma" w:cs="Tahoma"/>
      <w:sz w:val="16"/>
      <w:szCs w:val="16"/>
    </w:rPr>
  </w:style>
  <w:style w:type="paragraph" w:customStyle="1" w:styleId="DiagramaDiagramaCharCharDiagramaCharCharDiagrama1CharCharDiagramaDiagramaCharCharDiagramaCharChar">
    <w:name w:val="Diagrama Diagrama Char Char Diagrama Char Char Diagrama1 Char Char Diagrama Diagrama Char Char Diagrama Char Char"/>
    <w:basedOn w:val="Normal"/>
    <w:rsid w:val="00205734"/>
    <w:pPr>
      <w:spacing w:after="160" w:line="240" w:lineRule="exact"/>
    </w:pPr>
    <w:rPr>
      <w:rFonts w:ascii="Tahoma" w:hAnsi="Tahoma"/>
      <w:sz w:val="20"/>
      <w:szCs w:val="20"/>
      <w:lang w:val="en-US" w:eastAsia="en-US"/>
    </w:rPr>
  </w:style>
  <w:style w:type="character" w:styleId="CommentReference">
    <w:name w:val="annotation reference"/>
    <w:semiHidden/>
    <w:rsid w:val="00991731"/>
    <w:rPr>
      <w:sz w:val="16"/>
      <w:szCs w:val="16"/>
    </w:rPr>
  </w:style>
  <w:style w:type="paragraph" w:styleId="CommentText">
    <w:name w:val="annotation text"/>
    <w:basedOn w:val="Normal"/>
    <w:link w:val="CommentTextChar"/>
    <w:uiPriority w:val="99"/>
    <w:rsid w:val="00991731"/>
    <w:rPr>
      <w:sz w:val="20"/>
      <w:szCs w:val="20"/>
    </w:rPr>
  </w:style>
  <w:style w:type="paragraph" w:styleId="CommentSubject">
    <w:name w:val="annotation subject"/>
    <w:basedOn w:val="CommentText"/>
    <w:next w:val="CommentText"/>
    <w:semiHidden/>
    <w:rsid w:val="00991731"/>
    <w:rPr>
      <w:b/>
      <w:bCs/>
    </w:rPr>
  </w:style>
  <w:style w:type="paragraph" w:styleId="BodyText3">
    <w:name w:val="Body Text 3"/>
    <w:basedOn w:val="Normal"/>
    <w:link w:val="BodyText3Char"/>
    <w:rsid w:val="009C302C"/>
    <w:pPr>
      <w:spacing w:after="120"/>
    </w:pPr>
    <w:rPr>
      <w:sz w:val="16"/>
      <w:szCs w:val="16"/>
    </w:rPr>
  </w:style>
  <w:style w:type="character" w:customStyle="1" w:styleId="BodyText3Char">
    <w:name w:val="Body Text 3 Char"/>
    <w:link w:val="BodyText3"/>
    <w:rsid w:val="009C302C"/>
    <w:rPr>
      <w:sz w:val="16"/>
      <w:szCs w:val="16"/>
    </w:rPr>
  </w:style>
  <w:style w:type="paragraph" w:styleId="FootnoteText">
    <w:name w:val="footnote text"/>
    <w:basedOn w:val="Normal"/>
    <w:link w:val="FootnoteTextChar"/>
    <w:rsid w:val="008678C9"/>
    <w:rPr>
      <w:sz w:val="20"/>
      <w:szCs w:val="20"/>
    </w:rPr>
  </w:style>
  <w:style w:type="character" w:customStyle="1" w:styleId="FootnoteTextChar">
    <w:name w:val="Footnote Text Char"/>
    <w:basedOn w:val="DefaultParagraphFont"/>
    <w:link w:val="FootnoteText"/>
    <w:rsid w:val="008678C9"/>
  </w:style>
  <w:style w:type="character" w:styleId="FootnoteReference">
    <w:name w:val="footnote reference"/>
    <w:rsid w:val="008678C9"/>
    <w:rPr>
      <w:vertAlign w:val="superscript"/>
    </w:rPr>
  </w:style>
  <w:style w:type="paragraph" w:styleId="ListParagraph">
    <w:name w:val="List Paragraph"/>
    <w:basedOn w:val="Normal"/>
    <w:uiPriority w:val="34"/>
    <w:qFormat/>
    <w:rsid w:val="00400833"/>
    <w:pPr>
      <w:ind w:left="720"/>
      <w:contextualSpacing/>
    </w:pPr>
  </w:style>
  <w:style w:type="character" w:customStyle="1" w:styleId="CommentTextChar">
    <w:name w:val="Comment Text Char"/>
    <w:basedOn w:val="DefaultParagraphFont"/>
    <w:link w:val="CommentText"/>
    <w:uiPriority w:val="99"/>
    <w:rsid w:val="00CC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34252">
      <w:bodyDiv w:val="1"/>
      <w:marLeft w:val="0"/>
      <w:marRight w:val="0"/>
      <w:marTop w:val="0"/>
      <w:marBottom w:val="0"/>
      <w:divBdr>
        <w:top w:val="none" w:sz="0" w:space="0" w:color="auto"/>
        <w:left w:val="none" w:sz="0" w:space="0" w:color="auto"/>
        <w:bottom w:val="none" w:sz="0" w:space="0" w:color="auto"/>
        <w:right w:val="none" w:sz="0" w:space="0" w:color="auto"/>
      </w:divBdr>
      <w:divsChild>
        <w:div w:id="71971680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32602510">
      <w:bodyDiv w:val="1"/>
      <w:marLeft w:val="0"/>
      <w:marRight w:val="0"/>
      <w:marTop w:val="0"/>
      <w:marBottom w:val="0"/>
      <w:divBdr>
        <w:top w:val="none" w:sz="0" w:space="0" w:color="auto"/>
        <w:left w:val="none" w:sz="0" w:space="0" w:color="auto"/>
        <w:bottom w:val="none" w:sz="0" w:space="0" w:color="auto"/>
        <w:right w:val="none" w:sz="0" w:space="0" w:color="auto"/>
      </w:divBdr>
      <w:divsChild>
        <w:div w:id="208676046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38151055">
      <w:bodyDiv w:val="1"/>
      <w:marLeft w:val="0"/>
      <w:marRight w:val="0"/>
      <w:marTop w:val="0"/>
      <w:marBottom w:val="0"/>
      <w:divBdr>
        <w:top w:val="none" w:sz="0" w:space="0" w:color="auto"/>
        <w:left w:val="none" w:sz="0" w:space="0" w:color="auto"/>
        <w:bottom w:val="none" w:sz="0" w:space="0" w:color="auto"/>
        <w:right w:val="none" w:sz="0" w:space="0" w:color="auto"/>
      </w:divBdr>
      <w:divsChild>
        <w:div w:id="189613935">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59202010">
      <w:bodyDiv w:val="1"/>
      <w:marLeft w:val="0"/>
      <w:marRight w:val="0"/>
      <w:marTop w:val="0"/>
      <w:marBottom w:val="0"/>
      <w:divBdr>
        <w:top w:val="none" w:sz="0" w:space="0" w:color="auto"/>
        <w:left w:val="none" w:sz="0" w:space="0" w:color="auto"/>
        <w:bottom w:val="none" w:sz="0" w:space="0" w:color="auto"/>
        <w:right w:val="none" w:sz="0" w:space="0" w:color="auto"/>
      </w:divBdr>
    </w:div>
    <w:div w:id="168369117">
      <w:bodyDiv w:val="1"/>
      <w:marLeft w:val="0"/>
      <w:marRight w:val="0"/>
      <w:marTop w:val="0"/>
      <w:marBottom w:val="0"/>
      <w:divBdr>
        <w:top w:val="none" w:sz="0" w:space="0" w:color="auto"/>
        <w:left w:val="none" w:sz="0" w:space="0" w:color="auto"/>
        <w:bottom w:val="none" w:sz="0" w:space="0" w:color="auto"/>
        <w:right w:val="none" w:sz="0" w:space="0" w:color="auto"/>
      </w:divBdr>
    </w:div>
    <w:div w:id="168981167">
      <w:bodyDiv w:val="1"/>
      <w:marLeft w:val="0"/>
      <w:marRight w:val="0"/>
      <w:marTop w:val="0"/>
      <w:marBottom w:val="0"/>
      <w:divBdr>
        <w:top w:val="none" w:sz="0" w:space="0" w:color="auto"/>
        <w:left w:val="none" w:sz="0" w:space="0" w:color="auto"/>
        <w:bottom w:val="none" w:sz="0" w:space="0" w:color="auto"/>
        <w:right w:val="none" w:sz="0" w:space="0" w:color="auto"/>
      </w:divBdr>
      <w:divsChild>
        <w:div w:id="1367366005">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212468868">
      <w:bodyDiv w:val="1"/>
      <w:marLeft w:val="0"/>
      <w:marRight w:val="0"/>
      <w:marTop w:val="0"/>
      <w:marBottom w:val="0"/>
      <w:divBdr>
        <w:top w:val="none" w:sz="0" w:space="0" w:color="auto"/>
        <w:left w:val="none" w:sz="0" w:space="0" w:color="auto"/>
        <w:bottom w:val="none" w:sz="0" w:space="0" w:color="auto"/>
        <w:right w:val="none" w:sz="0" w:space="0" w:color="auto"/>
      </w:divBdr>
    </w:div>
    <w:div w:id="228922915">
      <w:bodyDiv w:val="1"/>
      <w:marLeft w:val="0"/>
      <w:marRight w:val="0"/>
      <w:marTop w:val="0"/>
      <w:marBottom w:val="0"/>
      <w:divBdr>
        <w:top w:val="none" w:sz="0" w:space="0" w:color="auto"/>
        <w:left w:val="none" w:sz="0" w:space="0" w:color="auto"/>
        <w:bottom w:val="none" w:sz="0" w:space="0" w:color="auto"/>
        <w:right w:val="none" w:sz="0" w:space="0" w:color="auto"/>
      </w:divBdr>
    </w:div>
    <w:div w:id="242573488">
      <w:bodyDiv w:val="1"/>
      <w:marLeft w:val="0"/>
      <w:marRight w:val="0"/>
      <w:marTop w:val="0"/>
      <w:marBottom w:val="0"/>
      <w:divBdr>
        <w:top w:val="none" w:sz="0" w:space="0" w:color="auto"/>
        <w:left w:val="none" w:sz="0" w:space="0" w:color="auto"/>
        <w:bottom w:val="none" w:sz="0" w:space="0" w:color="auto"/>
        <w:right w:val="none" w:sz="0" w:space="0" w:color="auto"/>
      </w:divBdr>
    </w:div>
    <w:div w:id="248540284">
      <w:bodyDiv w:val="1"/>
      <w:marLeft w:val="0"/>
      <w:marRight w:val="0"/>
      <w:marTop w:val="0"/>
      <w:marBottom w:val="0"/>
      <w:divBdr>
        <w:top w:val="none" w:sz="0" w:space="0" w:color="auto"/>
        <w:left w:val="none" w:sz="0" w:space="0" w:color="auto"/>
        <w:bottom w:val="none" w:sz="0" w:space="0" w:color="auto"/>
        <w:right w:val="none" w:sz="0" w:space="0" w:color="auto"/>
      </w:divBdr>
      <w:divsChild>
        <w:div w:id="322125536">
          <w:marLeft w:val="0"/>
          <w:marRight w:val="0"/>
          <w:marTop w:val="0"/>
          <w:marBottom w:val="0"/>
          <w:divBdr>
            <w:top w:val="none" w:sz="0" w:space="0" w:color="auto"/>
            <w:left w:val="none" w:sz="0" w:space="0" w:color="auto"/>
            <w:bottom w:val="none" w:sz="0" w:space="0" w:color="auto"/>
            <w:right w:val="none" w:sz="0" w:space="0" w:color="auto"/>
          </w:divBdr>
        </w:div>
        <w:div w:id="851529515">
          <w:marLeft w:val="0"/>
          <w:marRight w:val="0"/>
          <w:marTop w:val="0"/>
          <w:marBottom w:val="0"/>
          <w:divBdr>
            <w:top w:val="none" w:sz="0" w:space="0" w:color="auto"/>
            <w:left w:val="none" w:sz="0" w:space="0" w:color="auto"/>
            <w:bottom w:val="none" w:sz="0" w:space="0" w:color="auto"/>
            <w:right w:val="none" w:sz="0" w:space="0" w:color="auto"/>
          </w:divBdr>
        </w:div>
        <w:div w:id="1247961552">
          <w:marLeft w:val="0"/>
          <w:marRight w:val="0"/>
          <w:marTop w:val="0"/>
          <w:marBottom w:val="0"/>
          <w:divBdr>
            <w:top w:val="none" w:sz="0" w:space="0" w:color="auto"/>
            <w:left w:val="none" w:sz="0" w:space="0" w:color="auto"/>
            <w:bottom w:val="none" w:sz="0" w:space="0" w:color="auto"/>
            <w:right w:val="none" w:sz="0" w:space="0" w:color="auto"/>
          </w:divBdr>
        </w:div>
      </w:divsChild>
    </w:div>
    <w:div w:id="294020607">
      <w:bodyDiv w:val="1"/>
      <w:marLeft w:val="0"/>
      <w:marRight w:val="0"/>
      <w:marTop w:val="0"/>
      <w:marBottom w:val="0"/>
      <w:divBdr>
        <w:top w:val="none" w:sz="0" w:space="0" w:color="auto"/>
        <w:left w:val="none" w:sz="0" w:space="0" w:color="auto"/>
        <w:bottom w:val="none" w:sz="0" w:space="0" w:color="auto"/>
        <w:right w:val="none" w:sz="0" w:space="0" w:color="auto"/>
      </w:divBdr>
    </w:div>
    <w:div w:id="307125972">
      <w:bodyDiv w:val="1"/>
      <w:marLeft w:val="0"/>
      <w:marRight w:val="0"/>
      <w:marTop w:val="0"/>
      <w:marBottom w:val="0"/>
      <w:divBdr>
        <w:top w:val="none" w:sz="0" w:space="0" w:color="auto"/>
        <w:left w:val="none" w:sz="0" w:space="0" w:color="auto"/>
        <w:bottom w:val="none" w:sz="0" w:space="0" w:color="auto"/>
        <w:right w:val="none" w:sz="0" w:space="0" w:color="auto"/>
      </w:divBdr>
      <w:divsChild>
        <w:div w:id="1205168342">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319041320">
      <w:bodyDiv w:val="1"/>
      <w:marLeft w:val="0"/>
      <w:marRight w:val="0"/>
      <w:marTop w:val="0"/>
      <w:marBottom w:val="0"/>
      <w:divBdr>
        <w:top w:val="none" w:sz="0" w:space="0" w:color="auto"/>
        <w:left w:val="none" w:sz="0" w:space="0" w:color="auto"/>
        <w:bottom w:val="none" w:sz="0" w:space="0" w:color="auto"/>
        <w:right w:val="none" w:sz="0" w:space="0" w:color="auto"/>
      </w:divBdr>
    </w:div>
    <w:div w:id="319164939">
      <w:bodyDiv w:val="1"/>
      <w:marLeft w:val="0"/>
      <w:marRight w:val="0"/>
      <w:marTop w:val="0"/>
      <w:marBottom w:val="0"/>
      <w:divBdr>
        <w:top w:val="none" w:sz="0" w:space="0" w:color="auto"/>
        <w:left w:val="none" w:sz="0" w:space="0" w:color="auto"/>
        <w:bottom w:val="none" w:sz="0" w:space="0" w:color="auto"/>
        <w:right w:val="none" w:sz="0" w:space="0" w:color="auto"/>
      </w:divBdr>
    </w:div>
    <w:div w:id="387655631">
      <w:bodyDiv w:val="1"/>
      <w:marLeft w:val="0"/>
      <w:marRight w:val="0"/>
      <w:marTop w:val="0"/>
      <w:marBottom w:val="0"/>
      <w:divBdr>
        <w:top w:val="none" w:sz="0" w:space="0" w:color="auto"/>
        <w:left w:val="none" w:sz="0" w:space="0" w:color="auto"/>
        <w:bottom w:val="none" w:sz="0" w:space="0" w:color="auto"/>
        <w:right w:val="none" w:sz="0" w:space="0" w:color="auto"/>
      </w:divBdr>
      <w:divsChild>
        <w:div w:id="159001830">
          <w:marLeft w:val="3"/>
          <w:marRight w:val="3"/>
          <w:marTop w:val="0"/>
          <w:marBottom w:val="0"/>
          <w:divBdr>
            <w:top w:val="single" w:sz="4" w:space="0" w:color="112449"/>
            <w:left w:val="single" w:sz="4" w:space="0" w:color="112449"/>
            <w:bottom w:val="single" w:sz="4" w:space="0" w:color="112449"/>
            <w:right w:val="single" w:sz="4" w:space="0" w:color="112449"/>
          </w:divBdr>
          <w:divsChild>
            <w:div w:id="25372298">
              <w:marLeft w:val="3"/>
              <w:marRight w:val="3"/>
              <w:marTop w:val="0"/>
              <w:marBottom w:val="0"/>
              <w:divBdr>
                <w:top w:val="single" w:sz="4" w:space="0" w:color="112449"/>
                <w:left w:val="single" w:sz="4" w:space="0" w:color="112449"/>
                <w:bottom w:val="single" w:sz="4" w:space="0" w:color="112449"/>
                <w:right w:val="single" w:sz="4" w:space="0" w:color="112449"/>
              </w:divBdr>
              <w:divsChild>
                <w:div w:id="1975141534">
                  <w:marLeft w:val="3"/>
                  <w:marRight w:val="3"/>
                  <w:marTop w:val="0"/>
                  <w:marBottom w:val="0"/>
                  <w:divBdr>
                    <w:top w:val="single" w:sz="4" w:space="0" w:color="112449"/>
                    <w:left w:val="single" w:sz="4" w:space="0" w:color="112449"/>
                    <w:bottom w:val="single" w:sz="4" w:space="0" w:color="112449"/>
                    <w:right w:val="single" w:sz="4" w:space="0" w:color="112449"/>
                  </w:divBdr>
                </w:div>
              </w:divsChild>
            </w:div>
          </w:divsChild>
        </w:div>
      </w:divsChild>
    </w:div>
    <w:div w:id="407044383">
      <w:bodyDiv w:val="1"/>
      <w:marLeft w:val="0"/>
      <w:marRight w:val="0"/>
      <w:marTop w:val="0"/>
      <w:marBottom w:val="0"/>
      <w:divBdr>
        <w:top w:val="none" w:sz="0" w:space="0" w:color="auto"/>
        <w:left w:val="none" w:sz="0" w:space="0" w:color="auto"/>
        <w:bottom w:val="none" w:sz="0" w:space="0" w:color="auto"/>
        <w:right w:val="none" w:sz="0" w:space="0" w:color="auto"/>
      </w:divBdr>
    </w:div>
    <w:div w:id="418596684">
      <w:bodyDiv w:val="1"/>
      <w:marLeft w:val="0"/>
      <w:marRight w:val="0"/>
      <w:marTop w:val="0"/>
      <w:marBottom w:val="0"/>
      <w:divBdr>
        <w:top w:val="none" w:sz="0" w:space="0" w:color="auto"/>
        <w:left w:val="none" w:sz="0" w:space="0" w:color="auto"/>
        <w:bottom w:val="none" w:sz="0" w:space="0" w:color="auto"/>
        <w:right w:val="none" w:sz="0" w:space="0" w:color="auto"/>
      </w:divBdr>
      <w:divsChild>
        <w:div w:id="573390616">
          <w:marLeft w:val="3"/>
          <w:marRight w:val="3"/>
          <w:marTop w:val="0"/>
          <w:marBottom w:val="0"/>
          <w:divBdr>
            <w:top w:val="single" w:sz="4" w:space="0" w:color="112449"/>
            <w:left w:val="single" w:sz="4" w:space="0" w:color="112449"/>
            <w:bottom w:val="single" w:sz="4" w:space="0" w:color="112449"/>
            <w:right w:val="single" w:sz="4" w:space="0" w:color="112449"/>
          </w:divBdr>
          <w:divsChild>
            <w:div w:id="1443645429">
              <w:marLeft w:val="3"/>
              <w:marRight w:val="3"/>
              <w:marTop w:val="0"/>
              <w:marBottom w:val="0"/>
              <w:divBdr>
                <w:top w:val="single" w:sz="4" w:space="0" w:color="112449"/>
                <w:left w:val="single" w:sz="4" w:space="0" w:color="112449"/>
                <w:bottom w:val="single" w:sz="4" w:space="0" w:color="112449"/>
                <w:right w:val="single" w:sz="4" w:space="0" w:color="112449"/>
              </w:divBdr>
              <w:divsChild>
                <w:div w:id="1997344998">
                  <w:marLeft w:val="3"/>
                  <w:marRight w:val="3"/>
                  <w:marTop w:val="0"/>
                  <w:marBottom w:val="0"/>
                  <w:divBdr>
                    <w:top w:val="single" w:sz="4" w:space="0" w:color="112449"/>
                    <w:left w:val="single" w:sz="4" w:space="0" w:color="112449"/>
                    <w:bottom w:val="single" w:sz="4" w:space="0" w:color="112449"/>
                    <w:right w:val="single" w:sz="4" w:space="0" w:color="112449"/>
                  </w:divBdr>
                </w:div>
              </w:divsChild>
            </w:div>
          </w:divsChild>
        </w:div>
      </w:divsChild>
    </w:div>
    <w:div w:id="429815248">
      <w:bodyDiv w:val="1"/>
      <w:marLeft w:val="0"/>
      <w:marRight w:val="0"/>
      <w:marTop w:val="0"/>
      <w:marBottom w:val="0"/>
      <w:divBdr>
        <w:top w:val="none" w:sz="0" w:space="0" w:color="auto"/>
        <w:left w:val="none" w:sz="0" w:space="0" w:color="auto"/>
        <w:bottom w:val="none" w:sz="0" w:space="0" w:color="auto"/>
        <w:right w:val="none" w:sz="0" w:space="0" w:color="auto"/>
      </w:divBdr>
      <w:divsChild>
        <w:div w:id="533464272">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445973949">
      <w:bodyDiv w:val="1"/>
      <w:marLeft w:val="0"/>
      <w:marRight w:val="0"/>
      <w:marTop w:val="0"/>
      <w:marBottom w:val="0"/>
      <w:divBdr>
        <w:top w:val="none" w:sz="0" w:space="0" w:color="auto"/>
        <w:left w:val="none" w:sz="0" w:space="0" w:color="auto"/>
        <w:bottom w:val="none" w:sz="0" w:space="0" w:color="auto"/>
        <w:right w:val="none" w:sz="0" w:space="0" w:color="auto"/>
      </w:divBdr>
    </w:div>
    <w:div w:id="542642541">
      <w:bodyDiv w:val="1"/>
      <w:marLeft w:val="0"/>
      <w:marRight w:val="0"/>
      <w:marTop w:val="0"/>
      <w:marBottom w:val="0"/>
      <w:divBdr>
        <w:top w:val="none" w:sz="0" w:space="0" w:color="auto"/>
        <w:left w:val="none" w:sz="0" w:space="0" w:color="auto"/>
        <w:bottom w:val="none" w:sz="0" w:space="0" w:color="auto"/>
        <w:right w:val="none" w:sz="0" w:space="0" w:color="auto"/>
      </w:divBdr>
    </w:div>
    <w:div w:id="621809175">
      <w:bodyDiv w:val="1"/>
      <w:marLeft w:val="0"/>
      <w:marRight w:val="0"/>
      <w:marTop w:val="0"/>
      <w:marBottom w:val="0"/>
      <w:divBdr>
        <w:top w:val="none" w:sz="0" w:space="0" w:color="auto"/>
        <w:left w:val="none" w:sz="0" w:space="0" w:color="auto"/>
        <w:bottom w:val="none" w:sz="0" w:space="0" w:color="auto"/>
        <w:right w:val="none" w:sz="0" w:space="0" w:color="auto"/>
      </w:divBdr>
      <w:divsChild>
        <w:div w:id="482547845">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628824475">
      <w:bodyDiv w:val="1"/>
      <w:marLeft w:val="0"/>
      <w:marRight w:val="0"/>
      <w:marTop w:val="0"/>
      <w:marBottom w:val="0"/>
      <w:divBdr>
        <w:top w:val="none" w:sz="0" w:space="0" w:color="auto"/>
        <w:left w:val="none" w:sz="0" w:space="0" w:color="auto"/>
        <w:bottom w:val="none" w:sz="0" w:space="0" w:color="auto"/>
        <w:right w:val="none" w:sz="0" w:space="0" w:color="auto"/>
      </w:divBdr>
    </w:div>
    <w:div w:id="694843974">
      <w:bodyDiv w:val="1"/>
      <w:marLeft w:val="0"/>
      <w:marRight w:val="0"/>
      <w:marTop w:val="0"/>
      <w:marBottom w:val="0"/>
      <w:divBdr>
        <w:top w:val="none" w:sz="0" w:space="0" w:color="auto"/>
        <w:left w:val="none" w:sz="0" w:space="0" w:color="auto"/>
        <w:bottom w:val="none" w:sz="0" w:space="0" w:color="auto"/>
        <w:right w:val="none" w:sz="0" w:space="0" w:color="auto"/>
      </w:divBdr>
    </w:div>
    <w:div w:id="697003969">
      <w:bodyDiv w:val="1"/>
      <w:marLeft w:val="0"/>
      <w:marRight w:val="0"/>
      <w:marTop w:val="0"/>
      <w:marBottom w:val="0"/>
      <w:divBdr>
        <w:top w:val="none" w:sz="0" w:space="0" w:color="auto"/>
        <w:left w:val="none" w:sz="0" w:space="0" w:color="auto"/>
        <w:bottom w:val="none" w:sz="0" w:space="0" w:color="auto"/>
        <w:right w:val="none" w:sz="0" w:space="0" w:color="auto"/>
      </w:divBdr>
      <w:divsChild>
        <w:div w:id="212680296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747456912">
      <w:bodyDiv w:val="1"/>
      <w:marLeft w:val="0"/>
      <w:marRight w:val="0"/>
      <w:marTop w:val="0"/>
      <w:marBottom w:val="0"/>
      <w:divBdr>
        <w:top w:val="none" w:sz="0" w:space="0" w:color="auto"/>
        <w:left w:val="none" w:sz="0" w:space="0" w:color="auto"/>
        <w:bottom w:val="none" w:sz="0" w:space="0" w:color="auto"/>
        <w:right w:val="none" w:sz="0" w:space="0" w:color="auto"/>
      </w:divBdr>
      <w:divsChild>
        <w:div w:id="11857351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768278744">
      <w:bodyDiv w:val="1"/>
      <w:marLeft w:val="0"/>
      <w:marRight w:val="0"/>
      <w:marTop w:val="0"/>
      <w:marBottom w:val="0"/>
      <w:divBdr>
        <w:top w:val="none" w:sz="0" w:space="0" w:color="auto"/>
        <w:left w:val="none" w:sz="0" w:space="0" w:color="auto"/>
        <w:bottom w:val="none" w:sz="0" w:space="0" w:color="auto"/>
        <w:right w:val="none" w:sz="0" w:space="0" w:color="auto"/>
      </w:divBdr>
    </w:div>
    <w:div w:id="829098088">
      <w:bodyDiv w:val="1"/>
      <w:marLeft w:val="0"/>
      <w:marRight w:val="0"/>
      <w:marTop w:val="0"/>
      <w:marBottom w:val="0"/>
      <w:divBdr>
        <w:top w:val="none" w:sz="0" w:space="0" w:color="auto"/>
        <w:left w:val="none" w:sz="0" w:space="0" w:color="auto"/>
        <w:bottom w:val="none" w:sz="0" w:space="0" w:color="auto"/>
        <w:right w:val="none" w:sz="0" w:space="0" w:color="auto"/>
      </w:divBdr>
      <w:divsChild>
        <w:div w:id="767114005">
          <w:marLeft w:val="0"/>
          <w:marRight w:val="0"/>
          <w:marTop w:val="0"/>
          <w:marBottom w:val="0"/>
          <w:divBdr>
            <w:top w:val="none" w:sz="0" w:space="0" w:color="auto"/>
            <w:left w:val="none" w:sz="0" w:space="0" w:color="auto"/>
            <w:bottom w:val="none" w:sz="0" w:space="0" w:color="auto"/>
            <w:right w:val="none" w:sz="0" w:space="0" w:color="auto"/>
          </w:divBdr>
        </w:div>
      </w:divsChild>
    </w:div>
    <w:div w:id="840658403">
      <w:bodyDiv w:val="1"/>
      <w:marLeft w:val="0"/>
      <w:marRight w:val="0"/>
      <w:marTop w:val="0"/>
      <w:marBottom w:val="0"/>
      <w:divBdr>
        <w:top w:val="none" w:sz="0" w:space="0" w:color="auto"/>
        <w:left w:val="none" w:sz="0" w:space="0" w:color="auto"/>
        <w:bottom w:val="none" w:sz="0" w:space="0" w:color="auto"/>
        <w:right w:val="none" w:sz="0" w:space="0" w:color="auto"/>
      </w:divBdr>
    </w:div>
    <w:div w:id="892736443">
      <w:bodyDiv w:val="1"/>
      <w:marLeft w:val="0"/>
      <w:marRight w:val="0"/>
      <w:marTop w:val="0"/>
      <w:marBottom w:val="0"/>
      <w:divBdr>
        <w:top w:val="none" w:sz="0" w:space="0" w:color="auto"/>
        <w:left w:val="none" w:sz="0" w:space="0" w:color="auto"/>
        <w:bottom w:val="none" w:sz="0" w:space="0" w:color="auto"/>
        <w:right w:val="none" w:sz="0" w:space="0" w:color="auto"/>
      </w:divBdr>
    </w:div>
    <w:div w:id="898900617">
      <w:bodyDiv w:val="1"/>
      <w:marLeft w:val="0"/>
      <w:marRight w:val="0"/>
      <w:marTop w:val="0"/>
      <w:marBottom w:val="0"/>
      <w:divBdr>
        <w:top w:val="none" w:sz="0" w:space="0" w:color="auto"/>
        <w:left w:val="none" w:sz="0" w:space="0" w:color="auto"/>
        <w:bottom w:val="none" w:sz="0" w:space="0" w:color="auto"/>
        <w:right w:val="none" w:sz="0" w:space="0" w:color="auto"/>
      </w:divBdr>
    </w:div>
    <w:div w:id="929387318">
      <w:bodyDiv w:val="1"/>
      <w:marLeft w:val="0"/>
      <w:marRight w:val="0"/>
      <w:marTop w:val="0"/>
      <w:marBottom w:val="0"/>
      <w:divBdr>
        <w:top w:val="none" w:sz="0" w:space="0" w:color="auto"/>
        <w:left w:val="none" w:sz="0" w:space="0" w:color="auto"/>
        <w:bottom w:val="none" w:sz="0" w:space="0" w:color="auto"/>
        <w:right w:val="none" w:sz="0" w:space="0" w:color="auto"/>
      </w:divBdr>
      <w:divsChild>
        <w:div w:id="1909731660">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970860160">
      <w:bodyDiv w:val="1"/>
      <w:marLeft w:val="0"/>
      <w:marRight w:val="0"/>
      <w:marTop w:val="0"/>
      <w:marBottom w:val="0"/>
      <w:divBdr>
        <w:top w:val="none" w:sz="0" w:space="0" w:color="auto"/>
        <w:left w:val="none" w:sz="0" w:space="0" w:color="auto"/>
        <w:bottom w:val="none" w:sz="0" w:space="0" w:color="auto"/>
        <w:right w:val="none" w:sz="0" w:space="0" w:color="auto"/>
      </w:divBdr>
    </w:div>
    <w:div w:id="1107697805">
      <w:bodyDiv w:val="1"/>
      <w:marLeft w:val="0"/>
      <w:marRight w:val="0"/>
      <w:marTop w:val="0"/>
      <w:marBottom w:val="0"/>
      <w:divBdr>
        <w:top w:val="none" w:sz="0" w:space="0" w:color="auto"/>
        <w:left w:val="none" w:sz="0" w:space="0" w:color="auto"/>
        <w:bottom w:val="none" w:sz="0" w:space="0" w:color="auto"/>
        <w:right w:val="none" w:sz="0" w:space="0" w:color="auto"/>
      </w:divBdr>
      <w:divsChild>
        <w:div w:id="36201918">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174802298">
      <w:bodyDiv w:val="1"/>
      <w:marLeft w:val="0"/>
      <w:marRight w:val="0"/>
      <w:marTop w:val="0"/>
      <w:marBottom w:val="0"/>
      <w:divBdr>
        <w:top w:val="none" w:sz="0" w:space="0" w:color="auto"/>
        <w:left w:val="none" w:sz="0" w:space="0" w:color="auto"/>
        <w:bottom w:val="none" w:sz="0" w:space="0" w:color="auto"/>
        <w:right w:val="none" w:sz="0" w:space="0" w:color="auto"/>
      </w:divBdr>
    </w:div>
    <w:div w:id="1176766611">
      <w:bodyDiv w:val="1"/>
      <w:marLeft w:val="0"/>
      <w:marRight w:val="0"/>
      <w:marTop w:val="0"/>
      <w:marBottom w:val="0"/>
      <w:divBdr>
        <w:top w:val="none" w:sz="0" w:space="0" w:color="auto"/>
        <w:left w:val="none" w:sz="0" w:space="0" w:color="auto"/>
        <w:bottom w:val="none" w:sz="0" w:space="0" w:color="auto"/>
        <w:right w:val="none" w:sz="0" w:space="0" w:color="auto"/>
      </w:divBdr>
      <w:divsChild>
        <w:div w:id="62790523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277717360">
      <w:bodyDiv w:val="1"/>
      <w:marLeft w:val="223"/>
      <w:marRight w:val="223"/>
      <w:marTop w:val="0"/>
      <w:marBottom w:val="0"/>
      <w:divBdr>
        <w:top w:val="none" w:sz="0" w:space="0" w:color="auto"/>
        <w:left w:val="none" w:sz="0" w:space="0" w:color="auto"/>
        <w:bottom w:val="none" w:sz="0" w:space="0" w:color="auto"/>
        <w:right w:val="none" w:sz="0" w:space="0" w:color="auto"/>
      </w:divBdr>
      <w:divsChild>
        <w:div w:id="271979356">
          <w:marLeft w:val="0"/>
          <w:marRight w:val="0"/>
          <w:marTop w:val="0"/>
          <w:marBottom w:val="0"/>
          <w:divBdr>
            <w:top w:val="none" w:sz="0" w:space="0" w:color="auto"/>
            <w:left w:val="none" w:sz="0" w:space="0" w:color="auto"/>
            <w:bottom w:val="none" w:sz="0" w:space="0" w:color="auto"/>
            <w:right w:val="none" w:sz="0" w:space="0" w:color="auto"/>
          </w:divBdr>
        </w:div>
      </w:divsChild>
    </w:div>
    <w:div w:id="1287202156">
      <w:bodyDiv w:val="1"/>
      <w:marLeft w:val="0"/>
      <w:marRight w:val="0"/>
      <w:marTop w:val="0"/>
      <w:marBottom w:val="0"/>
      <w:divBdr>
        <w:top w:val="none" w:sz="0" w:space="0" w:color="auto"/>
        <w:left w:val="none" w:sz="0" w:space="0" w:color="auto"/>
        <w:bottom w:val="none" w:sz="0" w:space="0" w:color="auto"/>
        <w:right w:val="none" w:sz="0" w:space="0" w:color="auto"/>
      </w:divBdr>
    </w:div>
    <w:div w:id="1288974027">
      <w:bodyDiv w:val="1"/>
      <w:marLeft w:val="0"/>
      <w:marRight w:val="0"/>
      <w:marTop w:val="0"/>
      <w:marBottom w:val="0"/>
      <w:divBdr>
        <w:top w:val="none" w:sz="0" w:space="0" w:color="auto"/>
        <w:left w:val="none" w:sz="0" w:space="0" w:color="auto"/>
        <w:bottom w:val="none" w:sz="0" w:space="0" w:color="auto"/>
        <w:right w:val="none" w:sz="0" w:space="0" w:color="auto"/>
      </w:divBdr>
    </w:div>
    <w:div w:id="1290934320">
      <w:bodyDiv w:val="1"/>
      <w:marLeft w:val="0"/>
      <w:marRight w:val="0"/>
      <w:marTop w:val="0"/>
      <w:marBottom w:val="0"/>
      <w:divBdr>
        <w:top w:val="none" w:sz="0" w:space="0" w:color="auto"/>
        <w:left w:val="none" w:sz="0" w:space="0" w:color="auto"/>
        <w:bottom w:val="none" w:sz="0" w:space="0" w:color="auto"/>
        <w:right w:val="none" w:sz="0" w:space="0" w:color="auto"/>
      </w:divBdr>
    </w:div>
    <w:div w:id="1294940375">
      <w:bodyDiv w:val="1"/>
      <w:marLeft w:val="0"/>
      <w:marRight w:val="0"/>
      <w:marTop w:val="0"/>
      <w:marBottom w:val="0"/>
      <w:divBdr>
        <w:top w:val="none" w:sz="0" w:space="0" w:color="auto"/>
        <w:left w:val="none" w:sz="0" w:space="0" w:color="auto"/>
        <w:bottom w:val="none" w:sz="0" w:space="0" w:color="auto"/>
        <w:right w:val="none" w:sz="0" w:space="0" w:color="auto"/>
      </w:divBdr>
      <w:divsChild>
        <w:div w:id="2008366059">
          <w:marLeft w:val="0"/>
          <w:marRight w:val="0"/>
          <w:marTop w:val="0"/>
          <w:marBottom w:val="0"/>
          <w:divBdr>
            <w:top w:val="none" w:sz="0" w:space="0" w:color="auto"/>
            <w:left w:val="none" w:sz="0" w:space="0" w:color="auto"/>
            <w:bottom w:val="none" w:sz="0" w:space="0" w:color="auto"/>
            <w:right w:val="none" w:sz="0" w:space="0" w:color="auto"/>
          </w:divBdr>
        </w:div>
        <w:div w:id="926958350">
          <w:marLeft w:val="0"/>
          <w:marRight w:val="0"/>
          <w:marTop w:val="0"/>
          <w:marBottom w:val="0"/>
          <w:divBdr>
            <w:top w:val="none" w:sz="0" w:space="0" w:color="auto"/>
            <w:left w:val="none" w:sz="0" w:space="0" w:color="auto"/>
            <w:bottom w:val="none" w:sz="0" w:space="0" w:color="auto"/>
            <w:right w:val="none" w:sz="0" w:space="0" w:color="auto"/>
          </w:divBdr>
        </w:div>
        <w:div w:id="1464737216">
          <w:marLeft w:val="0"/>
          <w:marRight w:val="0"/>
          <w:marTop w:val="0"/>
          <w:marBottom w:val="0"/>
          <w:divBdr>
            <w:top w:val="none" w:sz="0" w:space="0" w:color="auto"/>
            <w:left w:val="none" w:sz="0" w:space="0" w:color="auto"/>
            <w:bottom w:val="none" w:sz="0" w:space="0" w:color="auto"/>
            <w:right w:val="none" w:sz="0" w:space="0" w:color="auto"/>
          </w:divBdr>
        </w:div>
      </w:divsChild>
    </w:div>
    <w:div w:id="1298147874">
      <w:bodyDiv w:val="1"/>
      <w:marLeft w:val="0"/>
      <w:marRight w:val="0"/>
      <w:marTop w:val="0"/>
      <w:marBottom w:val="0"/>
      <w:divBdr>
        <w:top w:val="none" w:sz="0" w:space="0" w:color="auto"/>
        <w:left w:val="none" w:sz="0" w:space="0" w:color="auto"/>
        <w:bottom w:val="none" w:sz="0" w:space="0" w:color="auto"/>
        <w:right w:val="none" w:sz="0" w:space="0" w:color="auto"/>
      </w:divBdr>
      <w:divsChild>
        <w:div w:id="180434992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395350210">
      <w:bodyDiv w:val="1"/>
      <w:marLeft w:val="0"/>
      <w:marRight w:val="0"/>
      <w:marTop w:val="0"/>
      <w:marBottom w:val="0"/>
      <w:divBdr>
        <w:top w:val="none" w:sz="0" w:space="0" w:color="auto"/>
        <w:left w:val="none" w:sz="0" w:space="0" w:color="auto"/>
        <w:bottom w:val="none" w:sz="0" w:space="0" w:color="auto"/>
        <w:right w:val="none" w:sz="0" w:space="0" w:color="auto"/>
      </w:divBdr>
    </w:div>
    <w:div w:id="1487744462">
      <w:bodyDiv w:val="1"/>
      <w:marLeft w:val="0"/>
      <w:marRight w:val="0"/>
      <w:marTop w:val="0"/>
      <w:marBottom w:val="0"/>
      <w:divBdr>
        <w:top w:val="none" w:sz="0" w:space="0" w:color="auto"/>
        <w:left w:val="none" w:sz="0" w:space="0" w:color="auto"/>
        <w:bottom w:val="none" w:sz="0" w:space="0" w:color="auto"/>
        <w:right w:val="none" w:sz="0" w:space="0" w:color="auto"/>
      </w:divBdr>
    </w:div>
    <w:div w:id="1526942806">
      <w:bodyDiv w:val="1"/>
      <w:marLeft w:val="0"/>
      <w:marRight w:val="0"/>
      <w:marTop w:val="0"/>
      <w:marBottom w:val="0"/>
      <w:divBdr>
        <w:top w:val="none" w:sz="0" w:space="0" w:color="auto"/>
        <w:left w:val="none" w:sz="0" w:space="0" w:color="auto"/>
        <w:bottom w:val="none" w:sz="0" w:space="0" w:color="auto"/>
        <w:right w:val="none" w:sz="0" w:space="0" w:color="auto"/>
      </w:divBdr>
    </w:div>
    <w:div w:id="1527058097">
      <w:bodyDiv w:val="1"/>
      <w:marLeft w:val="0"/>
      <w:marRight w:val="0"/>
      <w:marTop w:val="0"/>
      <w:marBottom w:val="0"/>
      <w:divBdr>
        <w:top w:val="none" w:sz="0" w:space="0" w:color="auto"/>
        <w:left w:val="none" w:sz="0" w:space="0" w:color="auto"/>
        <w:bottom w:val="none" w:sz="0" w:space="0" w:color="auto"/>
        <w:right w:val="none" w:sz="0" w:space="0" w:color="auto"/>
      </w:divBdr>
    </w:div>
    <w:div w:id="1577012547">
      <w:bodyDiv w:val="1"/>
      <w:marLeft w:val="0"/>
      <w:marRight w:val="0"/>
      <w:marTop w:val="0"/>
      <w:marBottom w:val="0"/>
      <w:divBdr>
        <w:top w:val="none" w:sz="0" w:space="0" w:color="auto"/>
        <w:left w:val="none" w:sz="0" w:space="0" w:color="auto"/>
        <w:bottom w:val="none" w:sz="0" w:space="0" w:color="auto"/>
        <w:right w:val="none" w:sz="0" w:space="0" w:color="auto"/>
      </w:divBdr>
      <w:divsChild>
        <w:div w:id="387729025">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605307778">
      <w:bodyDiv w:val="1"/>
      <w:marLeft w:val="0"/>
      <w:marRight w:val="0"/>
      <w:marTop w:val="0"/>
      <w:marBottom w:val="0"/>
      <w:divBdr>
        <w:top w:val="none" w:sz="0" w:space="0" w:color="auto"/>
        <w:left w:val="none" w:sz="0" w:space="0" w:color="auto"/>
        <w:bottom w:val="none" w:sz="0" w:space="0" w:color="auto"/>
        <w:right w:val="none" w:sz="0" w:space="0" w:color="auto"/>
      </w:divBdr>
      <w:divsChild>
        <w:div w:id="928200644">
          <w:marLeft w:val="3"/>
          <w:marRight w:val="3"/>
          <w:marTop w:val="0"/>
          <w:marBottom w:val="0"/>
          <w:divBdr>
            <w:top w:val="single" w:sz="4" w:space="0" w:color="112449"/>
            <w:left w:val="single" w:sz="4" w:space="0" w:color="112449"/>
            <w:bottom w:val="single" w:sz="4" w:space="0" w:color="112449"/>
            <w:right w:val="single" w:sz="4" w:space="0" w:color="112449"/>
          </w:divBdr>
          <w:divsChild>
            <w:div w:id="833060437">
              <w:marLeft w:val="3"/>
              <w:marRight w:val="3"/>
              <w:marTop w:val="0"/>
              <w:marBottom w:val="0"/>
              <w:divBdr>
                <w:top w:val="single" w:sz="4" w:space="0" w:color="112449"/>
                <w:left w:val="single" w:sz="4" w:space="0" w:color="112449"/>
                <w:bottom w:val="single" w:sz="4" w:space="0" w:color="112449"/>
                <w:right w:val="single" w:sz="4" w:space="0" w:color="112449"/>
              </w:divBdr>
              <w:divsChild>
                <w:div w:id="429278684">
                  <w:marLeft w:val="3"/>
                  <w:marRight w:val="3"/>
                  <w:marTop w:val="0"/>
                  <w:marBottom w:val="0"/>
                  <w:divBdr>
                    <w:top w:val="single" w:sz="4" w:space="0" w:color="112449"/>
                    <w:left w:val="single" w:sz="4" w:space="0" w:color="112449"/>
                    <w:bottom w:val="single" w:sz="4" w:space="0" w:color="112449"/>
                    <w:right w:val="single" w:sz="4" w:space="0" w:color="112449"/>
                  </w:divBdr>
                </w:div>
              </w:divsChild>
            </w:div>
          </w:divsChild>
        </w:div>
      </w:divsChild>
    </w:div>
    <w:div w:id="1702247280">
      <w:bodyDiv w:val="1"/>
      <w:marLeft w:val="0"/>
      <w:marRight w:val="0"/>
      <w:marTop w:val="0"/>
      <w:marBottom w:val="0"/>
      <w:divBdr>
        <w:top w:val="none" w:sz="0" w:space="0" w:color="auto"/>
        <w:left w:val="none" w:sz="0" w:space="0" w:color="auto"/>
        <w:bottom w:val="none" w:sz="0" w:space="0" w:color="auto"/>
        <w:right w:val="none" w:sz="0" w:space="0" w:color="auto"/>
      </w:divBdr>
      <w:divsChild>
        <w:div w:id="835078448">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752005628">
      <w:bodyDiv w:val="1"/>
      <w:marLeft w:val="0"/>
      <w:marRight w:val="0"/>
      <w:marTop w:val="0"/>
      <w:marBottom w:val="0"/>
      <w:divBdr>
        <w:top w:val="none" w:sz="0" w:space="0" w:color="auto"/>
        <w:left w:val="none" w:sz="0" w:space="0" w:color="auto"/>
        <w:bottom w:val="none" w:sz="0" w:space="0" w:color="auto"/>
        <w:right w:val="none" w:sz="0" w:space="0" w:color="auto"/>
      </w:divBdr>
    </w:div>
    <w:div w:id="1774203954">
      <w:bodyDiv w:val="1"/>
      <w:marLeft w:val="0"/>
      <w:marRight w:val="0"/>
      <w:marTop w:val="0"/>
      <w:marBottom w:val="0"/>
      <w:divBdr>
        <w:top w:val="none" w:sz="0" w:space="0" w:color="auto"/>
        <w:left w:val="none" w:sz="0" w:space="0" w:color="auto"/>
        <w:bottom w:val="none" w:sz="0" w:space="0" w:color="auto"/>
        <w:right w:val="none" w:sz="0" w:space="0" w:color="auto"/>
      </w:divBdr>
      <w:divsChild>
        <w:div w:id="1732118488">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831366808">
      <w:bodyDiv w:val="1"/>
      <w:marLeft w:val="0"/>
      <w:marRight w:val="0"/>
      <w:marTop w:val="0"/>
      <w:marBottom w:val="0"/>
      <w:divBdr>
        <w:top w:val="none" w:sz="0" w:space="0" w:color="auto"/>
        <w:left w:val="none" w:sz="0" w:space="0" w:color="auto"/>
        <w:bottom w:val="none" w:sz="0" w:space="0" w:color="auto"/>
        <w:right w:val="none" w:sz="0" w:space="0" w:color="auto"/>
      </w:divBdr>
    </w:div>
    <w:div w:id="1868178191">
      <w:bodyDiv w:val="1"/>
      <w:marLeft w:val="0"/>
      <w:marRight w:val="0"/>
      <w:marTop w:val="0"/>
      <w:marBottom w:val="0"/>
      <w:divBdr>
        <w:top w:val="none" w:sz="0" w:space="0" w:color="auto"/>
        <w:left w:val="none" w:sz="0" w:space="0" w:color="auto"/>
        <w:bottom w:val="none" w:sz="0" w:space="0" w:color="auto"/>
        <w:right w:val="none" w:sz="0" w:space="0" w:color="auto"/>
      </w:divBdr>
    </w:div>
    <w:div w:id="1875803195">
      <w:bodyDiv w:val="1"/>
      <w:marLeft w:val="0"/>
      <w:marRight w:val="0"/>
      <w:marTop w:val="0"/>
      <w:marBottom w:val="0"/>
      <w:divBdr>
        <w:top w:val="none" w:sz="0" w:space="0" w:color="auto"/>
        <w:left w:val="none" w:sz="0" w:space="0" w:color="auto"/>
        <w:bottom w:val="none" w:sz="0" w:space="0" w:color="auto"/>
        <w:right w:val="none" w:sz="0" w:space="0" w:color="auto"/>
      </w:divBdr>
      <w:divsChild>
        <w:div w:id="318387990">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897667378">
      <w:bodyDiv w:val="1"/>
      <w:marLeft w:val="0"/>
      <w:marRight w:val="0"/>
      <w:marTop w:val="0"/>
      <w:marBottom w:val="0"/>
      <w:divBdr>
        <w:top w:val="none" w:sz="0" w:space="0" w:color="auto"/>
        <w:left w:val="none" w:sz="0" w:space="0" w:color="auto"/>
        <w:bottom w:val="none" w:sz="0" w:space="0" w:color="auto"/>
        <w:right w:val="none" w:sz="0" w:space="0" w:color="auto"/>
      </w:divBdr>
    </w:div>
    <w:div w:id="1970160739">
      <w:bodyDiv w:val="1"/>
      <w:marLeft w:val="0"/>
      <w:marRight w:val="0"/>
      <w:marTop w:val="0"/>
      <w:marBottom w:val="0"/>
      <w:divBdr>
        <w:top w:val="none" w:sz="0" w:space="0" w:color="auto"/>
        <w:left w:val="none" w:sz="0" w:space="0" w:color="auto"/>
        <w:bottom w:val="none" w:sz="0" w:space="0" w:color="auto"/>
        <w:right w:val="none" w:sz="0" w:space="0" w:color="auto"/>
      </w:divBdr>
      <w:divsChild>
        <w:div w:id="816410408">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983847955">
      <w:bodyDiv w:val="1"/>
      <w:marLeft w:val="0"/>
      <w:marRight w:val="0"/>
      <w:marTop w:val="0"/>
      <w:marBottom w:val="0"/>
      <w:divBdr>
        <w:top w:val="none" w:sz="0" w:space="0" w:color="auto"/>
        <w:left w:val="none" w:sz="0" w:space="0" w:color="auto"/>
        <w:bottom w:val="none" w:sz="0" w:space="0" w:color="auto"/>
        <w:right w:val="none" w:sz="0" w:space="0" w:color="auto"/>
      </w:divBdr>
    </w:div>
    <w:div w:id="2025936948">
      <w:bodyDiv w:val="1"/>
      <w:marLeft w:val="0"/>
      <w:marRight w:val="0"/>
      <w:marTop w:val="0"/>
      <w:marBottom w:val="0"/>
      <w:divBdr>
        <w:top w:val="none" w:sz="0" w:space="0" w:color="auto"/>
        <w:left w:val="none" w:sz="0" w:space="0" w:color="auto"/>
        <w:bottom w:val="none" w:sz="0" w:space="0" w:color="auto"/>
        <w:right w:val="none" w:sz="0" w:space="0" w:color="auto"/>
      </w:divBdr>
    </w:div>
    <w:div w:id="2091190588">
      <w:bodyDiv w:val="1"/>
      <w:marLeft w:val="0"/>
      <w:marRight w:val="0"/>
      <w:marTop w:val="0"/>
      <w:marBottom w:val="0"/>
      <w:divBdr>
        <w:top w:val="none" w:sz="0" w:space="0" w:color="auto"/>
        <w:left w:val="none" w:sz="0" w:space="0" w:color="auto"/>
        <w:bottom w:val="none" w:sz="0" w:space="0" w:color="auto"/>
        <w:right w:val="none" w:sz="0" w:space="0" w:color="auto"/>
      </w:divBdr>
    </w:div>
    <w:div w:id="2122991644">
      <w:bodyDiv w:val="1"/>
      <w:marLeft w:val="0"/>
      <w:marRight w:val="0"/>
      <w:marTop w:val="0"/>
      <w:marBottom w:val="0"/>
      <w:divBdr>
        <w:top w:val="none" w:sz="0" w:space="0" w:color="auto"/>
        <w:left w:val="none" w:sz="0" w:space="0" w:color="auto"/>
        <w:bottom w:val="none" w:sz="0" w:space="0" w:color="auto"/>
        <w:right w:val="none" w:sz="0" w:space="0" w:color="auto"/>
      </w:divBdr>
    </w:div>
    <w:div w:id="214519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ACE4EDB046710498508FFDAC518E0C3" ma:contentTypeVersion="10" ma:contentTypeDescription="Kurkite naują dokumentą." ma:contentTypeScope="" ma:versionID="0ed17a8008feb2578184f45c12166411">
  <xsd:schema xmlns:xsd="http://www.w3.org/2001/XMLSchema" xmlns:xs="http://www.w3.org/2001/XMLSchema" xmlns:p="http://schemas.microsoft.com/office/2006/metadata/properties" xmlns:ns3="0f2d233e-5e21-4e29-91b1-9fb330271489" xmlns:ns4="bb015fb8-b812-438c-864a-626a01cc84fb" targetNamespace="http://schemas.microsoft.com/office/2006/metadata/properties" ma:root="true" ma:fieldsID="c0fded709206d4455563a9b55dac4505" ns3:_="" ns4:_="">
    <xsd:import namespace="0f2d233e-5e21-4e29-91b1-9fb330271489"/>
    <xsd:import namespace="bb015fb8-b812-438c-864a-626a01cc84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d233e-5e21-4e29-91b1-9fb330271489"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15fb8-b812-438c-864a-626a01cc84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9B1DB-3DAB-491C-BC82-9F0B2064B7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69AF71-E190-4883-BB26-582B55F92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d233e-5e21-4e29-91b1-9fb330271489"/>
    <ds:schemaRef ds:uri="bb015fb8-b812-438c-864a-626a01cc8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372BE6-5E93-45D0-A62B-57D202FA5B36}">
  <ds:schemaRefs>
    <ds:schemaRef ds:uri="http://schemas.microsoft.com/sharepoint/v3/contenttype/forms"/>
  </ds:schemaRefs>
</ds:datastoreItem>
</file>

<file path=customXml/itemProps4.xml><?xml version="1.0" encoding="utf-8"?>
<ds:datastoreItem xmlns:ds="http://schemas.openxmlformats.org/officeDocument/2006/customXml" ds:itemID="{E61ACD88-EDDE-4CEA-89F2-1D4A81948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5428</Words>
  <Characters>3095</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DIREKTYVŲ (KITŲ ES TEISĖS AKTŲ) IR LIETUVOS RESPUBLIKOS</vt:lpstr>
    </vt:vector>
  </TitlesOfParts>
  <Company>LR Finansų ministerija</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2020-04-15T06:17:00Z</dcterms:created>
  <dc:creator>FM</dc:creator>
  <cp:lastModifiedBy>Sandra Romienė</cp:lastModifiedBy>
  <cp:lastPrinted>2010-06-10T11:49:00Z</cp:lastPrinted>
  <dcterms:modified xsi:type="dcterms:W3CDTF">2020-04-15T06:22:00Z</dcterms:modified>
  <cp:revision>10</cp:revision>
  <dc:title>DIREKTYVŲ (KITŲ ES TEISĖS AKTŲ) IR 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0x010100DACE4EDB046710498508FFDAC518E0C3</vt:lpwstr>
  </property>
</Properties>
</file>