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37D41" w14:textId="77777777" w:rsidR="00D035E5" w:rsidRPr="00FB3FC7" w:rsidRDefault="00D035E5" w:rsidP="00D035E5">
      <w:pPr>
        <w:widowControl/>
        <w:adjustRightInd w:val="0"/>
        <w:ind w:left="10368"/>
        <w:rPr>
          <w:rFonts w:eastAsiaTheme="minorHAnsi"/>
          <w:sz w:val="24"/>
          <w:szCs w:val="24"/>
          <w:lang w:val="lt-LT"/>
        </w:rPr>
      </w:pPr>
      <w:bookmarkStart w:id="0" w:name="_GoBack"/>
      <w:bookmarkEnd w:id="0"/>
      <w:r w:rsidRPr="00FB3FC7">
        <w:rPr>
          <w:rFonts w:eastAsiaTheme="minorHAnsi"/>
          <w:sz w:val="24"/>
          <w:szCs w:val="24"/>
          <w:lang w:val="lt-LT"/>
        </w:rPr>
        <w:t>Lietuvos Respublikos Vyriausybės</w:t>
      </w:r>
    </w:p>
    <w:p w14:paraId="71A8DCC9" w14:textId="77777777" w:rsidR="00D035E5" w:rsidRPr="00FB3FC7" w:rsidRDefault="00D035E5" w:rsidP="00D035E5">
      <w:pPr>
        <w:widowControl/>
        <w:adjustRightInd w:val="0"/>
        <w:ind w:left="10368"/>
        <w:rPr>
          <w:rFonts w:eastAsiaTheme="minorHAnsi"/>
          <w:sz w:val="24"/>
          <w:szCs w:val="24"/>
          <w:lang w:val="lt-LT"/>
        </w:rPr>
      </w:pPr>
      <w:r w:rsidRPr="00FB3FC7">
        <w:rPr>
          <w:rFonts w:eastAsiaTheme="minorHAnsi"/>
          <w:sz w:val="24"/>
          <w:szCs w:val="24"/>
          <w:lang w:val="lt-LT"/>
        </w:rPr>
        <w:t>20</w:t>
      </w:r>
      <w:r w:rsidR="004430F2" w:rsidRPr="00FB3FC7">
        <w:rPr>
          <w:rFonts w:eastAsiaTheme="minorHAnsi"/>
          <w:sz w:val="24"/>
          <w:szCs w:val="24"/>
          <w:lang w:val="lt-LT"/>
        </w:rPr>
        <w:t>20</w:t>
      </w:r>
      <w:r w:rsidRPr="00FB3FC7">
        <w:rPr>
          <w:rFonts w:eastAsiaTheme="minorHAnsi"/>
          <w:sz w:val="24"/>
          <w:szCs w:val="24"/>
          <w:lang w:val="lt-LT"/>
        </w:rPr>
        <w:t xml:space="preserve"> m. </w:t>
      </w:r>
      <w:r w:rsidR="001D0C26" w:rsidRPr="00FB3FC7">
        <w:rPr>
          <w:rFonts w:eastAsiaTheme="minorHAnsi"/>
          <w:sz w:val="24"/>
          <w:szCs w:val="24"/>
          <w:lang w:val="lt-LT"/>
        </w:rPr>
        <w:t xml:space="preserve">                </w:t>
      </w:r>
      <w:r w:rsidRPr="00FB3FC7">
        <w:rPr>
          <w:rFonts w:eastAsiaTheme="minorHAnsi"/>
          <w:sz w:val="24"/>
          <w:szCs w:val="24"/>
          <w:lang w:val="lt-LT"/>
        </w:rPr>
        <w:t>d. pasitarimo sprendimo</w:t>
      </w:r>
    </w:p>
    <w:p w14:paraId="762AF15E" w14:textId="77777777" w:rsidR="00D035E5" w:rsidRPr="00FB3FC7" w:rsidRDefault="00D035E5" w:rsidP="00D035E5">
      <w:pPr>
        <w:widowControl/>
        <w:adjustRightInd w:val="0"/>
        <w:ind w:left="10368"/>
        <w:rPr>
          <w:rFonts w:eastAsiaTheme="minorHAnsi"/>
          <w:sz w:val="24"/>
          <w:szCs w:val="24"/>
          <w:lang w:val="lt-LT"/>
        </w:rPr>
      </w:pPr>
      <w:r w:rsidRPr="00FB3FC7">
        <w:rPr>
          <w:rFonts w:eastAsiaTheme="minorHAnsi"/>
          <w:sz w:val="24"/>
          <w:szCs w:val="24"/>
          <w:lang w:val="lt-LT"/>
        </w:rPr>
        <w:t>(protokolo Nr.                      )</w:t>
      </w:r>
    </w:p>
    <w:p w14:paraId="687AA825" w14:textId="77777777" w:rsidR="00D035E5" w:rsidRPr="00FB3FC7" w:rsidRDefault="00D035E5" w:rsidP="00D035E5">
      <w:pPr>
        <w:widowControl/>
        <w:adjustRightInd w:val="0"/>
        <w:ind w:left="10368"/>
        <w:rPr>
          <w:rFonts w:eastAsiaTheme="minorHAnsi"/>
          <w:sz w:val="24"/>
          <w:szCs w:val="24"/>
          <w:lang w:val="lt-LT"/>
        </w:rPr>
      </w:pPr>
      <w:r w:rsidRPr="00FB3FC7">
        <w:rPr>
          <w:rFonts w:eastAsiaTheme="minorHAnsi"/>
          <w:sz w:val="24"/>
          <w:szCs w:val="24"/>
          <w:lang w:val="lt-LT"/>
        </w:rPr>
        <w:t>priedas</w:t>
      </w:r>
    </w:p>
    <w:p w14:paraId="44917D2A" w14:textId="1153FB65" w:rsidR="00C7683B" w:rsidRPr="00FB3FC7" w:rsidRDefault="001D0C26" w:rsidP="00D035E5">
      <w:pPr>
        <w:pStyle w:val="linija"/>
        <w:jc w:val="center"/>
        <w:rPr>
          <w:b/>
        </w:rPr>
      </w:pPr>
      <w:r w:rsidRPr="00FB3FC7">
        <w:rPr>
          <w:b/>
        </w:rPr>
        <w:t>Vilniaus universiteto Šiaulių akademijos</w:t>
      </w:r>
      <w:r w:rsidR="00C7683B" w:rsidRPr="00FB3FC7">
        <w:rPr>
          <w:b/>
        </w:rPr>
        <w:t xml:space="preserve"> </w:t>
      </w:r>
      <w:r w:rsidRPr="00FB3FC7">
        <w:rPr>
          <w:b/>
          <w:color w:val="000000"/>
        </w:rPr>
        <w:t xml:space="preserve">vystymo studijų, mokslo ir meno srityse perspektyva ir finansavimas </w:t>
      </w:r>
      <w:r w:rsidRPr="00FB3FC7">
        <w:rPr>
          <w:b/>
        </w:rPr>
        <w:t>2020–202</w:t>
      </w:r>
      <w:r w:rsidR="00CE0B3F">
        <w:rPr>
          <w:b/>
          <w:lang w:val="en-US"/>
        </w:rPr>
        <w:t>4</w:t>
      </w:r>
      <w:r w:rsidRPr="00FB3FC7">
        <w:rPr>
          <w:b/>
        </w:rPr>
        <w:t xml:space="preserve"> </w:t>
      </w:r>
      <w:r w:rsidRPr="00FB3FC7">
        <w:rPr>
          <w:b/>
          <w:color w:val="000000"/>
        </w:rPr>
        <w:t>m.</w:t>
      </w:r>
      <w:r w:rsidRPr="00FB3FC7">
        <w:rPr>
          <w:color w:val="000000"/>
        </w:rPr>
        <w:t xml:space="preserve"> </w:t>
      </w:r>
    </w:p>
    <w:tbl>
      <w:tblPr>
        <w:tblStyle w:val="TableNormal1"/>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701"/>
        <w:gridCol w:w="1417"/>
        <w:gridCol w:w="2552"/>
        <w:gridCol w:w="1134"/>
        <w:gridCol w:w="4394"/>
      </w:tblGrid>
      <w:tr w:rsidR="00B72876" w:rsidRPr="00FB3FC7" w14:paraId="27DE68E7" w14:textId="77777777" w:rsidTr="002B6E83">
        <w:trPr>
          <w:trHeight w:val="480"/>
        </w:trPr>
        <w:tc>
          <w:tcPr>
            <w:tcW w:w="3686" w:type="dxa"/>
            <w:vMerge w:val="restart"/>
            <w:shd w:val="clear" w:color="auto" w:fill="BFBFBF"/>
            <w:vAlign w:val="center"/>
          </w:tcPr>
          <w:p w14:paraId="1C7B996A" w14:textId="77777777" w:rsidR="00B72876" w:rsidRPr="00FB3FC7" w:rsidRDefault="00B72876" w:rsidP="00B72876">
            <w:pPr>
              <w:pStyle w:val="TableParagraph"/>
              <w:jc w:val="center"/>
              <w:rPr>
                <w:lang w:val="lt-LT"/>
              </w:rPr>
            </w:pPr>
            <w:r w:rsidRPr="00FB3FC7">
              <w:rPr>
                <w:lang w:val="lt-LT"/>
              </w:rPr>
              <w:t>Veikla</w:t>
            </w:r>
          </w:p>
        </w:tc>
        <w:tc>
          <w:tcPr>
            <w:tcW w:w="1701" w:type="dxa"/>
            <w:vMerge w:val="restart"/>
            <w:shd w:val="clear" w:color="auto" w:fill="BFBFBF"/>
            <w:vAlign w:val="center"/>
          </w:tcPr>
          <w:p w14:paraId="4CB9333A" w14:textId="77777777" w:rsidR="00B72876" w:rsidRPr="00FB3FC7" w:rsidRDefault="00B72876" w:rsidP="00B72876">
            <w:pPr>
              <w:pStyle w:val="TableParagraph"/>
              <w:spacing w:before="112" w:line="247" w:lineRule="auto"/>
              <w:ind w:left="101" w:right="94"/>
              <w:jc w:val="center"/>
              <w:rPr>
                <w:lang w:val="lt-LT"/>
              </w:rPr>
            </w:pPr>
            <w:r w:rsidRPr="00FB3FC7">
              <w:rPr>
                <w:lang w:val="lt-LT"/>
              </w:rPr>
              <w:t>Bendras lėšų poreikis</w:t>
            </w:r>
            <w:r w:rsidR="001D0C26" w:rsidRPr="00FB3FC7">
              <w:rPr>
                <w:lang w:val="lt-LT"/>
              </w:rPr>
              <w:t xml:space="preserve"> </w:t>
            </w:r>
          </w:p>
        </w:tc>
        <w:tc>
          <w:tcPr>
            <w:tcW w:w="5103" w:type="dxa"/>
            <w:gridSpan w:val="3"/>
            <w:shd w:val="clear" w:color="auto" w:fill="BFBFBF"/>
            <w:vAlign w:val="center"/>
          </w:tcPr>
          <w:p w14:paraId="77EF08FD" w14:textId="77777777" w:rsidR="00B72876" w:rsidRPr="00FB3FC7" w:rsidRDefault="00B72876" w:rsidP="00B72876">
            <w:pPr>
              <w:pStyle w:val="TableParagraph"/>
              <w:spacing w:line="249" w:lineRule="auto"/>
              <w:ind w:left="326" w:right="87" w:hanging="226"/>
              <w:jc w:val="center"/>
              <w:rPr>
                <w:lang w:val="lt-LT"/>
              </w:rPr>
            </w:pPr>
            <w:r w:rsidRPr="00FB3FC7">
              <w:rPr>
                <w:lang w:val="lt-LT"/>
              </w:rPr>
              <w:t>Iš jų:</w:t>
            </w:r>
          </w:p>
        </w:tc>
        <w:tc>
          <w:tcPr>
            <w:tcW w:w="4394" w:type="dxa"/>
            <w:vMerge w:val="restart"/>
            <w:shd w:val="clear" w:color="auto" w:fill="BFBFBF"/>
            <w:vAlign w:val="center"/>
          </w:tcPr>
          <w:p w14:paraId="2838D8B5" w14:textId="77777777" w:rsidR="00B72876" w:rsidRPr="00FB3FC7" w:rsidRDefault="005705C3" w:rsidP="00B72876">
            <w:pPr>
              <w:pStyle w:val="TableParagraph"/>
              <w:jc w:val="center"/>
              <w:rPr>
                <w:lang w:val="lt-LT"/>
              </w:rPr>
            </w:pPr>
            <w:r w:rsidRPr="00FB3FC7">
              <w:rPr>
                <w:lang w:val="lt-LT"/>
              </w:rPr>
              <w:t>Siūlymas</w:t>
            </w:r>
          </w:p>
        </w:tc>
      </w:tr>
      <w:tr w:rsidR="00B72876" w:rsidRPr="00FB3FC7" w14:paraId="65230BCB" w14:textId="77777777" w:rsidTr="002B6E83">
        <w:trPr>
          <w:trHeight w:val="480"/>
        </w:trPr>
        <w:tc>
          <w:tcPr>
            <w:tcW w:w="3686" w:type="dxa"/>
            <w:vMerge/>
            <w:shd w:val="clear" w:color="auto" w:fill="BFBFBF"/>
            <w:vAlign w:val="center"/>
          </w:tcPr>
          <w:p w14:paraId="1A6B34E5" w14:textId="77777777" w:rsidR="00B72876" w:rsidRPr="00FB3FC7" w:rsidRDefault="00B72876" w:rsidP="00263DC3">
            <w:pPr>
              <w:pStyle w:val="TableParagraph"/>
              <w:jc w:val="center"/>
              <w:rPr>
                <w:lang w:val="lt-LT"/>
              </w:rPr>
            </w:pPr>
          </w:p>
        </w:tc>
        <w:tc>
          <w:tcPr>
            <w:tcW w:w="1701" w:type="dxa"/>
            <w:vMerge/>
            <w:shd w:val="clear" w:color="auto" w:fill="BFBFBF"/>
            <w:vAlign w:val="center"/>
          </w:tcPr>
          <w:p w14:paraId="1DD8F9E7" w14:textId="77777777" w:rsidR="00B72876" w:rsidRPr="00FB3FC7" w:rsidRDefault="00B72876" w:rsidP="00263DC3">
            <w:pPr>
              <w:pStyle w:val="TableParagraph"/>
              <w:spacing w:before="112" w:line="247" w:lineRule="auto"/>
              <w:ind w:left="101" w:right="94"/>
              <w:jc w:val="center"/>
              <w:rPr>
                <w:lang w:val="lt-LT"/>
              </w:rPr>
            </w:pPr>
          </w:p>
        </w:tc>
        <w:tc>
          <w:tcPr>
            <w:tcW w:w="1417" w:type="dxa"/>
            <w:shd w:val="clear" w:color="auto" w:fill="BFBFBF"/>
            <w:vAlign w:val="center"/>
          </w:tcPr>
          <w:p w14:paraId="27F7DC0D" w14:textId="77777777" w:rsidR="00B72876" w:rsidRPr="00FB3FC7" w:rsidRDefault="00B72876" w:rsidP="00D035E5">
            <w:pPr>
              <w:pStyle w:val="TableParagraph"/>
              <w:spacing w:before="4"/>
              <w:ind w:left="97" w:right="94"/>
              <w:jc w:val="center"/>
              <w:rPr>
                <w:vertAlign w:val="superscript"/>
                <w:lang w:val="lt-LT"/>
              </w:rPr>
            </w:pPr>
            <w:r w:rsidRPr="00FB3FC7">
              <w:rPr>
                <w:lang w:val="lt-LT"/>
              </w:rPr>
              <w:t>ES SF lėšos</w:t>
            </w:r>
            <w:r w:rsidR="00D035E5" w:rsidRPr="00FB3FC7">
              <w:rPr>
                <w:w w:val="110"/>
                <w:vertAlign w:val="superscript"/>
                <w:lang w:val="lt-LT"/>
              </w:rPr>
              <w:t>1</w:t>
            </w:r>
          </w:p>
        </w:tc>
        <w:tc>
          <w:tcPr>
            <w:tcW w:w="2552" w:type="dxa"/>
            <w:shd w:val="clear" w:color="auto" w:fill="BFBFBF"/>
            <w:vAlign w:val="center"/>
          </w:tcPr>
          <w:p w14:paraId="6AC19CFC" w14:textId="77777777" w:rsidR="00B72876" w:rsidRPr="00FB3FC7" w:rsidRDefault="005705C3" w:rsidP="00263DC3">
            <w:pPr>
              <w:pStyle w:val="TableParagraph"/>
              <w:spacing w:before="11"/>
              <w:jc w:val="center"/>
              <w:rPr>
                <w:lang w:val="lt-LT"/>
              </w:rPr>
            </w:pPr>
            <w:r w:rsidRPr="00FB3FC7">
              <w:rPr>
                <w:lang w:val="lt-LT"/>
              </w:rPr>
              <w:t>Valstybės biudžeto lėšos</w:t>
            </w:r>
          </w:p>
        </w:tc>
        <w:tc>
          <w:tcPr>
            <w:tcW w:w="1134" w:type="dxa"/>
            <w:shd w:val="clear" w:color="auto" w:fill="BFBFBF"/>
            <w:vAlign w:val="center"/>
          </w:tcPr>
          <w:p w14:paraId="20B06D94" w14:textId="77777777" w:rsidR="00B72876" w:rsidRPr="00FB3FC7" w:rsidRDefault="00B72876" w:rsidP="00263DC3">
            <w:pPr>
              <w:pStyle w:val="TableParagraph"/>
              <w:spacing w:line="249" w:lineRule="auto"/>
              <w:ind w:left="326" w:right="87" w:hanging="226"/>
              <w:jc w:val="center"/>
              <w:rPr>
                <w:lang w:val="lt-LT"/>
              </w:rPr>
            </w:pPr>
            <w:r w:rsidRPr="00FB3FC7">
              <w:rPr>
                <w:lang w:val="lt-LT"/>
              </w:rPr>
              <w:t>Nuosavos lėšos</w:t>
            </w:r>
          </w:p>
        </w:tc>
        <w:tc>
          <w:tcPr>
            <w:tcW w:w="4394" w:type="dxa"/>
            <w:vMerge/>
            <w:shd w:val="clear" w:color="auto" w:fill="BFBFBF"/>
          </w:tcPr>
          <w:p w14:paraId="2B688E2D" w14:textId="77777777" w:rsidR="00B72876" w:rsidRPr="00FB3FC7" w:rsidRDefault="00B72876" w:rsidP="00263DC3">
            <w:pPr>
              <w:pStyle w:val="TableParagraph"/>
              <w:spacing w:before="112" w:line="247" w:lineRule="auto"/>
              <w:ind w:left="101" w:right="94"/>
              <w:rPr>
                <w:lang w:val="lt-LT"/>
              </w:rPr>
            </w:pPr>
          </w:p>
        </w:tc>
      </w:tr>
      <w:tr w:rsidR="004A3B70" w:rsidRPr="00FB3FC7" w14:paraId="651D64BF" w14:textId="77777777" w:rsidTr="00D035E5">
        <w:trPr>
          <w:trHeight w:val="568"/>
        </w:trPr>
        <w:tc>
          <w:tcPr>
            <w:tcW w:w="14884" w:type="dxa"/>
            <w:gridSpan w:val="6"/>
          </w:tcPr>
          <w:p w14:paraId="0C885479" w14:textId="7EF18606" w:rsidR="004A3B70" w:rsidRPr="00FB3FC7" w:rsidRDefault="00FC3E2F" w:rsidP="006C0B61">
            <w:pPr>
              <w:pStyle w:val="TableParagraph"/>
              <w:numPr>
                <w:ilvl w:val="0"/>
                <w:numId w:val="5"/>
              </w:numPr>
              <w:spacing w:before="240" w:after="240" w:line="254" w:lineRule="exact"/>
              <w:jc w:val="both"/>
              <w:rPr>
                <w:b/>
                <w:w w:val="130"/>
                <w:lang w:val="lt-LT"/>
              </w:rPr>
            </w:pPr>
            <w:r w:rsidRPr="00FB3FC7">
              <w:rPr>
                <w:b/>
                <w:lang w:val="lt-LT"/>
              </w:rPr>
              <w:t>Dėstytojų</w:t>
            </w:r>
            <w:r w:rsidR="006C0B61">
              <w:rPr>
                <w:b/>
                <w:lang w:val="lt-LT"/>
              </w:rPr>
              <w:t>, turinčių vienodas</w:t>
            </w:r>
            <w:r w:rsidR="00E60995">
              <w:rPr>
                <w:b/>
                <w:lang w:val="lt-LT"/>
              </w:rPr>
              <w:t xml:space="preserve"> pareigybes,</w:t>
            </w:r>
            <w:r w:rsidRPr="00FB3FC7">
              <w:rPr>
                <w:b/>
                <w:lang w:val="lt-LT"/>
              </w:rPr>
              <w:t xml:space="preserve"> darbo apmokėjimo </w:t>
            </w:r>
            <w:r w:rsidR="00E60995">
              <w:rPr>
                <w:b/>
                <w:lang w:val="lt-LT"/>
              </w:rPr>
              <w:t xml:space="preserve">sąlygų </w:t>
            </w:r>
            <w:r w:rsidRPr="00FB3FC7">
              <w:rPr>
                <w:b/>
                <w:lang w:val="lt-LT"/>
              </w:rPr>
              <w:t xml:space="preserve">suvienodinimas, reorganizavus Šiaulių universitetą </w:t>
            </w:r>
            <w:r w:rsidR="006C0B61">
              <w:rPr>
                <w:b/>
                <w:lang w:val="lt-LT"/>
              </w:rPr>
              <w:t>prijungimo prie Vilniaus universiteto būdu ir steigiant</w:t>
            </w:r>
            <w:r w:rsidRPr="00FB3FC7">
              <w:rPr>
                <w:b/>
                <w:lang w:val="lt-LT"/>
              </w:rPr>
              <w:t xml:space="preserve"> Vilnia</w:t>
            </w:r>
            <w:r w:rsidR="00A16DF3" w:rsidRPr="00FB3FC7">
              <w:rPr>
                <w:b/>
                <w:lang w:val="lt-LT"/>
              </w:rPr>
              <w:t>u</w:t>
            </w:r>
            <w:r w:rsidRPr="00FB3FC7">
              <w:rPr>
                <w:b/>
                <w:lang w:val="lt-LT"/>
              </w:rPr>
              <w:t xml:space="preserve">s universiteto </w:t>
            </w:r>
            <w:r w:rsidR="006C0B61">
              <w:rPr>
                <w:b/>
                <w:lang w:val="lt-LT"/>
              </w:rPr>
              <w:t xml:space="preserve">struktūrinį padalinį </w:t>
            </w:r>
            <w:r w:rsidR="00E66AB8">
              <w:rPr>
                <w:b/>
                <w:lang w:val="lt-LT"/>
              </w:rPr>
              <w:t>–</w:t>
            </w:r>
            <w:r w:rsidR="006C0B61">
              <w:rPr>
                <w:b/>
                <w:lang w:val="lt-LT"/>
              </w:rPr>
              <w:t xml:space="preserve"> </w:t>
            </w:r>
            <w:r w:rsidRPr="00FB3FC7">
              <w:rPr>
                <w:b/>
                <w:lang w:val="lt-LT"/>
              </w:rPr>
              <w:t>Šiaulių akademiją</w:t>
            </w:r>
          </w:p>
        </w:tc>
      </w:tr>
      <w:tr w:rsidR="00B72876" w:rsidRPr="0063015E" w14:paraId="305836B5" w14:textId="77777777" w:rsidTr="002B6E83">
        <w:trPr>
          <w:trHeight w:val="513"/>
        </w:trPr>
        <w:tc>
          <w:tcPr>
            <w:tcW w:w="3686" w:type="dxa"/>
          </w:tcPr>
          <w:p w14:paraId="33AED578" w14:textId="77777777" w:rsidR="00B72876" w:rsidRPr="00FB3FC7" w:rsidRDefault="001D0C26" w:rsidP="001D0C26">
            <w:pPr>
              <w:pStyle w:val="TableParagraph"/>
              <w:spacing w:line="254" w:lineRule="exact"/>
              <w:ind w:left="98"/>
              <w:rPr>
                <w:w w:val="135"/>
                <w:lang w:val="lt-LT"/>
              </w:rPr>
            </w:pPr>
            <w:r w:rsidRPr="00FB3FC7">
              <w:rPr>
                <w:lang w:val="lt-LT"/>
              </w:rPr>
              <w:t>1.</w:t>
            </w:r>
            <w:r w:rsidR="00FC3E2F" w:rsidRPr="00FB3FC7">
              <w:rPr>
                <w:lang w:val="lt-LT"/>
              </w:rPr>
              <w:t xml:space="preserve"> 1.</w:t>
            </w:r>
            <w:r w:rsidRPr="00FB3FC7">
              <w:rPr>
                <w:lang w:val="lt-LT"/>
              </w:rPr>
              <w:t xml:space="preserve"> </w:t>
            </w:r>
            <w:r w:rsidRPr="00FB3FC7">
              <w:rPr>
                <w:color w:val="000000"/>
                <w:lang w:val="lt-LT"/>
              </w:rPr>
              <w:t>Papildomas darbo užmokesčio poreikis pagal Vilniaus universiteto etato kainą Eur</w:t>
            </w:r>
            <w:r w:rsidRPr="00FB3FC7">
              <w:rPr>
                <w:lang w:val="lt-LT"/>
              </w:rPr>
              <w:t xml:space="preserve"> ir a</w:t>
            </w:r>
            <w:r w:rsidRPr="00FB3FC7">
              <w:rPr>
                <w:color w:val="000000"/>
                <w:lang w:val="lt-LT"/>
              </w:rPr>
              <w:t>tsižvelgus į regiono 15</w:t>
            </w:r>
            <w:r w:rsidR="00E66AB8">
              <w:rPr>
                <w:color w:val="000000"/>
                <w:lang w:val="lt-LT"/>
              </w:rPr>
              <w:t xml:space="preserve"> </w:t>
            </w:r>
            <w:r w:rsidRPr="00FB3FC7">
              <w:rPr>
                <w:color w:val="000000"/>
                <w:lang w:val="lt-LT"/>
              </w:rPr>
              <w:t xml:space="preserve">% </w:t>
            </w:r>
            <w:proofErr w:type="spellStart"/>
            <w:r w:rsidRPr="00FB3FC7">
              <w:rPr>
                <w:color w:val="000000"/>
                <w:lang w:val="lt-LT"/>
              </w:rPr>
              <w:t>koef</w:t>
            </w:r>
            <w:proofErr w:type="spellEnd"/>
            <w:r w:rsidRPr="00FB3FC7">
              <w:rPr>
                <w:color w:val="000000"/>
                <w:lang w:val="lt-LT"/>
              </w:rPr>
              <w:t xml:space="preserve">. </w:t>
            </w:r>
          </w:p>
        </w:tc>
        <w:tc>
          <w:tcPr>
            <w:tcW w:w="1701" w:type="dxa"/>
            <w:vAlign w:val="center"/>
          </w:tcPr>
          <w:p w14:paraId="55402D84" w14:textId="2EE861A4" w:rsidR="00B72876" w:rsidRPr="00FB3FC7" w:rsidRDefault="002B6E83" w:rsidP="00263DC3">
            <w:pPr>
              <w:pStyle w:val="TableParagraph"/>
              <w:spacing w:before="130"/>
              <w:ind w:left="100" w:right="94"/>
              <w:jc w:val="center"/>
              <w:rPr>
                <w:w w:val="110"/>
                <w:lang w:val="lt-LT"/>
              </w:rPr>
            </w:pPr>
            <w:r w:rsidRPr="000E5C47">
              <w:rPr>
                <w:bCs/>
                <w:color w:val="000000"/>
                <w:lang w:val="lt-LT"/>
              </w:rPr>
              <w:t>5 663</w:t>
            </w:r>
            <w:r>
              <w:rPr>
                <w:bCs/>
                <w:color w:val="000000"/>
                <w:lang w:val="lt-LT"/>
              </w:rPr>
              <w:t> </w:t>
            </w:r>
            <w:r w:rsidRPr="000E5C47">
              <w:rPr>
                <w:bCs/>
                <w:color w:val="000000"/>
                <w:lang w:val="lt-LT"/>
              </w:rPr>
              <w:t xml:space="preserve">265 </w:t>
            </w:r>
            <w:r w:rsidR="00FB3FC7" w:rsidRPr="00FB3FC7">
              <w:rPr>
                <w:bCs/>
                <w:color w:val="000000"/>
                <w:lang w:val="lt-LT"/>
              </w:rPr>
              <w:t>Eur</w:t>
            </w:r>
          </w:p>
        </w:tc>
        <w:tc>
          <w:tcPr>
            <w:tcW w:w="1417" w:type="dxa"/>
            <w:vAlign w:val="center"/>
          </w:tcPr>
          <w:p w14:paraId="1A1F0163" w14:textId="77777777" w:rsidR="00B72876" w:rsidRPr="00FB3FC7" w:rsidRDefault="000222CA" w:rsidP="00514582">
            <w:pPr>
              <w:pStyle w:val="TableParagraph"/>
              <w:spacing w:before="130"/>
              <w:ind w:left="100" w:right="94"/>
              <w:jc w:val="center"/>
              <w:rPr>
                <w:w w:val="110"/>
                <w:lang w:val="lt-LT"/>
              </w:rPr>
            </w:pPr>
            <w:r>
              <w:rPr>
                <w:w w:val="110"/>
                <w:lang w:val="lt-LT"/>
              </w:rPr>
              <w:t>-</w:t>
            </w:r>
          </w:p>
        </w:tc>
        <w:tc>
          <w:tcPr>
            <w:tcW w:w="2552" w:type="dxa"/>
            <w:vAlign w:val="center"/>
          </w:tcPr>
          <w:p w14:paraId="44ACA76A" w14:textId="77777777" w:rsidR="002B6E83" w:rsidRPr="000E5C47" w:rsidRDefault="002B6E83" w:rsidP="002B6E83">
            <w:pPr>
              <w:pStyle w:val="TableParagraph"/>
              <w:spacing w:before="130"/>
              <w:ind w:left="100" w:right="94"/>
              <w:jc w:val="center"/>
              <w:rPr>
                <w:bCs/>
                <w:color w:val="000000"/>
                <w:lang w:val="lt-LT"/>
              </w:rPr>
            </w:pPr>
            <w:r w:rsidRPr="000E5C47">
              <w:rPr>
                <w:bCs/>
                <w:color w:val="000000"/>
                <w:lang w:val="lt-LT"/>
              </w:rPr>
              <w:t>468 865 Eur (2020 m.)</w:t>
            </w:r>
          </w:p>
          <w:p w14:paraId="2E9F62DA" w14:textId="77777777" w:rsidR="002B6E83" w:rsidRPr="000E5C47" w:rsidRDefault="002B6E83" w:rsidP="002B6E83">
            <w:pPr>
              <w:pStyle w:val="TableParagraph"/>
              <w:spacing w:before="130"/>
              <w:ind w:left="100" w:right="94"/>
              <w:jc w:val="center"/>
              <w:rPr>
                <w:bCs/>
                <w:color w:val="000000"/>
                <w:lang w:val="lt-LT"/>
              </w:rPr>
            </w:pPr>
            <w:r w:rsidRPr="000E5C47">
              <w:rPr>
                <w:bCs/>
                <w:color w:val="000000"/>
                <w:lang w:val="lt-LT"/>
              </w:rPr>
              <w:t xml:space="preserve">2 320 765 </w:t>
            </w:r>
            <w:r>
              <w:rPr>
                <w:bCs/>
                <w:color w:val="000000"/>
                <w:lang w:val="lt-LT"/>
              </w:rPr>
              <w:t xml:space="preserve">Eur </w:t>
            </w:r>
            <w:r w:rsidRPr="000E5C47">
              <w:rPr>
                <w:bCs/>
                <w:color w:val="000000"/>
                <w:lang w:val="lt-LT"/>
              </w:rPr>
              <w:t>(2021 m.)</w:t>
            </w:r>
          </w:p>
          <w:p w14:paraId="33A01AC4" w14:textId="77777777" w:rsidR="002B6E83" w:rsidRPr="000E5C47" w:rsidRDefault="002B6E83" w:rsidP="002B6E83">
            <w:pPr>
              <w:pStyle w:val="TableParagraph"/>
              <w:spacing w:before="130"/>
              <w:ind w:left="100" w:right="94"/>
              <w:jc w:val="center"/>
              <w:rPr>
                <w:bCs/>
                <w:color w:val="000000"/>
                <w:lang w:val="lt-LT"/>
              </w:rPr>
            </w:pPr>
            <w:r w:rsidRPr="000E5C47">
              <w:rPr>
                <w:bCs/>
                <w:color w:val="000000"/>
                <w:lang w:val="lt-LT"/>
              </w:rPr>
              <w:t xml:space="preserve">1 470 532 </w:t>
            </w:r>
            <w:r>
              <w:rPr>
                <w:bCs/>
                <w:color w:val="000000"/>
                <w:lang w:val="lt-LT"/>
              </w:rPr>
              <w:t xml:space="preserve">Eur </w:t>
            </w:r>
            <w:r w:rsidRPr="000E5C47">
              <w:rPr>
                <w:bCs/>
                <w:color w:val="000000"/>
                <w:lang w:val="lt-LT"/>
              </w:rPr>
              <w:t>(2022 m.)</w:t>
            </w:r>
          </w:p>
          <w:p w14:paraId="202F9551" w14:textId="77777777" w:rsidR="002B6E83" w:rsidRPr="000E5C47" w:rsidRDefault="002B6E83" w:rsidP="002B6E83">
            <w:pPr>
              <w:pStyle w:val="TableParagraph"/>
              <w:spacing w:before="130"/>
              <w:ind w:left="100" w:right="94"/>
              <w:jc w:val="center"/>
              <w:rPr>
                <w:bCs/>
                <w:color w:val="000000"/>
                <w:lang w:val="lt-LT"/>
              </w:rPr>
            </w:pPr>
            <w:r w:rsidRPr="000E5C47">
              <w:rPr>
                <w:bCs/>
                <w:color w:val="000000"/>
                <w:lang w:val="lt-LT"/>
              </w:rPr>
              <w:t>944</w:t>
            </w:r>
            <w:r>
              <w:rPr>
                <w:bCs/>
                <w:color w:val="000000"/>
                <w:lang w:val="lt-LT"/>
              </w:rPr>
              <w:t> </w:t>
            </w:r>
            <w:r w:rsidRPr="000E5C47">
              <w:rPr>
                <w:bCs/>
                <w:color w:val="000000"/>
                <w:lang w:val="lt-LT"/>
              </w:rPr>
              <w:t>119</w:t>
            </w:r>
            <w:r>
              <w:rPr>
                <w:bCs/>
                <w:color w:val="000000"/>
                <w:lang w:val="lt-LT"/>
              </w:rPr>
              <w:t xml:space="preserve"> Eur </w:t>
            </w:r>
            <w:r w:rsidRPr="000E5C47">
              <w:rPr>
                <w:bCs/>
                <w:color w:val="000000"/>
                <w:lang w:val="lt-LT"/>
              </w:rPr>
              <w:t>(2023 m.)</w:t>
            </w:r>
          </w:p>
          <w:p w14:paraId="3285040A" w14:textId="41730153" w:rsidR="00B72876" w:rsidRPr="000222CA" w:rsidRDefault="002B6E83" w:rsidP="002B6E83">
            <w:pPr>
              <w:pStyle w:val="TableParagraph"/>
              <w:spacing w:before="130"/>
              <w:ind w:left="100" w:right="94"/>
              <w:jc w:val="center"/>
              <w:rPr>
                <w:w w:val="110"/>
              </w:rPr>
            </w:pPr>
            <w:r w:rsidRPr="000E5C47">
              <w:rPr>
                <w:bCs/>
                <w:color w:val="000000"/>
                <w:lang w:val="lt-LT"/>
              </w:rPr>
              <w:t xml:space="preserve">458 984 </w:t>
            </w:r>
            <w:r>
              <w:rPr>
                <w:bCs/>
                <w:color w:val="000000"/>
                <w:lang w:val="lt-LT"/>
              </w:rPr>
              <w:t xml:space="preserve">Eur </w:t>
            </w:r>
            <w:r w:rsidRPr="000E5C47">
              <w:rPr>
                <w:bCs/>
                <w:color w:val="000000"/>
                <w:lang w:val="lt-LT"/>
              </w:rPr>
              <w:t>(2024 m.)</w:t>
            </w:r>
          </w:p>
        </w:tc>
        <w:tc>
          <w:tcPr>
            <w:tcW w:w="1134" w:type="dxa"/>
            <w:vAlign w:val="center"/>
          </w:tcPr>
          <w:p w14:paraId="33F8BBA4" w14:textId="77777777" w:rsidR="00B72876" w:rsidRPr="00FB3FC7" w:rsidRDefault="000222CA" w:rsidP="00263DC3">
            <w:pPr>
              <w:pStyle w:val="TableParagraph"/>
              <w:spacing w:before="130"/>
              <w:ind w:left="100" w:right="94"/>
              <w:jc w:val="center"/>
              <w:rPr>
                <w:w w:val="110"/>
                <w:lang w:val="lt-LT"/>
              </w:rPr>
            </w:pPr>
            <w:r>
              <w:rPr>
                <w:w w:val="110"/>
                <w:lang w:val="lt-LT"/>
              </w:rPr>
              <w:t>-</w:t>
            </w:r>
          </w:p>
        </w:tc>
        <w:tc>
          <w:tcPr>
            <w:tcW w:w="4394" w:type="dxa"/>
            <w:shd w:val="clear" w:color="auto" w:fill="FFFFFF" w:themeFill="background1"/>
          </w:tcPr>
          <w:p w14:paraId="68434B68" w14:textId="77777777" w:rsidR="00A16DF3" w:rsidRPr="00F81A48" w:rsidRDefault="0060794F" w:rsidP="00A16DF3">
            <w:pPr>
              <w:pStyle w:val="TableParagraph"/>
              <w:ind w:left="99" w:right="94"/>
              <w:rPr>
                <w:bCs/>
                <w:lang w:val="lt-LT"/>
              </w:rPr>
            </w:pPr>
            <w:r w:rsidRPr="00F81A48">
              <w:rPr>
                <w:lang w:val="lt-LT"/>
              </w:rPr>
              <w:t>2020 m. skir</w:t>
            </w:r>
            <w:r w:rsidR="00A16DF3" w:rsidRPr="00F81A48">
              <w:rPr>
                <w:lang w:val="lt-LT"/>
              </w:rPr>
              <w:t>ti</w:t>
            </w:r>
            <w:r w:rsidRPr="00F81A48">
              <w:rPr>
                <w:b/>
                <w:lang w:val="lt-LT"/>
              </w:rPr>
              <w:t xml:space="preserve"> </w:t>
            </w:r>
            <w:r w:rsidR="009D236A" w:rsidRPr="009D236A">
              <w:rPr>
                <w:lang w:val="lt-LT"/>
              </w:rPr>
              <w:t>300 000</w:t>
            </w:r>
            <w:r w:rsidR="00A16DF3" w:rsidRPr="00F81A48">
              <w:rPr>
                <w:bCs/>
                <w:lang w:val="lt-LT"/>
              </w:rPr>
              <w:t xml:space="preserve"> Eur </w:t>
            </w:r>
            <w:r w:rsidR="000222CA">
              <w:rPr>
                <w:bCs/>
                <w:lang w:val="lt-LT"/>
              </w:rPr>
              <w:t>iš Švietimo, mokslo ir sporto ministerijos asignavimų</w:t>
            </w:r>
            <w:r w:rsidR="00E66AB8">
              <w:rPr>
                <w:bCs/>
                <w:lang w:val="lt-LT"/>
              </w:rPr>
              <w:t>.</w:t>
            </w:r>
          </w:p>
          <w:p w14:paraId="78B0C3E6" w14:textId="77777777" w:rsidR="00D035E5" w:rsidRPr="00F81A48" w:rsidRDefault="00A16DF3" w:rsidP="00A16DF3">
            <w:pPr>
              <w:pStyle w:val="TableParagraph"/>
              <w:ind w:left="99" w:right="94"/>
              <w:rPr>
                <w:b/>
                <w:lang w:val="lt-LT"/>
              </w:rPr>
            </w:pPr>
            <w:r w:rsidRPr="00F81A48">
              <w:rPr>
                <w:lang w:val="lt-LT"/>
              </w:rPr>
              <w:t>Vėlesniais metais l</w:t>
            </w:r>
            <w:r w:rsidR="0060794F" w:rsidRPr="00F81A48">
              <w:rPr>
                <w:lang w:val="lt-LT"/>
              </w:rPr>
              <w:t>ėšos skiriamos atsižvelgiant į Lietuvos Respublikos Vyriausybės pasitarimo protokolo (toliau – Protokolas) 2 punktą</w:t>
            </w:r>
            <w:r w:rsidR="00E66AB8">
              <w:rPr>
                <w:lang w:val="lt-LT"/>
              </w:rPr>
              <w:t>.</w:t>
            </w:r>
            <w:r w:rsidR="0060794F" w:rsidRPr="00F81A48">
              <w:rPr>
                <w:lang w:val="lt-LT"/>
              </w:rPr>
              <w:t xml:space="preserve"> </w:t>
            </w:r>
          </w:p>
        </w:tc>
      </w:tr>
      <w:tr w:rsidR="004A3B70" w:rsidRPr="0063015E" w14:paraId="43C89608" w14:textId="77777777" w:rsidTr="00D035E5">
        <w:trPr>
          <w:trHeight w:val="510"/>
        </w:trPr>
        <w:tc>
          <w:tcPr>
            <w:tcW w:w="14884" w:type="dxa"/>
            <w:gridSpan w:val="6"/>
          </w:tcPr>
          <w:p w14:paraId="433783D0" w14:textId="77777777" w:rsidR="004A3B70" w:rsidRPr="00F81A48" w:rsidRDefault="004A3B70" w:rsidP="00FB3FC7">
            <w:pPr>
              <w:pStyle w:val="TableParagraph"/>
              <w:spacing w:before="128" w:after="240"/>
              <w:ind w:left="101" w:right="94"/>
              <w:rPr>
                <w:lang w:val="lt-LT"/>
              </w:rPr>
            </w:pPr>
            <w:r w:rsidRPr="00F81A48">
              <w:rPr>
                <w:b/>
                <w:lang w:val="lt-LT"/>
              </w:rPr>
              <w:t xml:space="preserve">2. </w:t>
            </w:r>
            <w:r w:rsidR="00FC3E2F" w:rsidRPr="00F81A48">
              <w:rPr>
                <w:b/>
                <w:lang w:val="lt-LT"/>
              </w:rPr>
              <w:t>Vilniaus universiteto Šiaulių akademijos m</w:t>
            </w:r>
            <w:r w:rsidR="00FC3E2F" w:rsidRPr="00F81A48">
              <w:rPr>
                <w:b/>
                <w:lang w:val="lt-LT" w:eastAsia="lt-LT"/>
              </w:rPr>
              <w:t>okslo rezultatų apimčių ir kokybės gausinimas ir kokybės gerinimas</w:t>
            </w:r>
          </w:p>
        </w:tc>
      </w:tr>
      <w:tr w:rsidR="00B72876" w:rsidRPr="00FB3FC7" w14:paraId="1FE38032" w14:textId="77777777" w:rsidTr="002B6E83">
        <w:trPr>
          <w:trHeight w:val="558"/>
        </w:trPr>
        <w:tc>
          <w:tcPr>
            <w:tcW w:w="3686" w:type="dxa"/>
          </w:tcPr>
          <w:p w14:paraId="01309816" w14:textId="77777777" w:rsidR="0060794F" w:rsidRPr="00FB3FC7" w:rsidRDefault="0060794F" w:rsidP="00FB3FC7">
            <w:pPr>
              <w:pStyle w:val="TableParagraph"/>
              <w:spacing w:before="3" w:line="254" w:lineRule="exact"/>
              <w:ind w:left="98"/>
              <w:rPr>
                <w:color w:val="000000"/>
                <w:lang w:val="lt-LT" w:eastAsia="lt-LT"/>
              </w:rPr>
            </w:pPr>
            <w:r w:rsidRPr="00FB3FC7">
              <w:rPr>
                <w:lang w:val="lt-LT"/>
              </w:rPr>
              <w:t>2.</w:t>
            </w:r>
            <w:r w:rsidR="00A16DF3" w:rsidRPr="00FB3FC7">
              <w:rPr>
                <w:color w:val="000000"/>
                <w:lang w:val="lt-LT" w:eastAsia="lt-LT"/>
              </w:rPr>
              <w:t xml:space="preserve">1. </w:t>
            </w:r>
            <w:r w:rsidR="00FC3E2F" w:rsidRPr="00FB3FC7">
              <w:rPr>
                <w:color w:val="000000"/>
                <w:lang w:val="lt-LT" w:eastAsia="lt-LT"/>
              </w:rPr>
              <w:t>Pasirinktose srityse regiono ir bendr</w:t>
            </w:r>
            <w:r w:rsidRPr="00FB3FC7">
              <w:rPr>
                <w:color w:val="000000"/>
                <w:lang w:val="lt-LT" w:eastAsia="lt-LT"/>
              </w:rPr>
              <w:t>ų</w:t>
            </w:r>
            <w:r w:rsidR="00FC3E2F" w:rsidRPr="00FB3FC7">
              <w:rPr>
                <w:color w:val="000000"/>
                <w:lang w:val="lt-LT" w:eastAsia="lt-LT"/>
              </w:rPr>
              <w:t xml:space="preserve"> su Vilniaus padalini</w:t>
            </w:r>
            <w:r w:rsidRPr="00FB3FC7">
              <w:rPr>
                <w:color w:val="000000"/>
                <w:lang w:val="lt-LT" w:eastAsia="lt-LT"/>
              </w:rPr>
              <w:t>ais</w:t>
            </w:r>
            <w:r w:rsidR="00FC3E2F" w:rsidRPr="00FB3FC7">
              <w:rPr>
                <w:color w:val="000000"/>
                <w:lang w:val="lt-LT" w:eastAsia="lt-LT"/>
              </w:rPr>
              <w:t xml:space="preserve"> mokslininkų grup</w:t>
            </w:r>
            <w:r w:rsidRPr="00FB3FC7">
              <w:rPr>
                <w:color w:val="000000"/>
                <w:lang w:val="lt-LT" w:eastAsia="lt-LT"/>
              </w:rPr>
              <w:t>ių</w:t>
            </w:r>
            <w:r w:rsidR="00FC3E2F" w:rsidRPr="00FB3FC7">
              <w:rPr>
                <w:color w:val="000000"/>
                <w:lang w:val="lt-LT" w:eastAsia="lt-LT"/>
              </w:rPr>
              <w:t>, turinči</w:t>
            </w:r>
            <w:r w:rsidRPr="00FB3FC7">
              <w:rPr>
                <w:color w:val="000000"/>
                <w:lang w:val="lt-LT" w:eastAsia="lt-LT"/>
              </w:rPr>
              <w:t>ų</w:t>
            </w:r>
            <w:r w:rsidR="00FC3E2F" w:rsidRPr="00FB3FC7">
              <w:rPr>
                <w:color w:val="000000"/>
                <w:lang w:val="lt-LT" w:eastAsia="lt-LT"/>
              </w:rPr>
              <w:t xml:space="preserve"> prieigą prie tyrimams reikalingos mokslo infrastruktūros, </w:t>
            </w:r>
            <w:r w:rsidRPr="00FB3FC7">
              <w:rPr>
                <w:color w:val="000000"/>
                <w:lang w:val="lt-LT" w:eastAsia="lt-LT"/>
              </w:rPr>
              <w:t xml:space="preserve">suformavimas, </w:t>
            </w:r>
            <w:r w:rsidR="00FC3E2F" w:rsidRPr="00FB3FC7">
              <w:rPr>
                <w:color w:val="000000"/>
                <w:lang w:val="lt-LT" w:eastAsia="lt-LT"/>
              </w:rPr>
              <w:t>paraišk</w:t>
            </w:r>
            <w:r w:rsidRPr="00FB3FC7">
              <w:rPr>
                <w:color w:val="000000"/>
                <w:lang w:val="lt-LT" w:eastAsia="lt-LT"/>
              </w:rPr>
              <w:t>ų</w:t>
            </w:r>
            <w:r w:rsidR="00FC3E2F" w:rsidRPr="00FB3FC7">
              <w:rPr>
                <w:color w:val="000000"/>
                <w:lang w:val="lt-LT" w:eastAsia="lt-LT"/>
              </w:rPr>
              <w:t xml:space="preserve"> projektiniam finansavimui </w:t>
            </w:r>
            <w:r w:rsidRPr="00FB3FC7">
              <w:rPr>
                <w:color w:val="000000"/>
                <w:lang w:val="lt-LT" w:eastAsia="lt-LT"/>
              </w:rPr>
              <w:t xml:space="preserve">teikimas </w:t>
            </w:r>
            <w:r w:rsidR="00FC3E2F" w:rsidRPr="00FB3FC7">
              <w:rPr>
                <w:color w:val="000000"/>
                <w:lang w:val="lt-LT" w:eastAsia="lt-LT"/>
              </w:rPr>
              <w:t>ir aktuali</w:t>
            </w:r>
            <w:r w:rsidRPr="00FB3FC7">
              <w:rPr>
                <w:color w:val="000000"/>
                <w:lang w:val="lt-LT" w:eastAsia="lt-LT"/>
              </w:rPr>
              <w:t>os</w:t>
            </w:r>
            <w:r w:rsidR="00FC3E2F" w:rsidRPr="00FB3FC7">
              <w:rPr>
                <w:color w:val="000000"/>
                <w:lang w:val="lt-LT" w:eastAsia="lt-LT"/>
              </w:rPr>
              <w:t xml:space="preserve"> bei kokybišk</w:t>
            </w:r>
            <w:r w:rsidRPr="00FB3FC7">
              <w:rPr>
                <w:color w:val="000000"/>
                <w:lang w:val="lt-LT" w:eastAsia="lt-LT"/>
              </w:rPr>
              <w:t>os</w:t>
            </w:r>
            <w:r w:rsidR="00FC3E2F" w:rsidRPr="00FB3FC7">
              <w:rPr>
                <w:color w:val="000000"/>
                <w:lang w:val="lt-LT" w:eastAsia="lt-LT"/>
              </w:rPr>
              <w:t xml:space="preserve"> mokslo produkcij</w:t>
            </w:r>
            <w:r w:rsidRPr="00FB3FC7">
              <w:rPr>
                <w:color w:val="000000"/>
                <w:lang w:val="lt-LT" w:eastAsia="lt-LT"/>
              </w:rPr>
              <w:t>os sukūrimas</w:t>
            </w:r>
          </w:p>
          <w:p w14:paraId="40473C0A" w14:textId="77777777" w:rsidR="00FB3FC7" w:rsidRPr="00FB3FC7" w:rsidRDefault="00FB3FC7" w:rsidP="00FB3FC7">
            <w:pPr>
              <w:pStyle w:val="TableParagraph"/>
              <w:spacing w:before="3" w:line="254" w:lineRule="exact"/>
              <w:ind w:left="98"/>
              <w:rPr>
                <w:lang w:val="lt-LT"/>
              </w:rPr>
            </w:pPr>
          </w:p>
        </w:tc>
        <w:tc>
          <w:tcPr>
            <w:tcW w:w="1701" w:type="dxa"/>
            <w:vAlign w:val="center"/>
          </w:tcPr>
          <w:p w14:paraId="07D72062" w14:textId="77777777" w:rsidR="00B72876" w:rsidRPr="00FB3FC7" w:rsidRDefault="0060794F" w:rsidP="000222CA">
            <w:pPr>
              <w:pStyle w:val="TableParagraph"/>
              <w:ind w:left="98" w:right="93"/>
              <w:jc w:val="center"/>
              <w:rPr>
                <w:w w:val="105"/>
                <w:lang w:val="lt-LT"/>
              </w:rPr>
            </w:pPr>
            <w:r w:rsidRPr="00FB3FC7">
              <w:rPr>
                <w:color w:val="000000"/>
                <w:lang w:val="lt-LT" w:eastAsia="lt-LT"/>
              </w:rPr>
              <w:t xml:space="preserve">iki 1 500 000 Eur arba </w:t>
            </w:r>
            <w:proofErr w:type="spellStart"/>
            <w:r w:rsidRPr="00FB3FC7">
              <w:rPr>
                <w:color w:val="000000"/>
                <w:lang w:val="lt-LT" w:eastAsia="lt-LT"/>
              </w:rPr>
              <w:t>vid</w:t>
            </w:r>
            <w:proofErr w:type="spellEnd"/>
            <w:r w:rsidR="000222CA">
              <w:rPr>
                <w:color w:val="000000"/>
                <w:lang w:val="lt-LT" w:eastAsia="lt-LT"/>
              </w:rPr>
              <w:t>.</w:t>
            </w:r>
            <w:r w:rsidRPr="00FB3FC7">
              <w:rPr>
                <w:color w:val="000000"/>
                <w:lang w:val="lt-LT" w:eastAsia="lt-LT"/>
              </w:rPr>
              <w:t xml:space="preserve"> 300 000 Eur per metus </w:t>
            </w:r>
          </w:p>
        </w:tc>
        <w:tc>
          <w:tcPr>
            <w:tcW w:w="1417" w:type="dxa"/>
            <w:vAlign w:val="center"/>
          </w:tcPr>
          <w:p w14:paraId="6301F8E3" w14:textId="77777777" w:rsidR="00B72876" w:rsidRPr="00FB3FC7" w:rsidRDefault="000222CA" w:rsidP="000222CA">
            <w:pPr>
              <w:pStyle w:val="TableParagraph"/>
              <w:spacing w:before="130"/>
              <w:ind w:left="100" w:right="94"/>
              <w:jc w:val="center"/>
              <w:rPr>
                <w:w w:val="105"/>
                <w:lang w:val="lt-LT"/>
              </w:rPr>
            </w:pPr>
            <w:r>
              <w:rPr>
                <w:w w:val="105"/>
                <w:lang w:val="lt-LT"/>
              </w:rPr>
              <w:t>-</w:t>
            </w:r>
          </w:p>
        </w:tc>
        <w:tc>
          <w:tcPr>
            <w:tcW w:w="2552" w:type="dxa"/>
            <w:vAlign w:val="center"/>
          </w:tcPr>
          <w:p w14:paraId="5DB5F986" w14:textId="77777777" w:rsidR="00B72876" w:rsidRPr="00FB3FC7" w:rsidRDefault="000222CA" w:rsidP="000222CA">
            <w:pPr>
              <w:pStyle w:val="TableParagraph"/>
              <w:spacing w:before="130"/>
              <w:ind w:left="100" w:right="94"/>
              <w:jc w:val="center"/>
              <w:rPr>
                <w:w w:val="105"/>
                <w:lang w:val="lt-LT"/>
              </w:rPr>
            </w:pPr>
            <w:r>
              <w:rPr>
                <w:w w:val="105"/>
                <w:lang w:val="lt-LT"/>
              </w:rPr>
              <w:t>-</w:t>
            </w:r>
          </w:p>
        </w:tc>
        <w:tc>
          <w:tcPr>
            <w:tcW w:w="1134" w:type="dxa"/>
            <w:vAlign w:val="center"/>
          </w:tcPr>
          <w:p w14:paraId="29327A73" w14:textId="77777777" w:rsidR="00B72876" w:rsidRPr="00FB3FC7" w:rsidRDefault="000222CA" w:rsidP="00514582">
            <w:pPr>
              <w:pStyle w:val="TableParagraph"/>
              <w:spacing w:before="130"/>
              <w:ind w:left="100" w:right="94"/>
              <w:jc w:val="center"/>
              <w:rPr>
                <w:w w:val="105"/>
                <w:lang w:val="lt-LT"/>
              </w:rPr>
            </w:pPr>
            <w:r>
              <w:rPr>
                <w:w w:val="105"/>
                <w:lang w:val="lt-LT"/>
              </w:rPr>
              <w:t>-</w:t>
            </w:r>
          </w:p>
        </w:tc>
        <w:tc>
          <w:tcPr>
            <w:tcW w:w="4394" w:type="dxa"/>
          </w:tcPr>
          <w:p w14:paraId="10904F6B" w14:textId="77777777" w:rsidR="0060794F" w:rsidRPr="00F81A48" w:rsidRDefault="0060794F" w:rsidP="0060794F">
            <w:pPr>
              <w:pStyle w:val="TableParagraph"/>
              <w:ind w:left="99" w:right="94"/>
              <w:rPr>
                <w:i/>
                <w:lang w:val="lt-LT"/>
              </w:rPr>
            </w:pPr>
          </w:p>
          <w:p w14:paraId="0B4373D9" w14:textId="77777777" w:rsidR="0060794F" w:rsidRPr="00F81A48" w:rsidRDefault="0060794F" w:rsidP="0060794F">
            <w:pPr>
              <w:pStyle w:val="TableParagraph"/>
              <w:ind w:left="99" w:right="94"/>
              <w:rPr>
                <w:lang w:val="lt-LT"/>
              </w:rPr>
            </w:pPr>
            <w:r w:rsidRPr="00F81A48">
              <w:rPr>
                <w:lang w:val="lt-LT"/>
              </w:rPr>
              <w:t>Iš L</w:t>
            </w:r>
            <w:r w:rsidR="00233053" w:rsidRPr="00F81A48">
              <w:rPr>
                <w:lang w:val="lt-LT"/>
              </w:rPr>
              <w:t>ietuvos mokslo tarybos</w:t>
            </w:r>
            <w:r w:rsidRPr="00F81A48">
              <w:rPr>
                <w:lang w:val="lt-LT"/>
              </w:rPr>
              <w:t xml:space="preserve"> konkursinių projektų</w:t>
            </w:r>
            <w:r w:rsidR="00E66AB8">
              <w:rPr>
                <w:lang w:val="lt-LT"/>
              </w:rPr>
              <w:t>.</w:t>
            </w:r>
          </w:p>
          <w:p w14:paraId="35BFF33F" w14:textId="77777777" w:rsidR="0060794F" w:rsidRPr="00F81A48" w:rsidRDefault="0060794F" w:rsidP="0060794F">
            <w:pPr>
              <w:pStyle w:val="TableParagraph"/>
              <w:ind w:left="99" w:right="94"/>
              <w:rPr>
                <w:lang w:val="lt-LT"/>
              </w:rPr>
            </w:pPr>
          </w:p>
        </w:tc>
      </w:tr>
      <w:tr w:rsidR="00A16DF3" w:rsidRPr="00FB3FC7" w14:paraId="71817F7F" w14:textId="77777777" w:rsidTr="0071172A">
        <w:trPr>
          <w:trHeight w:val="475"/>
        </w:trPr>
        <w:tc>
          <w:tcPr>
            <w:tcW w:w="14884" w:type="dxa"/>
            <w:gridSpan w:val="6"/>
          </w:tcPr>
          <w:p w14:paraId="75B9BC80" w14:textId="77777777" w:rsidR="00A16DF3" w:rsidRPr="00FB3FC7" w:rsidRDefault="00A16DF3" w:rsidP="007E1EAE">
            <w:pPr>
              <w:pStyle w:val="TableParagraph"/>
              <w:ind w:right="94"/>
              <w:rPr>
                <w:vertAlign w:val="superscript"/>
                <w:lang w:val="lt-LT"/>
              </w:rPr>
            </w:pPr>
            <w:r w:rsidRPr="00794186">
              <w:rPr>
                <w:b/>
                <w:color w:val="000000"/>
                <w:lang w:val="lt-LT" w:eastAsia="lt-LT"/>
              </w:rPr>
              <w:t>3.</w:t>
            </w:r>
            <w:r w:rsidRPr="00FB3FC7">
              <w:rPr>
                <w:color w:val="000000"/>
                <w:lang w:val="lt-LT" w:eastAsia="lt-LT"/>
              </w:rPr>
              <w:t xml:space="preserve"> </w:t>
            </w:r>
            <w:r w:rsidRPr="00FB3FC7">
              <w:rPr>
                <w:b/>
                <w:color w:val="000000"/>
                <w:lang w:val="lt-LT" w:eastAsia="lt-LT"/>
              </w:rPr>
              <w:t>Studijų kokybės gerinimas</w:t>
            </w:r>
            <w:r w:rsidR="007E1EAE" w:rsidRPr="00FB3FC7">
              <w:rPr>
                <w:b/>
                <w:color w:val="000000"/>
                <w:lang w:val="lt-LT" w:eastAsia="lt-LT"/>
              </w:rPr>
              <w:t xml:space="preserve"> ir tarptautiškumo didinimas</w:t>
            </w:r>
            <w:r w:rsidRPr="00FB3FC7">
              <w:rPr>
                <w:b/>
                <w:color w:val="000000"/>
                <w:lang w:val="lt-LT" w:eastAsia="lt-LT"/>
              </w:rPr>
              <w:t xml:space="preserve">: vykdomų studijų programų atnaujinimas, IT sprendimų, skirtų nuotoliniam ir mišriam </w:t>
            </w:r>
            <w:r w:rsidRPr="00FB3FC7">
              <w:rPr>
                <w:b/>
                <w:i/>
                <w:iCs/>
                <w:color w:val="000000"/>
                <w:lang w:val="lt-LT" w:eastAsia="lt-LT"/>
              </w:rPr>
              <w:t xml:space="preserve">(angl. </w:t>
            </w:r>
            <w:proofErr w:type="spellStart"/>
            <w:r w:rsidRPr="00FB3FC7">
              <w:rPr>
                <w:b/>
                <w:i/>
                <w:iCs/>
                <w:color w:val="000000"/>
                <w:lang w:val="lt-LT" w:eastAsia="lt-LT"/>
              </w:rPr>
              <w:t>blended</w:t>
            </w:r>
            <w:proofErr w:type="spellEnd"/>
            <w:r w:rsidRPr="00FB3FC7">
              <w:rPr>
                <w:b/>
                <w:i/>
                <w:iCs/>
                <w:color w:val="000000"/>
                <w:lang w:val="lt-LT" w:eastAsia="lt-LT"/>
              </w:rPr>
              <w:t xml:space="preserve"> </w:t>
            </w:r>
            <w:proofErr w:type="spellStart"/>
            <w:r w:rsidRPr="00FB3FC7">
              <w:rPr>
                <w:b/>
                <w:i/>
                <w:iCs/>
                <w:color w:val="000000"/>
                <w:lang w:val="lt-LT" w:eastAsia="lt-LT"/>
              </w:rPr>
              <w:t>learning</w:t>
            </w:r>
            <w:proofErr w:type="spellEnd"/>
            <w:r w:rsidRPr="00FB3FC7">
              <w:rPr>
                <w:b/>
                <w:i/>
                <w:iCs/>
                <w:color w:val="000000"/>
                <w:lang w:val="lt-LT" w:eastAsia="lt-LT"/>
              </w:rPr>
              <w:t>)</w:t>
            </w:r>
            <w:r w:rsidRPr="00FB3FC7">
              <w:rPr>
                <w:b/>
                <w:color w:val="000000"/>
                <w:lang w:val="lt-LT" w:eastAsia="lt-LT"/>
              </w:rPr>
              <w:t xml:space="preserve"> mokymui</w:t>
            </w:r>
            <w:r w:rsidR="00E66AB8">
              <w:rPr>
                <w:b/>
                <w:color w:val="000000"/>
                <w:lang w:val="lt-LT" w:eastAsia="lt-LT"/>
              </w:rPr>
              <w:t>,</w:t>
            </w:r>
            <w:r w:rsidRPr="00FB3FC7">
              <w:rPr>
                <w:b/>
                <w:color w:val="000000"/>
                <w:lang w:val="lt-LT" w:eastAsia="lt-LT"/>
              </w:rPr>
              <w:t xml:space="preserve"> turinio atnaujinimas, naujų programų parengimas, ekspertų programų vystymui pritraukimas ir kt.</w:t>
            </w:r>
          </w:p>
        </w:tc>
      </w:tr>
      <w:tr w:rsidR="000222CA" w:rsidRPr="0063015E" w14:paraId="722DF6A6" w14:textId="77777777" w:rsidTr="002B6E83">
        <w:trPr>
          <w:trHeight w:val="411"/>
        </w:trPr>
        <w:tc>
          <w:tcPr>
            <w:tcW w:w="3686" w:type="dxa"/>
          </w:tcPr>
          <w:p w14:paraId="100514DD" w14:textId="77777777" w:rsidR="000222CA" w:rsidRPr="00FB3FC7" w:rsidRDefault="000222CA" w:rsidP="00E322A4">
            <w:pPr>
              <w:pStyle w:val="TableParagraph"/>
              <w:spacing w:before="3" w:line="254" w:lineRule="exact"/>
              <w:ind w:left="98"/>
              <w:rPr>
                <w:lang w:val="lt-LT"/>
              </w:rPr>
            </w:pPr>
            <w:r w:rsidRPr="00FB3FC7">
              <w:rPr>
                <w:lang w:val="lt-LT"/>
              </w:rPr>
              <w:lastRenderedPageBreak/>
              <w:t>3.1. A</w:t>
            </w:r>
            <w:r w:rsidRPr="00FB3FC7">
              <w:rPr>
                <w:color w:val="000000"/>
                <w:lang w:val="lt-LT" w:eastAsia="lt-LT"/>
              </w:rPr>
              <w:t>ktualių regiono bei stojančiųjų poreikius atliepiančių studijų programų parengimas, prireikus įtraukiant užsienio specialistus arba perkeliant užsienio patirtį, mišraus mokymo(</w:t>
            </w:r>
            <w:proofErr w:type="spellStart"/>
            <w:r w:rsidRPr="00FB3FC7">
              <w:rPr>
                <w:color w:val="000000"/>
                <w:lang w:val="lt-LT" w:eastAsia="lt-LT"/>
              </w:rPr>
              <w:t>si</w:t>
            </w:r>
            <w:proofErr w:type="spellEnd"/>
            <w:r w:rsidRPr="00FB3FC7">
              <w:rPr>
                <w:color w:val="000000"/>
                <w:lang w:val="lt-LT" w:eastAsia="lt-LT"/>
              </w:rPr>
              <w:t>) įgyvendintas praktiškai</w:t>
            </w:r>
          </w:p>
        </w:tc>
        <w:tc>
          <w:tcPr>
            <w:tcW w:w="1701" w:type="dxa"/>
            <w:vAlign w:val="center"/>
          </w:tcPr>
          <w:p w14:paraId="2DFE2127" w14:textId="77777777" w:rsidR="000222CA" w:rsidRPr="00FB3FC7" w:rsidRDefault="000222CA" w:rsidP="00E322A4">
            <w:pPr>
              <w:pStyle w:val="TableParagraph"/>
              <w:ind w:left="98" w:right="93"/>
              <w:jc w:val="center"/>
              <w:rPr>
                <w:w w:val="105"/>
                <w:lang w:val="lt-LT"/>
              </w:rPr>
            </w:pPr>
            <w:r w:rsidRPr="00FB3FC7">
              <w:rPr>
                <w:color w:val="000000"/>
                <w:lang w:val="lt-LT" w:eastAsia="lt-LT"/>
              </w:rPr>
              <w:t xml:space="preserve">iki 1 000 000 Eur </w:t>
            </w:r>
          </w:p>
        </w:tc>
        <w:tc>
          <w:tcPr>
            <w:tcW w:w="1417" w:type="dxa"/>
            <w:vMerge w:val="restart"/>
            <w:vAlign w:val="center"/>
          </w:tcPr>
          <w:p w14:paraId="094A97DC" w14:textId="77777777" w:rsidR="00DF7E49" w:rsidRDefault="00DF7E49" w:rsidP="001D6201">
            <w:pPr>
              <w:pStyle w:val="TableParagraph"/>
              <w:ind w:left="98" w:right="93"/>
              <w:jc w:val="center"/>
              <w:rPr>
                <w:lang w:val="lt-LT"/>
              </w:rPr>
            </w:pPr>
          </w:p>
          <w:p w14:paraId="0DB0795D" w14:textId="77777777" w:rsidR="00DF7E49" w:rsidRDefault="00DF7E49" w:rsidP="001D6201">
            <w:pPr>
              <w:pStyle w:val="TableParagraph"/>
              <w:ind w:left="98" w:right="93"/>
              <w:jc w:val="center"/>
              <w:rPr>
                <w:lang w:val="lt-LT"/>
              </w:rPr>
            </w:pPr>
          </w:p>
          <w:p w14:paraId="462C9F3B" w14:textId="77777777" w:rsidR="00DF7E49" w:rsidRDefault="00DF7E49" w:rsidP="001D6201">
            <w:pPr>
              <w:pStyle w:val="TableParagraph"/>
              <w:ind w:left="98" w:right="93"/>
              <w:jc w:val="center"/>
              <w:rPr>
                <w:lang w:val="lt-LT"/>
              </w:rPr>
            </w:pPr>
          </w:p>
          <w:p w14:paraId="38E567FC" w14:textId="77777777" w:rsidR="00DF7E49" w:rsidRDefault="00DF7E49" w:rsidP="001D6201">
            <w:pPr>
              <w:pStyle w:val="TableParagraph"/>
              <w:ind w:left="98" w:right="93"/>
              <w:jc w:val="center"/>
              <w:rPr>
                <w:lang w:val="lt-LT"/>
              </w:rPr>
            </w:pPr>
          </w:p>
          <w:p w14:paraId="53D3084F" w14:textId="77777777" w:rsidR="000222CA" w:rsidRPr="00FB3FC7" w:rsidRDefault="000222CA" w:rsidP="009D236A">
            <w:pPr>
              <w:pStyle w:val="TableParagraph"/>
              <w:ind w:left="98" w:right="93"/>
              <w:jc w:val="center"/>
              <w:rPr>
                <w:w w:val="105"/>
                <w:lang w:val="lt-LT"/>
              </w:rPr>
            </w:pPr>
            <w:r w:rsidRPr="00F81A48">
              <w:rPr>
                <w:lang w:val="lt-LT"/>
              </w:rPr>
              <w:t>2</w:t>
            </w:r>
            <w:r w:rsidR="009D236A">
              <w:rPr>
                <w:lang w:val="lt-LT"/>
              </w:rPr>
              <w:t> </w:t>
            </w:r>
            <w:r w:rsidRPr="00F81A48">
              <w:rPr>
                <w:lang w:val="lt-LT"/>
              </w:rPr>
              <w:t>8</w:t>
            </w:r>
            <w:r w:rsidR="009D236A">
              <w:rPr>
                <w:lang w:val="lt-LT"/>
              </w:rPr>
              <w:t>00 000</w:t>
            </w:r>
            <w:r w:rsidRPr="00F81A48">
              <w:rPr>
                <w:lang w:val="lt-LT"/>
              </w:rPr>
              <w:t xml:space="preserve"> Eur</w:t>
            </w:r>
          </w:p>
        </w:tc>
        <w:tc>
          <w:tcPr>
            <w:tcW w:w="2552" w:type="dxa"/>
            <w:vAlign w:val="center"/>
          </w:tcPr>
          <w:p w14:paraId="61F2AFC4" w14:textId="77777777" w:rsidR="000222CA" w:rsidRPr="00FB3FC7" w:rsidRDefault="000222CA" w:rsidP="000222CA">
            <w:pPr>
              <w:pStyle w:val="TableParagraph"/>
              <w:spacing w:before="130"/>
              <w:ind w:left="100" w:right="94"/>
              <w:jc w:val="center"/>
              <w:rPr>
                <w:w w:val="105"/>
                <w:lang w:val="lt-LT"/>
              </w:rPr>
            </w:pPr>
            <w:r>
              <w:rPr>
                <w:w w:val="105"/>
                <w:lang w:val="lt-LT"/>
              </w:rPr>
              <w:t>-</w:t>
            </w:r>
          </w:p>
        </w:tc>
        <w:tc>
          <w:tcPr>
            <w:tcW w:w="1134" w:type="dxa"/>
            <w:vAlign w:val="center"/>
          </w:tcPr>
          <w:p w14:paraId="364DCFB7" w14:textId="77777777" w:rsidR="000222CA" w:rsidRPr="00FB3FC7" w:rsidRDefault="000222CA" w:rsidP="000222CA">
            <w:pPr>
              <w:pStyle w:val="TableParagraph"/>
              <w:spacing w:before="130"/>
              <w:ind w:left="100" w:right="94"/>
              <w:jc w:val="center"/>
              <w:rPr>
                <w:w w:val="105"/>
                <w:lang w:val="lt-LT"/>
              </w:rPr>
            </w:pPr>
            <w:r>
              <w:rPr>
                <w:w w:val="105"/>
                <w:lang w:val="lt-LT"/>
              </w:rPr>
              <w:t>-</w:t>
            </w:r>
          </w:p>
        </w:tc>
        <w:tc>
          <w:tcPr>
            <w:tcW w:w="4394" w:type="dxa"/>
            <w:vMerge w:val="restart"/>
          </w:tcPr>
          <w:p w14:paraId="62266D54" w14:textId="77777777" w:rsidR="000222CA" w:rsidRPr="00FB3FC7" w:rsidRDefault="000222CA" w:rsidP="00E322A4">
            <w:pPr>
              <w:pStyle w:val="TableParagraph"/>
              <w:ind w:left="99" w:right="94"/>
              <w:rPr>
                <w:lang w:val="lt-LT"/>
              </w:rPr>
            </w:pPr>
          </w:p>
          <w:p w14:paraId="773D2526" w14:textId="77777777" w:rsidR="000222CA" w:rsidRDefault="000222CA" w:rsidP="00E322A4">
            <w:pPr>
              <w:pStyle w:val="TableParagraph"/>
              <w:ind w:left="99" w:right="94"/>
              <w:rPr>
                <w:lang w:val="lt-LT"/>
              </w:rPr>
            </w:pPr>
          </w:p>
          <w:p w14:paraId="7FC729BF" w14:textId="77777777" w:rsidR="000222CA" w:rsidRDefault="000222CA" w:rsidP="00E322A4">
            <w:pPr>
              <w:pStyle w:val="TableParagraph"/>
              <w:ind w:left="99" w:right="94"/>
              <w:rPr>
                <w:lang w:val="lt-LT"/>
              </w:rPr>
            </w:pPr>
          </w:p>
          <w:p w14:paraId="169989D6" w14:textId="77777777" w:rsidR="000222CA" w:rsidRPr="00F81A48" w:rsidRDefault="000222CA" w:rsidP="00E322A4">
            <w:pPr>
              <w:pStyle w:val="TableParagraph"/>
              <w:ind w:left="99" w:right="94"/>
              <w:rPr>
                <w:lang w:val="lt-LT"/>
              </w:rPr>
            </w:pPr>
          </w:p>
          <w:p w14:paraId="1B499D8D" w14:textId="558A3368" w:rsidR="000222CA" w:rsidRPr="00FB3FC7" w:rsidRDefault="000222CA" w:rsidP="00A35535">
            <w:pPr>
              <w:pStyle w:val="TableParagraph"/>
              <w:ind w:left="99" w:right="94"/>
              <w:rPr>
                <w:vertAlign w:val="superscript"/>
                <w:lang w:val="lt-LT"/>
              </w:rPr>
            </w:pPr>
            <w:r w:rsidRPr="00F81A48">
              <w:rPr>
                <w:lang w:val="lt-LT"/>
              </w:rPr>
              <w:t>Skirti 3.1 ir 3.2 priemonėms</w:t>
            </w:r>
            <w:r w:rsidR="002B6E83">
              <w:rPr>
                <w:lang w:val="lt-LT"/>
              </w:rPr>
              <w:t xml:space="preserve"> į</w:t>
            </w:r>
            <w:r w:rsidR="00A35535">
              <w:rPr>
                <w:lang w:val="lt-LT"/>
              </w:rPr>
              <w:t xml:space="preserve">gyvendinti </w:t>
            </w:r>
            <w:r w:rsidRPr="00F81A48">
              <w:rPr>
                <w:lang w:val="lt-LT"/>
              </w:rPr>
              <w:t>2</w:t>
            </w:r>
            <w:r w:rsidR="009D236A">
              <w:rPr>
                <w:lang w:val="lt-LT"/>
              </w:rPr>
              <w:t> </w:t>
            </w:r>
            <w:r w:rsidRPr="00F81A48">
              <w:rPr>
                <w:lang w:val="lt-LT"/>
              </w:rPr>
              <w:t>8</w:t>
            </w:r>
            <w:r w:rsidR="009D236A">
              <w:rPr>
                <w:lang w:val="lt-LT"/>
              </w:rPr>
              <w:t>00 000</w:t>
            </w:r>
            <w:r w:rsidRPr="00F81A48">
              <w:rPr>
                <w:lang w:val="lt-LT"/>
              </w:rPr>
              <w:t xml:space="preserve"> Eur</w:t>
            </w:r>
            <w:r>
              <w:rPr>
                <w:vertAlign w:val="superscript"/>
                <w:lang w:val="lt-LT"/>
              </w:rPr>
              <w:t>1</w:t>
            </w:r>
            <w:r w:rsidRPr="00F81A48">
              <w:rPr>
                <w:lang w:val="lt-LT"/>
              </w:rPr>
              <w:t xml:space="preserve"> </w:t>
            </w:r>
            <w:r w:rsidRPr="00FB3FC7">
              <w:rPr>
                <w:lang w:val="lt-LT"/>
              </w:rPr>
              <w:t>iš ES SF lėšų</w:t>
            </w:r>
            <w:r w:rsidR="00E66AB8">
              <w:rPr>
                <w:lang w:val="lt-LT"/>
              </w:rPr>
              <w:t>.</w:t>
            </w:r>
          </w:p>
        </w:tc>
      </w:tr>
      <w:tr w:rsidR="000222CA" w:rsidRPr="00FB3FC7" w14:paraId="4F67CC63" w14:textId="77777777" w:rsidTr="002B6E83">
        <w:trPr>
          <w:trHeight w:val="1623"/>
        </w:trPr>
        <w:tc>
          <w:tcPr>
            <w:tcW w:w="3686" w:type="dxa"/>
          </w:tcPr>
          <w:p w14:paraId="685C22A2" w14:textId="77777777" w:rsidR="000222CA" w:rsidRPr="00FB3FC7" w:rsidRDefault="000222CA" w:rsidP="00263DC3">
            <w:pPr>
              <w:pStyle w:val="TableParagraph"/>
              <w:spacing w:before="3" w:line="254" w:lineRule="exact"/>
              <w:ind w:left="98"/>
              <w:rPr>
                <w:lang w:val="lt-LT"/>
              </w:rPr>
            </w:pPr>
            <w:r w:rsidRPr="00FB3FC7">
              <w:rPr>
                <w:color w:val="000000"/>
                <w:lang w:val="lt-LT" w:eastAsia="lt-LT"/>
              </w:rPr>
              <w:t>3.2. Platesnis programų spektras dėstomas užsienio kalba, padidėjęs užsienio piliečių, studijuojančių VUŠA, skaičius, studentų stažuotės ir kt. studijų veiklos užsienyje</w:t>
            </w:r>
          </w:p>
        </w:tc>
        <w:tc>
          <w:tcPr>
            <w:tcW w:w="1701" w:type="dxa"/>
            <w:vAlign w:val="center"/>
          </w:tcPr>
          <w:p w14:paraId="31A98315" w14:textId="77777777" w:rsidR="000222CA" w:rsidRPr="00FB3FC7" w:rsidRDefault="000222CA" w:rsidP="001D6201">
            <w:pPr>
              <w:pStyle w:val="TableParagraph"/>
              <w:ind w:left="98" w:right="93"/>
              <w:jc w:val="center"/>
              <w:rPr>
                <w:w w:val="105"/>
                <w:lang w:val="lt-LT"/>
              </w:rPr>
            </w:pPr>
            <w:r w:rsidRPr="00FB3FC7">
              <w:rPr>
                <w:color w:val="000000"/>
                <w:lang w:val="lt-LT" w:eastAsia="lt-LT"/>
              </w:rPr>
              <w:t xml:space="preserve">iki 1 000 000 Eur, arba </w:t>
            </w:r>
            <w:proofErr w:type="spellStart"/>
            <w:r w:rsidRPr="00FB3FC7">
              <w:rPr>
                <w:color w:val="000000"/>
                <w:lang w:val="lt-LT" w:eastAsia="lt-LT"/>
              </w:rPr>
              <w:t>vid</w:t>
            </w:r>
            <w:proofErr w:type="spellEnd"/>
            <w:r w:rsidRPr="00FB3FC7">
              <w:rPr>
                <w:color w:val="000000"/>
                <w:lang w:val="lt-LT" w:eastAsia="lt-LT"/>
              </w:rPr>
              <w:t>. apie 200 000 Eur per metus</w:t>
            </w:r>
          </w:p>
        </w:tc>
        <w:tc>
          <w:tcPr>
            <w:tcW w:w="1417" w:type="dxa"/>
            <w:vMerge/>
            <w:vAlign w:val="center"/>
          </w:tcPr>
          <w:p w14:paraId="4F169B7D" w14:textId="77777777" w:rsidR="000222CA" w:rsidRPr="00FB3FC7" w:rsidRDefault="000222CA" w:rsidP="007525C5">
            <w:pPr>
              <w:pStyle w:val="TableParagraph"/>
              <w:ind w:left="98" w:right="93"/>
              <w:jc w:val="center"/>
              <w:rPr>
                <w:w w:val="105"/>
                <w:lang w:val="lt-LT"/>
              </w:rPr>
            </w:pPr>
          </w:p>
        </w:tc>
        <w:tc>
          <w:tcPr>
            <w:tcW w:w="2552" w:type="dxa"/>
            <w:vAlign w:val="center"/>
          </w:tcPr>
          <w:p w14:paraId="3157E29A" w14:textId="77777777" w:rsidR="000222CA" w:rsidRPr="00FB3FC7" w:rsidRDefault="00DF7E49" w:rsidP="008A23E3">
            <w:pPr>
              <w:pStyle w:val="TableParagraph"/>
              <w:ind w:left="98" w:right="93"/>
              <w:jc w:val="center"/>
              <w:rPr>
                <w:w w:val="105"/>
                <w:lang w:val="lt-LT"/>
              </w:rPr>
            </w:pPr>
            <w:r>
              <w:rPr>
                <w:w w:val="105"/>
                <w:lang w:val="lt-LT"/>
              </w:rPr>
              <w:t>-</w:t>
            </w:r>
          </w:p>
        </w:tc>
        <w:tc>
          <w:tcPr>
            <w:tcW w:w="1134" w:type="dxa"/>
            <w:vAlign w:val="center"/>
          </w:tcPr>
          <w:p w14:paraId="139CFFC5" w14:textId="77777777" w:rsidR="000222CA" w:rsidRPr="00FB3FC7" w:rsidRDefault="00DF7E49" w:rsidP="001D6201">
            <w:pPr>
              <w:pStyle w:val="TableParagraph"/>
              <w:ind w:left="98" w:right="93"/>
              <w:jc w:val="center"/>
              <w:rPr>
                <w:w w:val="105"/>
                <w:lang w:val="lt-LT"/>
              </w:rPr>
            </w:pPr>
            <w:r>
              <w:rPr>
                <w:w w:val="105"/>
                <w:lang w:val="lt-LT"/>
              </w:rPr>
              <w:t>-</w:t>
            </w:r>
          </w:p>
        </w:tc>
        <w:tc>
          <w:tcPr>
            <w:tcW w:w="4394" w:type="dxa"/>
            <w:vMerge/>
          </w:tcPr>
          <w:p w14:paraId="090CE988" w14:textId="77777777" w:rsidR="000222CA" w:rsidRPr="00FB3FC7" w:rsidRDefault="000222CA" w:rsidP="00124CCA">
            <w:pPr>
              <w:pStyle w:val="TableParagraph"/>
              <w:ind w:left="99" w:right="94"/>
              <w:rPr>
                <w:vertAlign w:val="superscript"/>
                <w:lang w:val="lt-LT"/>
              </w:rPr>
            </w:pPr>
          </w:p>
        </w:tc>
      </w:tr>
      <w:tr w:rsidR="007E1EAE" w:rsidRPr="00FB3FC7" w14:paraId="420F8450" w14:textId="77777777" w:rsidTr="00691FD2">
        <w:trPr>
          <w:trHeight w:val="417"/>
        </w:trPr>
        <w:tc>
          <w:tcPr>
            <w:tcW w:w="14884" w:type="dxa"/>
            <w:gridSpan w:val="6"/>
          </w:tcPr>
          <w:p w14:paraId="5C18E4D4" w14:textId="77777777" w:rsidR="007E1EAE" w:rsidRPr="00FB3FC7" w:rsidRDefault="00514582" w:rsidP="007D2263">
            <w:pPr>
              <w:pStyle w:val="TableParagraph"/>
              <w:spacing w:after="240"/>
              <w:ind w:left="99" w:right="94"/>
              <w:rPr>
                <w:lang w:val="lt-LT"/>
              </w:rPr>
            </w:pPr>
            <w:r w:rsidRPr="00794186">
              <w:rPr>
                <w:b/>
                <w:color w:val="000000"/>
                <w:lang w:val="lt-LT" w:eastAsia="lt-LT"/>
              </w:rPr>
              <w:t>4.</w:t>
            </w:r>
            <w:r w:rsidRPr="00FB3FC7">
              <w:rPr>
                <w:color w:val="000000"/>
                <w:lang w:val="lt-LT" w:eastAsia="lt-LT"/>
              </w:rPr>
              <w:t xml:space="preserve"> </w:t>
            </w:r>
            <w:r w:rsidR="007E1EAE" w:rsidRPr="00FB3FC7">
              <w:rPr>
                <w:b/>
                <w:color w:val="000000"/>
                <w:lang w:val="lt-LT" w:eastAsia="lt-LT"/>
              </w:rPr>
              <w:t>Investicijos į senstantį bendrabučių fondą, mokymosi infrastruktūros atnaujinimas</w:t>
            </w:r>
          </w:p>
        </w:tc>
      </w:tr>
      <w:tr w:rsidR="00B72876" w:rsidRPr="0063015E" w14:paraId="4C3E392D" w14:textId="77777777" w:rsidTr="002B6E83">
        <w:trPr>
          <w:trHeight w:val="513"/>
        </w:trPr>
        <w:tc>
          <w:tcPr>
            <w:tcW w:w="3686" w:type="dxa"/>
          </w:tcPr>
          <w:p w14:paraId="6853CF18" w14:textId="77777777" w:rsidR="00B72876" w:rsidRPr="00F81A48" w:rsidRDefault="00514582" w:rsidP="00263DC3">
            <w:pPr>
              <w:pStyle w:val="TableParagraph"/>
              <w:spacing w:before="3" w:line="254" w:lineRule="exact"/>
              <w:ind w:left="98"/>
              <w:rPr>
                <w:lang w:val="lt-LT"/>
              </w:rPr>
            </w:pPr>
            <w:r w:rsidRPr="00F81A48">
              <w:rPr>
                <w:lang w:val="lt-LT" w:eastAsia="lt-LT"/>
              </w:rPr>
              <w:t xml:space="preserve">4.1. </w:t>
            </w:r>
            <w:r w:rsidR="007E1EAE" w:rsidRPr="00F81A48">
              <w:rPr>
                <w:lang w:val="lt-LT" w:eastAsia="lt-LT"/>
              </w:rPr>
              <w:t>Patrauklios mokymosi aplinkos palaikymas, mokymosi laboratorijų ir infrastruktūros atnaujinimas</w:t>
            </w:r>
          </w:p>
        </w:tc>
        <w:tc>
          <w:tcPr>
            <w:tcW w:w="1701" w:type="dxa"/>
            <w:vAlign w:val="center"/>
          </w:tcPr>
          <w:p w14:paraId="723CCA58" w14:textId="77777777" w:rsidR="00B72876" w:rsidRPr="00F81A48" w:rsidRDefault="00514582" w:rsidP="00FB3FC7">
            <w:pPr>
              <w:pStyle w:val="TableParagraph"/>
              <w:ind w:left="98" w:right="93"/>
              <w:jc w:val="center"/>
              <w:rPr>
                <w:w w:val="105"/>
                <w:lang w:val="lt-LT"/>
              </w:rPr>
            </w:pPr>
            <w:r w:rsidRPr="00F81A48">
              <w:rPr>
                <w:lang w:val="lt-LT" w:eastAsia="lt-LT"/>
              </w:rPr>
              <w:t>iki 5 000 000 Eur</w:t>
            </w:r>
            <w:r w:rsidR="00FB3FC7" w:rsidRPr="00F81A48">
              <w:rPr>
                <w:lang w:val="lt-LT" w:eastAsia="lt-LT"/>
              </w:rPr>
              <w:t xml:space="preserve"> (</w:t>
            </w:r>
            <w:r w:rsidRPr="00F81A48">
              <w:rPr>
                <w:lang w:val="lt-LT" w:eastAsia="lt-LT"/>
              </w:rPr>
              <w:t xml:space="preserve">20 000 </w:t>
            </w:r>
            <w:proofErr w:type="spellStart"/>
            <w:r w:rsidRPr="00F81A48">
              <w:rPr>
                <w:lang w:val="lt-LT" w:eastAsia="lt-LT"/>
              </w:rPr>
              <w:t>kv.m</w:t>
            </w:r>
            <w:proofErr w:type="spellEnd"/>
            <w:r w:rsidRPr="00F81A48">
              <w:rPr>
                <w:lang w:val="lt-LT" w:eastAsia="lt-LT"/>
              </w:rPr>
              <w:t xml:space="preserve"> bendr</w:t>
            </w:r>
            <w:r w:rsidR="00FB3FC7" w:rsidRPr="00F81A48">
              <w:rPr>
                <w:lang w:val="lt-LT" w:eastAsia="lt-LT"/>
              </w:rPr>
              <w:t>o</w:t>
            </w:r>
            <w:r w:rsidRPr="00F81A48">
              <w:rPr>
                <w:lang w:val="lt-LT" w:eastAsia="lt-LT"/>
              </w:rPr>
              <w:t xml:space="preserve"> plot</w:t>
            </w:r>
            <w:r w:rsidR="00FB3FC7" w:rsidRPr="00F81A48">
              <w:rPr>
                <w:lang w:val="lt-LT" w:eastAsia="lt-LT"/>
              </w:rPr>
              <w:t>o</w:t>
            </w:r>
            <w:r w:rsidR="00E66AB8">
              <w:rPr>
                <w:lang w:val="lt-LT" w:eastAsia="lt-LT"/>
              </w:rPr>
              <w:t>)</w:t>
            </w:r>
            <w:r w:rsidRPr="00F81A48">
              <w:rPr>
                <w:lang w:val="lt-LT" w:eastAsia="lt-LT"/>
              </w:rPr>
              <w:t xml:space="preserve"> </w:t>
            </w:r>
          </w:p>
        </w:tc>
        <w:tc>
          <w:tcPr>
            <w:tcW w:w="1417" w:type="dxa"/>
            <w:vAlign w:val="center"/>
          </w:tcPr>
          <w:p w14:paraId="212B9120" w14:textId="77777777" w:rsidR="00B72876" w:rsidRPr="000222CA" w:rsidRDefault="009D236A" w:rsidP="009D236A">
            <w:pPr>
              <w:pStyle w:val="TableParagraph"/>
              <w:ind w:left="98" w:right="93"/>
              <w:rPr>
                <w:w w:val="105"/>
                <w:vertAlign w:val="superscript"/>
              </w:rPr>
            </w:pPr>
            <w:r w:rsidRPr="00F81A48">
              <w:rPr>
                <w:lang w:val="lt-LT"/>
              </w:rPr>
              <w:t>1</w:t>
            </w:r>
            <w:r>
              <w:rPr>
                <w:lang w:val="lt-LT"/>
              </w:rPr>
              <w:t> </w:t>
            </w:r>
            <w:r w:rsidRPr="00F81A48">
              <w:rPr>
                <w:lang w:val="lt-LT"/>
              </w:rPr>
              <w:t>95</w:t>
            </w:r>
            <w:r>
              <w:rPr>
                <w:lang w:val="lt-LT"/>
              </w:rPr>
              <w:t>0 000</w:t>
            </w:r>
            <w:r w:rsidRPr="00F81A48">
              <w:rPr>
                <w:lang w:val="lt-LT"/>
              </w:rPr>
              <w:t xml:space="preserve"> </w:t>
            </w:r>
            <w:r w:rsidR="000222CA" w:rsidRPr="00F81A48">
              <w:rPr>
                <w:lang w:val="lt-LT"/>
              </w:rPr>
              <w:t>Eur</w:t>
            </w:r>
          </w:p>
        </w:tc>
        <w:tc>
          <w:tcPr>
            <w:tcW w:w="2552" w:type="dxa"/>
            <w:vAlign w:val="center"/>
          </w:tcPr>
          <w:p w14:paraId="1F6B358B" w14:textId="77777777" w:rsidR="00B72876" w:rsidRPr="00F81A48" w:rsidRDefault="00DF7E49" w:rsidP="00956B98">
            <w:pPr>
              <w:pStyle w:val="TableParagraph"/>
              <w:ind w:left="98" w:right="93"/>
              <w:jc w:val="center"/>
              <w:rPr>
                <w:w w:val="105"/>
                <w:lang w:val="lt-LT"/>
              </w:rPr>
            </w:pPr>
            <w:r>
              <w:rPr>
                <w:w w:val="105"/>
                <w:lang w:val="lt-LT"/>
              </w:rPr>
              <w:t>-</w:t>
            </w:r>
          </w:p>
        </w:tc>
        <w:tc>
          <w:tcPr>
            <w:tcW w:w="1134" w:type="dxa"/>
            <w:vAlign w:val="center"/>
          </w:tcPr>
          <w:p w14:paraId="6EF1E2D2" w14:textId="77777777" w:rsidR="00B72876" w:rsidRPr="00F81A48" w:rsidRDefault="00DF7E49" w:rsidP="001D6201">
            <w:pPr>
              <w:pStyle w:val="TableParagraph"/>
              <w:ind w:left="98" w:right="93"/>
              <w:jc w:val="center"/>
              <w:rPr>
                <w:w w:val="105"/>
                <w:lang w:val="lt-LT"/>
              </w:rPr>
            </w:pPr>
            <w:r>
              <w:rPr>
                <w:w w:val="105"/>
                <w:lang w:val="lt-LT"/>
              </w:rPr>
              <w:t>-</w:t>
            </w:r>
          </w:p>
        </w:tc>
        <w:tc>
          <w:tcPr>
            <w:tcW w:w="4394" w:type="dxa"/>
          </w:tcPr>
          <w:p w14:paraId="50977D83" w14:textId="77777777" w:rsidR="00514582" w:rsidRPr="00F81A48" w:rsidRDefault="00514582" w:rsidP="00514582">
            <w:pPr>
              <w:pStyle w:val="TableParagraph"/>
              <w:numPr>
                <w:ilvl w:val="0"/>
                <w:numId w:val="6"/>
              </w:numPr>
              <w:ind w:right="94"/>
              <w:rPr>
                <w:lang w:val="lt-LT"/>
              </w:rPr>
            </w:pPr>
            <w:r w:rsidRPr="00F81A48">
              <w:rPr>
                <w:lang w:val="lt-LT"/>
              </w:rPr>
              <w:t xml:space="preserve">Skirti </w:t>
            </w:r>
            <w:r w:rsidR="006E2555" w:rsidRPr="00F81A48">
              <w:rPr>
                <w:lang w:val="lt-LT"/>
              </w:rPr>
              <w:t>1</w:t>
            </w:r>
            <w:r w:rsidR="009D236A">
              <w:rPr>
                <w:lang w:val="lt-LT"/>
              </w:rPr>
              <w:t> </w:t>
            </w:r>
            <w:r w:rsidR="006E2555" w:rsidRPr="00F81A48">
              <w:rPr>
                <w:lang w:val="lt-LT"/>
              </w:rPr>
              <w:t>95</w:t>
            </w:r>
            <w:r w:rsidR="009D236A">
              <w:rPr>
                <w:lang w:val="lt-LT"/>
              </w:rPr>
              <w:t xml:space="preserve">0 000 </w:t>
            </w:r>
            <w:r w:rsidRPr="00F81A48">
              <w:rPr>
                <w:lang w:val="lt-LT"/>
              </w:rPr>
              <w:t>Eur</w:t>
            </w:r>
            <w:r w:rsidRPr="00F81A48">
              <w:rPr>
                <w:vertAlign w:val="superscript"/>
                <w:lang w:val="lt-LT"/>
              </w:rPr>
              <w:t>1</w:t>
            </w:r>
            <w:r w:rsidRPr="00F81A48">
              <w:rPr>
                <w:lang w:val="lt-LT"/>
              </w:rPr>
              <w:t xml:space="preserve"> iš ES SF lėšų pedagogų rengimo centro infrastruktūrai</w:t>
            </w:r>
            <w:r w:rsidR="000222CA">
              <w:rPr>
                <w:lang w:val="lt-LT"/>
              </w:rPr>
              <w:t>.</w:t>
            </w:r>
            <w:r w:rsidRPr="00F81A48">
              <w:rPr>
                <w:lang w:val="lt-LT"/>
              </w:rPr>
              <w:t xml:space="preserve"> </w:t>
            </w:r>
          </w:p>
          <w:p w14:paraId="28FEA64A" w14:textId="4106004F" w:rsidR="00514582" w:rsidRPr="00F81A48" w:rsidRDefault="00514582" w:rsidP="009D0906">
            <w:pPr>
              <w:pStyle w:val="TableParagraph"/>
              <w:numPr>
                <w:ilvl w:val="0"/>
                <w:numId w:val="6"/>
              </w:numPr>
              <w:ind w:right="94"/>
              <w:rPr>
                <w:lang w:val="lt-LT"/>
              </w:rPr>
            </w:pPr>
            <w:r w:rsidRPr="00F81A48">
              <w:rPr>
                <w:lang w:val="lt-LT"/>
              </w:rPr>
              <w:t>Si</w:t>
            </w:r>
            <w:r w:rsidR="00310081" w:rsidRPr="00F81A48">
              <w:rPr>
                <w:lang w:val="lt-LT"/>
              </w:rPr>
              <w:t>ū</w:t>
            </w:r>
            <w:r w:rsidRPr="00F81A48">
              <w:rPr>
                <w:lang w:val="lt-LT"/>
              </w:rPr>
              <w:t xml:space="preserve">lyti investuoti nekilnojamąjį turtą </w:t>
            </w:r>
            <w:r w:rsidR="00EA4C12">
              <w:rPr>
                <w:lang w:val="lt-LT"/>
              </w:rPr>
              <w:t xml:space="preserve">siekiant jį </w:t>
            </w:r>
            <w:r w:rsidRPr="00F81A48">
              <w:rPr>
                <w:lang w:val="lt-LT"/>
              </w:rPr>
              <w:t>pard</w:t>
            </w:r>
            <w:r w:rsidR="00EA4C12">
              <w:rPr>
                <w:lang w:val="lt-LT"/>
              </w:rPr>
              <w:t>uoti</w:t>
            </w:r>
            <w:r w:rsidRPr="00F81A48">
              <w:rPr>
                <w:lang w:val="lt-LT"/>
              </w:rPr>
              <w:t xml:space="preserve"> </w:t>
            </w:r>
            <w:r w:rsidR="00EA4C12">
              <w:rPr>
                <w:lang w:val="lt-LT"/>
              </w:rPr>
              <w:t>bei</w:t>
            </w:r>
            <w:r w:rsidR="00EA4C12" w:rsidRPr="00F81A48">
              <w:rPr>
                <w:lang w:val="lt-LT"/>
              </w:rPr>
              <w:t xml:space="preserve"> </w:t>
            </w:r>
            <w:r w:rsidR="00310081" w:rsidRPr="00F81A48">
              <w:rPr>
                <w:lang w:val="lt-LT"/>
              </w:rPr>
              <w:t>atnaujinti</w:t>
            </w:r>
            <w:r w:rsidRPr="00F81A48">
              <w:rPr>
                <w:lang w:val="lt-LT"/>
              </w:rPr>
              <w:t xml:space="preserve"> studij</w:t>
            </w:r>
            <w:r w:rsidR="00310081" w:rsidRPr="00F81A48">
              <w:rPr>
                <w:lang w:val="lt-LT"/>
              </w:rPr>
              <w:t>ų</w:t>
            </w:r>
            <w:r w:rsidRPr="00F81A48">
              <w:rPr>
                <w:lang w:val="lt-LT"/>
              </w:rPr>
              <w:t xml:space="preserve"> ir bendrabu</w:t>
            </w:r>
            <w:r w:rsidR="00310081" w:rsidRPr="00F81A48">
              <w:rPr>
                <w:lang w:val="lt-LT"/>
              </w:rPr>
              <w:t>čių</w:t>
            </w:r>
            <w:r w:rsidRPr="00F81A48">
              <w:rPr>
                <w:lang w:val="lt-LT"/>
              </w:rPr>
              <w:t xml:space="preserve"> infrastruktūrą</w:t>
            </w:r>
            <w:r w:rsidR="00FB3FC7" w:rsidRPr="00F81A48">
              <w:rPr>
                <w:lang w:val="lt-LT"/>
              </w:rPr>
              <w:t>.</w:t>
            </w:r>
          </w:p>
        </w:tc>
      </w:tr>
      <w:tr w:rsidR="00514582" w:rsidRPr="00FB3FC7" w14:paraId="2FAEC538" w14:textId="77777777" w:rsidTr="004B2BD6">
        <w:trPr>
          <w:trHeight w:val="513"/>
        </w:trPr>
        <w:tc>
          <w:tcPr>
            <w:tcW w:w="14884" w:type="dxa"/>
            <w:gridSpan w:val="6"/>
          </w:tcPr>
          <w:p w14:paraId="0A245A74" w14:textId="77777777" w:rsidR="00514582" w:rsidRPr="00F81A48" w:rsidRDefault="00514582" w:rsidP="003914E1">
            <w:pPr>
              <w:pStyle w:val="TableParagraph"/>
              <w:ind w:left="99" w:right="94"/>
              <w:rPr>
                <w:lang w:val="lt-LT"/>
              </w:rPr>
            </w:pPr>
            <w:r w:rsidRPr="00794186">
              <w:rPr>
                <w:b/>
                <w:lang w:val="lt-LT" w:eastAsia="lt-LT"/>
              </w:rPr>
              <w:t>5.</w:t>
            </w:r>
            <w:r w:rsidRPr="00F81A48">
              <w:rPr>
                <w:lang w:val="lt-LT" w:eastAsia="lt-LT"/>
              </w:rPr>
              <w:t xml:space="preserve"> </w:t>
            </w:r>
            <w:r w:rsidRPr="00F81A48">
              <w:rPr>
                <w:b/>
                <w:lang w:val="lt-LT" w:eastAsia="lt-LT"/>
              </w:rPr>
              <w:t>Studijų rinkodaros išlaidos</w:t>
            </w:r>
          </w:p>
        </w:tc>
      </w:tr>
      <w:tr w:rsidR="00E148CB" w:rsidRPr="00FB3FC7" w14:paraId="5FB4E542" w14:textId="77777777" w:rsidTr="002B6E83">
        <w:trPr>
          <w:trHeight w:val="513"/>
        </w:trPr>
        <w:tc>
          <w:tcPr>
            <w:tcW w:w="3686" w:type="dxa"/>
          </w:tcPr>
          <w:p w14:paraId="5ED0CE35" w14:textId="77777777" w:rsidR="00E148CB" w:rsidRPr="00FB3FC7" w:rsidRDefault="00514582" w:rsidP="00263DC3">
            <w:pPr>
              <w:pStyle w:val="TableParagraph"/>
              <w:spacing w:before="3" w:line="254" w:lineRule="exact"/>
              <w:ind w:left="98"/>
              <w:rPr>
                <w:lang w:val="lt-LT"/>
              </w:rPr>
            </w:pPr>
            <w:r w:rsidRPr="00FB3FC7">
              <w:rPr>
                <w:color w:val="000000"/>
                <w:lang w:val="lt-LT" w:eastAsia="lt-LT"/>
              </w:rPr>
              <w:t>5.1</w:t>
            </w:r>
            <w:r w:rsidR="00E66AB8">
              <w:rPr>
                <w:color w:val="000000"/>
                <w:lang w:val="lt-LT" w:eastAsia="lt-LT"/>
              </w:rPr>
              <w:t>.</w:t>
            </w:r>
            <w:r w:rsidRPr="00FB3FC7">
              <w:rPr>
                <w:color w:val="000000"/>
                <w:lang w:val="lt-LT" w:eastAsia="lt-LT"/>
              </w:rPr>
              <w:t xml:space="preserve"> Aktyvi kasmetinė rinkodara, pritraukianti norinčius studijuoti į Vilniaus universiteto padalinį Šiaulių regione</w:t>
            </w:r>
          </w:p>
        </w:tc>
        <w:tc>
          <w:tcPr>
            <w:tcW w:w="1701" w:type="dxa"/>
            <w:vAlign w:val="center"/>
          </w:tcPr>
          <w:p w14:paraId="0B83B16E" w14:textId="77777777" w:rsidR="00514582" w:rsidRPr="00FB3FC7" w:rsidRDefault="00514582" w:rsidP="009D236A">
            <w:pPr>
              <w:jc w:val="center"/>
              <w:rPr>
                <w:color w:val="000000"/>
                <w:lang w:val="lt-LT" w:eastAsia="lt-LT"/>
              </w:rPr>
            </w:pPr>
            <w:r w:rsidRPr="00FB3FC7">
              <w:rPr>
                <w:color w:val="000000"/>
                <w:lang w:val="lt-LT" w:eastAsia="lt-LT"/>
              </w:rPr>
              <w:t>iki 300 000 Eur, arba</w:t>
            </w:r>
          </w:p>
          <w:p w14:paraId="563A8B32" w14:textId="77777777" w:rsidR="00E148CB" w:rsidRPr="00FB3FC7" w:rsidRDefault="00514582" w:rsidP="009D236A">
            <w:pPr>
              <w:pStyle w:val="TableParagraph"/>
              <w:ind w:left="98" w:right="93"/>
              <w:jc w:val="center"/>
              <w:rPr>
                <w:w w:val="105"/>
                <w:lang w:val="lt-LT"/>
              </w:rPr>
            </w:pPr>
            <w:r w:rsidRPr="00FB3FC7">
              <w:rPr>
                <w:color w:val="000000"/>
                <w:lang w:val="lt-LT" w:eastAsia="lt-LT"/>
              </w:rPr>
              <w:t>60 000 Eur per metus</w:t>
            </w:r>
          </w:p>
        </w:tc>
        <w:tc>
          <w:tcPr>
            <w:tcW w:w="1417" w:type="dxa"/>
            <w:vAlign w:val="center"/>
          </w:tcPr>
          <w:p w14:paraId="1EFAECE2" w14:textId="77777777" w:rsidR="00E148CB" w:rsidRPr="00FB3FC7" w:rsidRDefault="00DF7E49" w:rsidP="008F4068">
            <w:pPr>
              <w:pStyle w:val="TableParagraph"/>
              <w:ind w:left="98" w:right="93"/>
              <w:jc w:val="center"/>
              <w:rPr>
                <w:w w:val="105"/>
                <w:lang w:val="lt-LT"/>
              </w:rPr>
            </w:pPr>
            <w:r>
              <w:rPr>
                <w:w w:val="105"/>
                <w:lang w:val="lt-LT"/>
              </w:rPr>
              <w:t>-</w:t>
            </w:r>
          </w:p>
        </w:tc>
        <w:tc>
          <w:tcPr>
            <w:tcW w:w="2552" w:type="dxa"/>
            <w:vAlign w:val="center"/>
          </w:tcPr>
          <w:p w14:paraId="1B5E6D46" w14:textId="77777777" w:rsidR="00E148CB" w:rsidRPr="00FB3FC7" w:rsidRDefault="00DF7E49" w:rsidP="008F4068">
            <w:pPr>
              <w:pStyle w:val="TableParagraph"/>
              <w:ind w:left="98" w:right="93"/>
              <w:jc w:val="center"/>
              <w:rPr>
                <w:w w:val="105"/>
                <w:lang w:val="lt-LT"/>
              </w:rPr>
            </w:pPr>
            <w:r>
              <w:rPr>
                <w:w w:val="105"/>
                <w:lang w:val="lt-LT"/>
              </w:rPr>
              <w:t>-</w:t>
            </w:r>
          </w:p>
        </w:tc>
        <w:tc>
          <w:tcPr>
            <w:tcW w:w="1134" w:type="dxa"/>
            <w:vAlign w:val="center"/>
          </w:tcPr>
          <w:p w14:paraId="1092E1BC" w14:textId="77777777" w:rsidR="00E148CB" w:rsidRPr="00FB3FC7" w:rsidRDefault="00DF7E49" w:rsidP="008F4068">
            <w:pPr>
              <w:pStyle w:val="TableParagraph"/>
              <w:ind w:left="98" w:right="93"/>
              <w:jc w:val="center"/>
              <w:rPr>
                <w:w w:val="105"/>
                <w:lang w:val="lt-LT"/>
              </w:rPr>
            </w:pPr>
            <w:r>
              <w:rPr>
                <w:w w:val="105"/>
                <w:lang w:val="lt-LT"/>
              </w:rPr>
              <w:t>-</w:t>
            </w:r>
          </w:p>
        </w:tc>
        <w:tc>
          <w:tcPr>
            <w:tcW w:w="4394" w:type="dxa"/>
          </w:tcPr>
          <w:p w14:paraId="6DEAB1D3" w14:textId="77777777" w:rsidR="00124CCA" w:rsidRPr="00FB3FC7" w:rsidRDefault="006E2555" w:rsidP="000222CA">
            <w:pPr>
              <w:pStyle w:val="TableParagraph"/>
              <w:ind w:right="94"/>
              <w:rPr>
                <w:lang w:val="lt-LT"/>
              </w:rPr>
            </w:pPr>
            <w:r>
              <w:rPr>
                <w:lang w:val="lt-LT"/>
              </w:rPr>
              <w:t xml:space="preserve"> Tai  </w:t>
            </w:r>
            <w:r w:rsidR="00581659">
              <w:rPr>
                <w:lang w:val="lt-LT"/>
              </w:rPr>
              <w:t xml:space="preserve">nuolatinė </w:t>
            </w:r>
            <w:r>
              <w:rPr>
                <w:lang w:val="lt-LT"/>
              </w:rPr>
              <w:t>veikla</w:t>
            </w:r>
            <w:r w:rsidR="00E66AB8">
              <w:rPr>
                <w:lang w:val="lt-LT"/>
              </w:rPr>
              <w:t>.</w:t>
            </w:r>
            <w:r>
              <w:rPr>
                <w:lang w:val="lt-LT"/>
              </w:rPr>
              <w:t xml:space="preserve"> </w:t>
            </w:r>
          </w:p>
        </w:tc>
      </w:tr>
    </w:tbl>
    <w:p w14:paraId="39CC0DB0" w14:textId="77777777" w:rsidR="00493303" w:rsidRDefault="00D035E5" w:rsidP="00493303">
      <w:pPr>
        <w:pStyle w:val="Pagrindinistekstas"/>
        <w:rPr>
          <w:sz w:val="20"/>
          <w:szCs w:val="20"/>
          <w:lang w:val="lt-LT"/>
        </w:rPr>
      </w:pPr>
      <w:r w:rsidRPr="00FB3FC7">
        <w:rPr>
          <w:rStyle w:val="Puslapioinaosnuoroda"/>
          <w:sz w:val="20"/>
          <w:szCs w:val="20"/>
          <w:lang w:val="lt-LT"/>
        </w:rPr>
        <w:footnoteRef/>
      </w:r>
      <w:r w:rsidR="00F81A48">
        <w:rPr>
          <w:sz w:val="20"/>
          <w:szCs w:val="20"/>
          <w:lang w:val="lt-LT"/>
        </w:rPr>
        <w:t xml:space="preserve"> </w:t>
      </w:r>
      <w:r w:rsidRPr="00FB3FC7">
        <w:rPr>
          <w:sz w:val="20"/>
          <w:szCs w:val="20"/>
          <w:lang w:val="lt-LT"/>
        </w:rPr>
        <w:t>Sprendimas dėl projektų finansavimo iš ES SF lėšų ir konkrečios finansavimo sumos galės būti priimtas įvertinus projektinių pasiūlymų ir (ar) paraiškų atitikimą ES SF reikalavimams ir, jei taikoma, išnagrinėjus projektų įgyvendinimo alternatyvas.</w:t>
      </w:r>
    </w:p>
    <w:p w14:paraId="6435E450" w14:textId="77777777" w:rsidR="00F81A48" w:rsidRDefault="00F81A48" w:rsidP="00493303">
      <w:pPr>
        <w:pStyle w:val="Pagrindinistekstas"/>
        <w:rPr>
          <w:sz w:val="20"/>
          <w:szCs w:val="20"/>
          <w:lang w:val="lt-LT"/>
        </w:rPr>
      </w:pPr>
    </w:p>
    <w:p w14:paraId="0284C6EE" w14:textId="77777777" w:rsidR="00F81A48" w:rsidRDefault="00F81A48" w:rsidP="00493303">
      <w:pPr>
        <w:pStyle w:val="Pagrindinistekstas"/>
        <w:rPr>
          <w:sz w:val="20"/>
          <w:szCs w:val="20"/>
          <w:lang w:val="lt-LT"/>
        </w:rPr>
      </w:pPr>
    </w:p>
    <w:sectPr w:rsidR="00F81A48" w:rsidSect="007D2263">
      <w:pgSz w:w="16838" w:h="11906" w:orient="landscape"/>
      <w:pgMar w:top="1134" w:right="567" w:bottom="1134" w:left="107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41005" w14:textId="77777777" w:rsidR="00B93F57" w:rsidRDefault="00B93F57" w:rsidP="00B21EB4">
      <w:r>
        <w:separator/>
      </w:r>
    </w:p>
  </w:endnote>
  <w:endnote w:type="continuationSeparator" w:id="0">
    <w:p w14:paraId="0B94DB1D" w14:textId="77777777" w:rsidR="00B93F57" w:rsidRDefault="00B93F57" w:rsidP="00B21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8D872" w14:textId="77777777" w:rsidR="00B93F57" w:rsidRDefault="00B93F57" w:rsidP="00B21EB4">
      <w:r>
        <w:separator/>
      </w:r>
    </w:p>
  </w:footnote>
  <w:footnote w:type="continuationSeparator" w:id="0">
    <w:p w14:paraId="72A6C98B" w14:textId="77777777" w:rsidR="00B93F57" w:rsidRDefault="00B93F57" w:rsidP="00B21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329B"/>
    <w:multiLevelType w:val="hybridMultilevel"/>
    <w:tmpl w:val="9162081E"/>
    <w:lvl w:ilvl="0" w:tplc="B9CC5710">
      <w:start w:val="1"/>
      <w:numFmt w:val="decimal"/>
      <w:lvlText w:val="%1."/>
      <w:lvlJc w:val="left"/>
      <w:pPr>
        <w:ind w:left="538" w:hanging="360"/>
      </w:pPr>
      <w:rPr>
        <w:rFonts w:hint="default"/>
        <w:w w:val="100"/>
      </w:rPr>
    </w:lvl>
    <w:lvl w:ilvl="1" w:tplc="04270019" w:tentative="1">
      <w:start w:val="1"/>
      <w:numFmt w:val="lowerLetter"/>
      <w:lvlText w:val="%2."/>
      <w:lvlJc w:val="left"/>
      <w:pPr>
        <w:ind w:left="1258" w:hanging="360"/>
      </w:pPr>
    </w:lvl>
    <w:lvl w:ilvl="2" w:tplc="0427001B" w:tentative="1">
      <w:start w:val="1"/>
      <w:numFmt w:val="lowerRoman"/>
      <w:lvlText w:val="%3."/>
      <w:lvlJc w:val="right"/>
      <w:pPr>
        <w:ind w:left="1978" w:hanging="180"/>
      </w:pPr>
    </w:lvl>
    <w:lvl w:ilvl="3" w:tplc="0427000F" w:tentative="1">
      <w:start w:val="1"/>
      <w:numFmt w:val="decimal"/>
      <w:lvlText w:val="%4."/>
      <w:lvlJc w:val="left"/>
      <w:pPr>
        <w:ind w:left="2698" w:hanging="360"/>
      </w:pPr>
    </w:lvl>
    <w:lvl w:ilvl="4" w:tplc="04270019" w:tentative="1">
      <w:start w:val="1"/>
      <w:numFmt w:val="lowerLetter"/>
      <w:lvlText w:val="%5."/>
      <w:lvlJc w:val="left"/>
      <w:pPr>
        <w:ind w:left="3418" w:hanging="360"/>
      </w:pPr>
    </w:lvl>
    <w:lvl w:ilvl="5" w:tplc="0427001B" w:tentative="1">
      <w:start w:val="1"/>
      <w:numFmt w:val="lowerRoman"/>
      <w:lvlText w:val="%6."/>
      <w:lvlJc w:val="right"/>
      <w:pPr>
        <w:ind w:left="4138" w:hanging="180"/>
      </w:pPr>
    </w:lvl>
    <w:lvl w:ilvl="6" w:tplc="0427000F" w:tentative="1">
      <w:start w:val="1"/>
      <w:numFmt w:val="decimal"/>
      <w:lvlText w:val="%7."/>
      <w:lvlJc w:val="left"/>
      <w:pPr>
        <w:ind w:left="4858" w:hanging="360"/>
      </w:pPr>
    </w:lvl>
    <w:lvl w:ilvl="7" w:tplc="04270019" w:tentative="1">
      <w:start w:val="1"/>
      <w:numFmt w:val="lowerLetter"/>
      <w:lvlText w:val="%8."/>
      <w:lvlJc w:val="left"/>
      <w:pPr>
        <w:ind w:left="5578" w:hanging="360"/>
      </w:pPr>
    </w:lvl>
    <w:lvl w:ilvl="8" w:tplc="0427001B" w:tentative="1">
      <w:start w:val="1"/>
      <w:numFmt w:val="lowerRoman"/>
      <w:lvlText w:val="%9."/>
      <w:lvlJc w:val="right"/>
      <w:pPr>
        <w:ind w:left="6298" w:hanging="180"/>
      </w:pPr>
    </w:lvl>
  </w:abstractNum>
  <w:abstractNum w:abstractNumId="1" w15:restartNumberingAfterBreak="0">
    <w:nsid w:val="0EAB5A00"/>
    <w:multiLevelType w:val="hybridMultilevel"/>
    <w:tmpl w:val="243ECBC6"/>
    <w:lvl w:ilvl="0" w:tplc="1EF2B26A">
      <w:start w:val="1"/>
      <w:numFmt w:val="decimal"/>
      <w:lvlText w:val="%1."/>
      <w:lvlJc w:val="left"/>
      <w:pPr>
        <w:ind w:left="459" w:hanging="360"/>
      </w:pPr>
      <w:rPr>
        <w:rFonts w:hint="default"/>
      </w:rPr>
    </w:lvl>
    <w:lvl w:ilvl="1" w:tplc="04270019" w:tentative="1">
      <w:start w:val="1"/>
      <w:numFmt w:val="lowerLetter"/>
      <w:lvlText w:val="%2."/>
      <w:lvlJc w:val="left"/>
      <w:pPr>
        <w:ind w:left="1179" w:hanging="360"/>
      </w:pPr>
    </w:lvl>
    <w:lvl w:ilvl="2" w:tplc="0427001B" w:tentative="1">
      <w:start w:val="1"/>
      <w:numFmt w:val="lowerRoman"/>
      <w:lvlText w:val="%3."/>
      <w:lvlJc w:val="right"/>
      <w:pPr>
        <w:ind w:left="1899" w:hanging="180"/>
      </w:pPr>
    </w:lvl>
    <w:lvl w:ilvl="3" w:tplc="0427000F" w:tentative="1">
      <w:start w:val="1"/>
      <w:numFmt w:val="decimal"/>
      <w:lvlText w:val="%4."/>
      <w:lvlJc w:val="left"/>
      <w:pPr>
        <w:ind w:left="2619" w:hanging="360"/>
      </w:pPr>
    </w:lvl>
    <w:lvl w:ilvl="4" w:tplc="04270019" w:tentative="1">
      <w:start w:val="1"/>
      <w:numFmt w:val="lowerLetter"/>
      <w:lvlText w:val="%5."/>
      <w:lvlJc w:val="left"/>
      <w:pPr>
        <w:ind w:left="3339" w:hanging="360"/>
      </w:pPr>
    </w:lvl>
    <w:lvl w:ilvl="5" w:tplc="0427001B" w:tentative="1">
      <w:start w:val="1"/>
      <w:numFmt w:val="lowerRoman"/>
      <w:lvlText w:val="%6."/>
      <w:lvlJc w:val="right"/>
      <w:pPr>
        <w:ind w:left="4059" w:hanging="180"/>
      </w:pPr>
    </w:lvl>
    <w:lvl w:ilvl="6" w:tplc="0427000F" w:tentative="1">
      <w:start w:val="1"/>
      <w:numFmt w:val="decimal"/>
      <w:lvlText w:val="%7."/>
      <w:lvlJc w:val="left"/>
      <w:pPr>
        <w:ind w:left="4779" w:hanging="360"/>
      </w:pPr>
    </w:lvl>
    <w:lvl w:ilvl="7" w:tplc="04270019" w:tentative="1">
      <w:start w:val="1"/>
      <w:numFmt w:val="lowerLetter"/>
      <w:lvlText w:val="%8."/>
      <w:lvlJc w:val="left"/>
      <w:pPr>
        <w:ind w:left="5499" w:hanging="360"/>
      </w:pPr>
    </w:lvl>
    <w:lvl w:ilvl="8" w:tplc="0427001B" w:tentative="1">
      <w:start w:val="1"/>
      <w:numFmt w:val="lowerRoman"/>
      <w:lvlText w:val="%9."/>
      <w:lvlJc w:val="right"/>
      <w:pPr>
        <w:ind w:left="6219" w:hanging="180"/>
      </w:pPr>
    </w:lvl>
  </w:abstractNum>
  <w:abstractNum w:abstractNumId="2" w15:restartNumberingAfterBreak="0">
    <w:nsid w:val="27E11998"/>
    <w:multiLevelType w:val="hybridMultilevel"/>
    <w:tmpl w:val="B11C081C"/>
    <w:lvl w:ilvl="0" w:tplc="5948AA02">
      <w:start w:val="1"/>
      <w:numFmt w:val="upperRoman"/>
      <w:lvlText w:val="%1."/>
      <w:lvlJc w:val="left"/>
      <w:pPr>
        <w:ind w:left="1800" w:hanging="720"/>
      </w:pPr>
      <w:rPr>
        <w:rFonts w:hint="default"/>
        <w:w w:val="13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AC22277"/>
    <w:multiLevelType w:val="hybridMultilevel"/>
    <w:tmpl w:val="D57A563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B1E3BE5"/>
    <w:multiLevelType w:val="hybridMultilevel"/>
    <w:tmpl w:val="90FEF598"/>
    <w:lvl w:ilvl="0" w:tplc="9BBC264C">
      <w:start w:val="1"/>
      <w:numFmt w:val="upperRoman"/>
      <w:lvlText w:val="%1."/>
      <w:lvlJc w:val="left"/>
      <w:pPr>
        <w:ind w:left="1080" w:hanging="720"/>
      </w:pPr>
      <w:rPr>
        <w:rFonts w:hint="default"/>
        <w:w w:val="13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5B6FA3"/>
    <w:multiLevelType w:val="hybridMultilevel"/>
    <w:tmpl w:val="EC24B760"/>
    <w:lvl w:ilvl="0" w:tplc="51FEDAF0">
      <w:start w:val="1"/>
      <w:numFmt w:val="decimal"/>
      <w:lvlText w:val="%1."/>
      <w:lvlJc w:val="left"/>
      <w:pPr>
        <w:ind w:left="720" w:hanging="360"/>
      </w:pPr>
      <w:rPr>
        <w:rFonts w:hint="default"/>
        <w:w w:val="13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93A"/>
    <w:rsid w:val="000222CA"/>
    <w:rsid w:val="00080939"/>
    <w:rsid w:val="000860BC"/>
    <w:rsid w:val="00090619"/>
    <w:rsid w:val="000D701F"/>
    <w:rsid w:val="00124CCA"/>
    <w:rsid w:val="001D0C26"/>
    <w:rsid w:val="001D6201"/>
    <w:rsid w:val="001F693A"/>
    <w:rsid w:val="00233053"/>
    <w:rsid w:val="002340D1"/>
    <w:rsid w:val="00263DC3"/>
    <w:rsid w:val="002771C5"/>
    <w:rsid w:val="0028234D"/>
    <w:rsid w:val="002B6E83"/>
    <w:rsid w:val="00310081"/>
    <w:rsid w:val="00312D9A"/>
    <w:rsid w:val="003830FA"/>
    <w:rsid w:val="00387F10"/>
    <w:rsid w:val="003914E1"/>
    <w:rsid w:val="00415073"/>
    <w:rsid w:val="004430F2"/>
    <w:rsid w:val="0044671F"/>
    <w:rsid w:val="00450672"/>
    <w:rsid w:val="00475AA1"/>
    <w:rsid w:val="00493303"/>
    <w:rsid w:val="004A3B70"/>
    <w:rsid w:val="004A5C66"/>
    <w:rsid w:val="004E4C05"/>
    <w:rsid w:val="004F45A8"/>
    <w:rsid w:val="00514582"/>
    <w:rsid w:val="00520C60"/>
    <w:rsid w:val="0053043E"/>
    <w:rsid w:val="00541595"/>
    <w:rsid w:val="00547748"/>
    <w:rsid w:val="005610C9"/>
    <w:rsid w:val="00562BA1"/>
    <w:rsid w:val="005705C3"/>
    <w:rsid w:val="00581659"/>
    <w:rsid w:val="00583940"/>
    <w:rsid w:val="005A70C7"/>
    <w:rsid w:val="005B0F62"/>
    <w:rsid w:val="0060794F"/>
    <w:rsid w:val="0063015E"/>
    <w:rsid w:val="006C0B61"/>
    <w:rsid w:val="006C1AF1"/>
    <w:rsid w:val="006E2555"/>
    <w:rsid w:val="00710C61"/>
    <w:rsid w:val="007172EC"/>
    <w:rsid w:val="00723867"/>
    <w:rsid w:val="007525C5"/>
    <w:rsid w:val="00774095"/>
    <w:rsid w:val="00794186"/>
    <w:rsid w:val="007A6B7C"/>
    <w:rsid w:val="007B5C2D"/>
    <w:rsid w:val="007D2263"/>
    <w:rsid w:val="007E1EAE"/>
    <w:rsid w:val="007F1D44"/>
    <w:rsid w:val="008A23E3"/>
    <w:rsid w:val="008A6CE4"/>
    <w:rsid w:val="008F4068"/>
    <w:rsid w:val="009262BF"/>
    <w:rsid w:val="00956B98"/>
    <w:rsid w:val="00996E84"/>
    <w:rsid w:val="009A72D1"/>
    <w:rsid w:val="009A7B11"/>
    <w:rsid w:val="009D0906"/>
    <w:rsid w:val="009D236A"/>
    <w:rsid w:val="009D7D83"/>
    <w:rsid w:val="00A034D5"/>
    <w:rsid w:val="00A16DF3"/>
    <w:rsid w:val="00A35535"/>
    <w:rsid w:val="00A5546E"/>
    <w:rsid w:val="00A95D69"/>
    <w:rsid w:val="00AB14AB"/>
    <w:rsid w:val="00AF1C0C"/>
    <w:rsid w:val="00B21EB4"/>
    <w:rsid w:val="00B441E8"/>
    <w:rsid w:val="00B56F77"/>
    <w:rsid w:val="00B72876"/>
    <w:rsid w:val="00B800CC"/>
    <w:rsid w:val="00B86032"/>
    <w:rsid w:val="00B93F57"/>
    <w:rsid w:val="00BE1A33"/>
    <w:rsid w:val="00C7683B"/>
    <w:rsid w:val="00C8250F"/>
    <w:rsid w:val="00C95AC9"/>
    <w:rsid w:val="00CA4F7F"/>
    <w:rsid w:val="00CE0B3F"/>
    <w:rsid w:val="00D035E5"/>
    <w:rsid w:val="00D51E91"/>
    <w:rsid w:val="00DB5840"/>
    <w:rsid w:val="00DF7E49"/>
    <w:rsid w:val="00E0561C"/>
    <w:rsid w:val="00E148CB"/>
    <w:rsid w:val="00E322A4"/>
    <w:rsid w:val="00E60995"/>
    <w:rsid w:val="00E66AB8"/>
    <w:rsid w:val="00E75691"/>
    <w:rsid w:val="00E97473"/>
    <w:rsid w:val="00EA0F44"/>
    <w:rsid w:val="00EA4C12"/>
    <w:rsid w:val="00F47DA0"/>
    <w:rsid w:val="00F81A48"/>
    <w:rsid w:val="00F82BCA"/>
    <w:rsid w:val="00F90112"/>
    <w:rsid w:val="00FB3FC7"/>
    <w:rsid w:val="00FC3E2F"/>
    <w:rsid w:val="00FF43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48431"/>
  <w15:docId w15:val="{B6B423C3-62FE-4C41-969B-7783031C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uiPriority w:val="1"/>
    <w:qFormat/>
    <w:rsid w:val="002340D1"/>
    <w:pPr>
      <w:widowControl w:val="0"/>
      <w:autoSpaceDE w:val="0"/>
      <w:autoSpaceDN w:val="0"/>
      <w:spacing w:after="0" w:line="240" w:lineRule="auto"/>
    </w:pPr>
    <w:rPr>
      <w:rFonts w:ascii="Times New Roman" w:eastAsia="Times New Roman" w:hAnsi="Times New Roman"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rsid w:val="002340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2340D1"/>
  </w:style>
  <w:style w:type="character" w:customStyle="1" w:styleId="PagrindinistekstasDiagrama">
    <w:name w:val="Pagrindinis tekstas Diagrama"/>
    <w:basedOn w:val="Numatytasispastraiposriftas"/>
    <w:link w:val="Pagrindinistekstas"/>
    <w:uiPriority w:val="1"/>
    <w:rsid w:val="002340D1"/>
    <w:rPr>
      <w:rFonts w:ascii="Times New Roman" w:eastAsia="Times New Roman" w:hAnsi="Times New Roman" w:cs="Times New Roman"/>
      <w:lang w:val="en-US"/>
    </w:rPr>
  </w:style>
  <w:style w:type="paragraph" w:customStyle="1" w:styleId="TableParagraph">
    <w:name w:val="Table Paragraph"/>
    <w:basedOn w:val="prastasis"/>
    <w:uiPriority w:val="1"/>
    <w:qFormat/>
    <w:rsid w:val="002340D1"/>
  </w:style>
  <w:style w:type="paragraph" w:styleId="Sraopastraipa">
    <w:name w:val="List Paragraph"/>
    <w:basedOn w:val="prastasis"/>
    <w:uiPriority w:val="34"/>
    <w:qFormat/>
    <w:rsid w:val="000860BC"/>
    <w:pPr>
      <w:ind w:left="720"/>
      <w:contextualSpacing/>
    </w:pPr>
  </w:style>
  <w:style w:type="paragraph" w:styleId="Turinys3">
    <w:name w:val="toc 3"/>
    <w:basedOn w:val="prastasis"/>
    <w:uiPriority w:val="1"/>
    <w:qFormat/>
    <w:rsid w:val="007F1D44"/>
    <w:pPr>
      <w:spacing w:before="94"/>
      <w:ind w:left="812" w:hanging="364"/>
    </w:pPr>
    <w:rPr>
      <w:sz w:val="20"/>
      <w:szCs w:val="20"/>
    </w:rPr>
  </w:style>
  <w:style w:type="paragraph" w:customStyle="1" w:styleId="linija">
    <w:name w:val="linija"/>
    <w:basedOn w:val="prastasis"/>
    <w:uiPriority w:val="99"/>
    <w:rsid w:val="00387F10"/>
    <w:pPr>
      <w:widowControl/>
      <w:autoSpaceDE/>
      <w:autoSpaceDN/>
      <w:spacing w:before="100" w:beforeAutospacing="1" w:after="100" w:afterAutospacing="1"/>
    </w:pPr>
    <w:rPr>
      <w:sz w:val="24"/>
      <w:szCs w:val="24"/>
      <w:lang w:val="lt-LT" w:eastAsia="lt-LT"/>
    </w:rPr>
  </w:style>
  <w:style w:type="paragraph" w:styleId="Debesliotekstas">
    <w:name w:val="Balloon Text"/>
    <w:basedOn w:val="prastasis"/>
    <w:link w:val="DebesliotekstasDiagrama"/>
    <w:uiPriority w:val="99"/>
    <w:semiHidden/>
    <w:unhideWhenUsed/>
    <w:rsid w:val="0041507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5073"/>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B21EB4"/>
    <w:rPr>
      <w:sz w:val="16"/>
      <w:szCs w:val="16"/>
    </w:rPr>
  </w:style>
  <w:style w:type="paragraph" w:styleId="Komentarotekstas">
    <w:name w:val="annotation text"/>
    <w:basedOn w:val="prastasis"/>
    <w:link w:val="KomentarotekstasDiagrama"/>
    <w:uiPriority w:val="99"/>
    <w:semiHidden/>
    <w:unhideWhenUsed/>
    <w:rsid w:val="00B21EB4"/>
    <w:rPr>
      <w:sz w:val="20"/>
      <w:szCs w:val="20"/>
    </w:rPr>
  </w:style>
  <w:style w:type="character" w:customStyle="1" w:styleId="KomentarotekstasDiagrama">
    <w:name w:val="Komentaro tekstas Diagrama"/>
    <w:basedOn w:val="Numatytasispastraiposriftas"/>
    <w:link w:val="Komentarotekstas"/>
    <w:uiPriority w:val="99"/>
    <w:semiHidden/>
    <w:rsid w:val="00B21EB4"/>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B21EB4"/>
    <w:rPr>
      <w:b/>
      <w:bCs/>
    </w:rPr>
  </w:style>
  <w:style w:type="character" w:customStyle="1" w:styleId="KomentarotemaDiagrama">
    <w:name w:val="Komentaro tema Diagrama"/>
    <w:basedOn w:val="KomentarotekstasDiagrama"/>
    <w:link w:val="Komentarotema"/>
    <w:uiPriority w:val="99"/>
    <w:semiHidden/>
    <w:rsid w:val="00B21EB4"/>
    <w:rPr>
      <w:rFonts w:ascii="Times New Roman" w:eastAsia="Times New Roman" w:hAnsi="Times New Roman" w:cs="Times New Roman"/>
      <w:b/>
      <w:bCs/>
      <w:sz w:val="20"/>
      <w:szCs w:val="20"/>
      <w:lang w:val="en-US"/>
    </w:rPr>
  </w:style>
  <w:style w:type="paragraph" w:styleId="Puslapioinaostekstas">
    <w:name w:val="footnote text"/>
    <w:basedOn w:val="prastasis"/>
    <w:link w:val="PuslapioinaostekstasDiagrama"/>
    <w:uiPriority w:val="99"/>
    <w:semiHidden/>
    <w:unhideWhenUsed/>
    <w:rsid w:val="00B21EB4"/>
    <w:rPr>
      <w:sz w:val="20"/>
      <w:szCs w:val="20"/>
    </w:rPr>
  </w:style>
  <w:style w:type="character" w:customStyle="1" w:styleId="PuslapioinaostekstasDiagrama">
    <w:name w:val="Puslapio išnašos tekstas Diagrama"/>
    <w:basedOn w:val="Numatytasispastraiposriftas"/>
    <w:link w:val="Puslapioinaostekstas"/>
    <w:uiPriority w:val="99"/>
    <w:semiHidden/>
    <w:rsid w:val="00B21EB4"/>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B21EB4"/>
    <w:rPr>
      <w:vertAlign w:val="superscript"/>
    </w:rPr>
  </w:style>
  <w:style w:type="paragraph" w:styleId="Porat">
    <w:name w:val="footer"/>
    <w:basedOn w:val="prastasis"/>
    <w:link w:val="PoratDiagrama"/>
    <w:uiPriority w:val="99"/>
    <w:unhideWhenUsed/>
    <w:rsid w:val="00514582"/>
    <w:pPr>
      <w:widowControl/>
      <w:tabs>
        <w:tab w:val="center" w:pos="4819"/>
        <w:tab w:val="right" w:pos="9638"/>
      </w:tabs>
      <w:autoSpaceDE/>
      <w:autoSpaceDN/>
    </w:pPr>
    <w:rPr>
      <w:rFonts w:eastAsiaTheme="minorHAnsi"/>
      <w:sz w:val="24"/>
      <w:szCs w:val="24"/>
      <w:lang w:val="en-GB" w:eastAsia="en-GB"/>
    </w:rPr>
  </w:style>
  <w:style w:type="character" w:customStyle="1" w:styleId="PoratDiagrama">
    <w:name w:val="Poraštė Diagrama"/>
    <w:basedOn w:val="Numatytasispastraiposriftas"/>
    <w:link w:val="Porat"/>
    <w:uiPriority w:val="99"/>
    <w:rsid w:val="00514582"/>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A8EE3-C20A-489B-AAD4-45731565CBFF}">
  <ds:schemaRef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6B41D213-2566-4071-ACE0-0D4AB9107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DA7B775-3344-4BEF-B4F1-87FDA8592062}">
  <ds:schemaRefs>
    <ds:schemaRef ds:uri="http://schemas.microsoft.com/sharepoint/v3/contenttype/forms"/>
  </ds:schemaRefs>
</ds:datastoreItem>
</file>

<file path=customXml/itemProps4.xml><?xml version="1.0" encoding="utf-8"?>
<ds:datastoreItem xmlns:ds="http://schemas.openxmlformats.org/officeDocument/2006/customXml" ds:itemID="{9E408660-9C6D-410A-950A-10BC1755A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2108</Words>
  <Characters>1202</Characters>
  <Application>Microsoft Office Word</Application>
  <DocSecurity>4</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4b07d0eb-f346-4e91-a3d8-5f29748ef7a2</vt: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4b07d0eb-f346-4e91-a3d8-5f29748ef7a2</dc:title>
  <dc:subject/>
  <dc:creator>Balkuvienė Vaida</dc:creator>
  <cp:keywords/>
  <dc:description/>
  <cp:lastModifiedBy>Regina Kiselienė</cp:lastModifiedBy>
  <cp:revision>2</cp:revision>
  <cp:lastPrinted>2018-06-05T11:45:00Z</cp:lastPrinted>
  <dcterms:created xsi:type="dcterms:W3CDTF">2020-04-29T06:15:00Z</dcterms:created>
  <dcterms:modified xsi:type="dcterms:W3CDTF">2020-04-29T06:15:00Z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po vizavimo</vt:lpwstr>
  </property>
</Properties>
</file>