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070" w:rsidRDefault="00983007">
      <w:pPr>
        <w:jc w:val="center"/>
        <w:rPr>
          <w:b/>
        </w:rPr>
      </w:pPr>
      <w:r>
        <w:rPr>
          <w:b/>
        </w:rPr>
        <w:t xml:space="preserve">DĖL LIETUVOS RESPUBLIKOS VYRIAUSYBĖS NUTARIMO </w:t>
      </w:r>
    </w:p>
    <w:p w:rsidR="005D3713" w:rsidRPr="005D3713" w:rsidRDefault="00983007" w:rsidP="005D3713">
      <w:pPr>
        <w:jc w:val="center"/>
        <w:rPr>
          <w:b/>
        </w:rPr>
      </w:pPr>
      <w:r>
        <w:rPr>
          <w:b/>
        </w:rPr>
        <w:t>„</w:t>
      </w:r>
      <w:r w:rsidR="005D3713" w:rsidRPr="005D3713">
        <w:rPr>
          <w:b/>
        </w:rPr>
        <w:t xml:space="preserve">DĖL LIETUVOS RESPUBLIKOS VYRIAUSYBĖS 2016 M. </w:t>
      </w:r>
      <w:r w:rsidR="005D3713" w:rsidRPr="005D3713">
        <w:rPr>
          <w:b/>
          <w:caps/>
        </w:rPr>
        <w:t xml:space="preserve">lapkričio </w:t>
      </w:r>
      <w:r w:rsidR="005D3713" w:rsidRPr="005D3713">
        <w:rPr>
          <w:b/>
        </w:rPr>
        <w:t xml:space="preserve">9 D. NUTARIMO NR. 1121 „DĖL AKCINĖS BENDROVĖS „LIETUVOS GELEŽINKELIŲ INFRASTRUKTŪRA“ PATIKĖJIMO TEISE VALDOMO VALSTYBĖS NEKILNOJAMOJO TURTO PERDAVIMO“ PAKEITIMO </w:t>
      </w:r>
    </w:p>
    <w:p w:rsidR="00952070" w:rsidRPr="005D3713" w:rsidRDefault="00983007">
      <w:pPr>
        <w:jc w:val="center"/>
        <w:rPr>
          <w:b/>
        </w:rPr>
      </w:pPr>
      <w:r>
        <w:rPr>
          <w:b/>
        </w:rPr>
        <w:t xml:space="preserve"> PROJEKTO (TOLIAU – PROJEKTAS) </w:t>
      </w:r>
      <w:r w:rsidRPr="005D3713">
        <w:rPr>
          <w:b/>
        </w:rPr>
        <w:t>DERINIMO PAŽYMA</w:t>
      </w:r>
    </w:p>
    <w:p w:rsidR="00952070" w:rsidRDefault="00952070">
      <w:pPr>
        <w:tabs>
          <w:tab w:val="left" w:pos="7020"/>
        </w:tabs>
        <w:jc w:val="center"/>
        <w:rPr>
          <w:b/>
          <w:caps/>
          <w:sz w:val="16"/>
          <w:szCs w:val="16"/>
        </w:rPr>
      </w:pPr>
    </w:p>
    <w:tbl>
      <w:tblPr>
        <w:tblW w:w="11341" w:type="dxa"/>
        <w:tblInd w:w="-1423" w:type="dxa"/>
        <w:tblLayout w:type="fixed"/>
        <w:tblCellMar>
          <w:left w:w="10" w:type="dxa"/>
          <w:right w:w="10" w:type="dxa"/>
        </w:tblCellMar>
        <w:tblLook w:val="04A0" w:firstRow="1" w:lastRow="0" w:firstColumn="1" w:lastColumn="0" w:noHBand="0" w:noVBand="1"/>
      </w:tblPr>
      <w:tblGrid>
        <w:gridCol w:w="1702"/>
        <w:gridCol w:w="3685"/>
        <w:gridCol w:w="5954"/>
      </w:tblGrid>
      <w:tr w:rsidR="00952070" w:rsidTr="00927E66">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070" w:rsidRPr="00983007" w:rsidRDefault="00983007">
            <w:pPr>
              <w:tabs>
                <w:tab w:val="left" w:pos="7020"/>
              </w:tabs>
              <w:jc w:val="center"/>
            </w:pPr>
            <w:r w:rsidRPr="00983007">
              <w:rPr>
                <w:b/>
              </w:rPr>
              <w:t>Institucijos pavadinimas, rašto data ir numeris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070" w:rsidRPr="00983007" w:rsidRDefault="00983007">
            <w:pPr>
              <w:tabs>
                <w:tab w:val="left" w:pos="7020"/>
              </w:tabs>
              <w:jc w:val="center"/>
            </w:pPr>
            <w:r w:rsidRPr="00983007">
              <w:rPr>
                <w:b/>
              </w:rPr>
              <w:t>Pastabos ir pasiūlymai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070" w:rsidRPr="00983007" w:rsidRDefault="00983007">
            <w:pPr>
              <w:jc w:val="center"/>
              <w:rPr>
                <w:b/>
              </w:rPr>
            </w:pPr>
            <w:r w:rsidRPr="00983007">
              <w:rPr>
                <w:b/>
              </w:rPr>
              <w:t>Žyma apie pastabas ir pasiūlymus,</w:t>
            </w:r>
          </w:p>
          <w:p w:rsidR="00952070" w:rsidRPr="00983007" w:rsidRDefault="00983007">
            <w:pPr>
              <w:jc w:val="center"/>
              <w:rPr>
                <w:b/>
              </w:rPr>
            </w:pPr>
            <w:r w:rsidRPr="00983007">
              <w:rPr>
                <w:b/>
              </w:rPr>
              <w:t>į kuriuos neatsižvelgta ar</w:t>
            </w:r>
          </w:p>
          <w:p w:rsidR="00952070" w:rsidRPr="00983007" w:rsidRDefault="00983007">
            <w:pPr>
              <w:jc w:val="center"/>
              <w:rPr>
                <w:b/>
              </w:rPr>
            </w:pPr>
            <w:r w:rsidRPr="00983007">
              <w:rPr>
                <w:b/>
              </w:rPr>
              <w:t>atsižvelgta iš dalies</w:t>
            </w:r>
          </w:p>
        </w:tc>
      </w:tr>
      <w:tr w:rsidR="00952070" w:rsidTr="00927E66">
        <w:trPr>
          <w:trHeight w:val="557"/>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070" w:rsidRPr="00983007" w:rsidRDefault="00983007">
            <w:pPr>
              <w:tabs>
                <w:tab w:val="left" w:pos="7020"/>
              </w:tabs>
              <w:rPr>
                <w:bCs/>
                <w:lang w:eastAsia="lt-LT"/>
              </w:rPr>
            </w:pPr>
            <w:r w:rsidRPr="00983007">
              <w:rPr>
                <w:bCs/>
                <w:lang w:eastAsia="lt-LT"/>
              </w:rPr>
              <w:t xml:space="preserve">Lietuvos Respublikos Vyriausybės kanceliarijos Teisės grupės </w:t>
            </w:r>
            <w:r w:rsidR="005D3713" w:rsidRPr="00983007">
              <w:t>2020 m. liepos 15 d. išvada Nr. NV-1980</w:t>
            </w:r>
            <w:r w:rsidR="00927E66">
              <w:t xml:space="preserve"> (toliau – Išvada)</w:t>
            </w:r>
          </w:p>
          <w:p w:rsidR="00952070" w:rsidRPr="00983007" w:rsidRDefault="00952070">
            <w:pPr>
              <w:tabs>
                <w:tab w:val="left" w:pos="7020"/>
              </w:tabs>
              <w:rPr>
                <w:bCs/>
                <w:lang w:eastAsia="lt-LT"/>
              </w:rPr>
            </w:pPr>
          </w:p>
          <w:p w:rsidR="00952070" w:rsidRPr="00983007" w:rsidRDefault="00952070">
            <w:pPr>
              <w:tabs>
                <w:tab w:val="left" w:pos="7020"/>
              </w:tabs>
              <w:rPr>
                <w:bCs/>
                <w:lang w:eastAsia="lt-LT"/>
              </w:rPr>
            </w:pPr>
          </w:p>
          <w:p w:rsidR="00952070" w:rsidRPr="00983007" w:rsidRDefault="00952070">
            <w:pPr>
              <w:tabs>
                <w:tab w:val="left" w:pos="7020"/>
              </w:tabs>
              <w:rPr>
                <w:bCs/>
                <w:lang w:eastAsia="lt-LT"/>
              </w:rPr>
            </w:pPr>
          </w:p>
          <w:p w:rsidR="00952070" w:rsidRPr="00983007" w:rsidRDefault="00952070">
            <w:pPr>
              <w:tabs>
                <w:tab w:val="left" w:pos="7020"/>
              </w:tabs>
              <w:rPr>
                <w:bCs/>
                <w:lang w:eastAsia="lt-LT"/>
              </w:rPr>
            </w:pPr>
          </w:p>
          <w:p w:rsidR="00952070" w:rsidRPr="00983007" w:rsidRDefault="00952070">
            <w:pPr>
              <w:tabs>
                <w:tab w:val="left" w:pos="7020"/>
              </w:tabs>
              <w:rPr>
                <w:bCs/>
                <w:lang w:eastAsia="lt-LT"/>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7E66" w:rsidRPr="007A3C24" w:rsidRDefault="00927E66" w:rsidP="00927E66">
            <w:pPr>
              <w:tabs>
                <w:tab w:val="left" w:pos="851"/>
              </w:tabs>
              <w:ind w:firstLine="317"/>
              <w:jc w:val="both"/>
              <w:rPr>
                <w:bCs/>
              </w:rPr>
            </w:pPr>
            <w:r w:rsidRPr="007A3C24">
              <w:t xml:space="preserve">Įvertinę Projekto atitiktį įstatymams, Lietuvos Respublikos Vyriausybės nutarimams bei teisės technikos reikalavimams, atkreipiame dėmesį, kad Projektu keičiamas Vyriausybės 2016 m. lapkričio 9 d. nutarimas Nr. 1121, mūsų nuomone, laikytinas vienkartinio taikymo teisės aktu. Lietuvos Respublikos Konstitucinis Teismas savo 1995 m. liepos 5 d. sprendime nurodė, kad vienkartinio galiojimo aktai taikomi tik vienam teisiniam santykiui (individualūs aktai) arba aiškiai apibrėžtai teisinių santykių grupei iš esmės pakeičiant jų turinį ir, kad </w:t>
            </w:r>
            <w:r w:rsidRPr="007A3C24">
              <w:rPr>
                <w:i/>
                <w:iCs/>
              </w:rPr>
              <w:t>šie aktai nustoja galios juos pritaikius</w:t>
            </w:r>
            <w:r w:rsidRPr="007A3C24">
              <w:t>, nes jų pagrindu atsiradusius teisinius santykius reguliuoja jau kiti teisės aktai. Atsižvelgdami į tai, manome, kad Vyriausybė neturėtų priimti teikiamo Projekto, jei Projekte nurodytas turtas jau yra perduotas Kupiškio rajono savivaldybės nuosavybėn įgyvendinant Vyriausybės</w:t>
            </w:r>
            <w:r>
              <w:t> </w:t>
            </w:r>
            <w:r w:rsidRPr="007A3C24">
              <w:t>2016</w:t>
            </w:r>
            <w:r>
              <w:t> m. l</w:t>
            </w:r>
            <w:r w:rsidRPr="007A3C24">
              <w:t>apkričio 9 d. nutarimą Nr. 1121.</w:t>
            </w:r>
          </w:p>
          <w:p w:rsidR="00927E66" w:rsidRPr="007A3C24" w:rsidRDefault="00927E66" w:rsidP="00927E66"/>
          <w:p w:rsidR="00952070" w:rsidRPr="00983007" w:rsidRDefault="00952070" w:rsidP="00927E66">
            <w:pPr>
              <w:tabs>
                <w:tab w:val="left" w:pos="851"/>
              </w:tabs>
              <w:ind w:firstLine="317"/>
              <w:jc w:val="both"/>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070" w:rsidRPr="00983007" w:rsidRDefault="00983007">
            <w:pPr>
              <w:ind w:firstLine="345"/>
              <w:jc w:val="both"/>
              <w:rPr>
                <w:b/>
              </w:rPr>
            </w:pPr>
            <w:r w:rsidRPr="00983007">
              <w:rPr>
                <w:b/>
              </w:rPr>
              <w:t>Neatsižvelgta.</w:t>
            </w:r>
          </w:p>
          <w:p w:rsidR="005D3713" w:rsidRPr="00983007" w:rsidRDefault="005D3713" w:rsidP="005D3713">
            <w:pPr>
              <w:shd w:val="clear" w:color="auto" w:fill="FFFFFF"/>
              <w:jc w:val="both"/>
              <w:rPr>
                <w:color w:val="000000"/>
                <w:lang w:eastAsia="lt-LT"/>
              </w:rPr>
            </w:pPr>
            <w:r w:rsidRPr="00983007">
              <w:t xml:space="preserve">      Norėtume atkreipti dėmesį, kad </w:t>
            </w:r>
            <w:r w:rsidRPr="00983007">
              <w:rPr>
                <w:color w:val="000000"/>
                <w:lang w:eastAsia="lt-LT"/>
              </w:rPr>
              <w:t xml:space="preserve">Alytaus miesto savivaldybei atsisakius pasirašyti pagal </w:t>
            </w:r>
            <w:r w:rsidRPr="00983007">
              <w:t>Lietuvos Respublikos Vyriausybės 2016 m. lapkričio 9 d. nutarimą Nr. 1121 „Dėl akcinės bendrovės „Lietuvos geležinkelių infrastruktūra“ patikėjimo teise valdomo valstybės nekilnojamojo turto perdavimo“ (toliau – Nutarimas) šios savivaldybės nuosavybėn perduotino turto perdavimo ir priėmimo aktą, viešosios geležinkelių infrastruktūros valdytoja AB „LTG Infra“ (ankstesnis pavadinimas – akcinė bendrovė „Lietuvos geležinkelių infrastruktūra“) nebeturi galimybių Nutarimo dalies dėl valstybės turto perdavimo Alytaus miesto savivaldybės nuosavybėn įgyvendinti</w:t>
            </w:r>
            <w:r w:rsidRPr="00983007">
              <w:rPr>
                <w:color w:val="000000"/>
                <w:lang w:eastAsia="lt-LT"/>
              </w:rPr>
              <w:t>. Pažymėtina, kad Nutarimo 1 punkto nuostatos suponuoja, jog visas šiame punkte nurodytas valstybės turtas turi būti / yra perduotas šiame punkte nurodytoms savivaldybėms, todėl, Susisiekimo ministerijos nuomone, siekiant teisinio aiškumo, Lietuvos Respublikos Vyriausybė turėtų pakeisti Nutarimą, kad jo nuostatos atitiktų realią padėtį ir iš Nutarimo nekiltų pareigos, kurių nebeįmanoma įgyvendinti. Be kita ko, akcentuotina ir tai, jog viešai skelbiamas Nutarimo tekstas gali klaidinti visuomenę. Taip pat atkreipiame dėmesį, kad Projektu keičiama (išbraukiama) tik faktiškai</w:t>
            </w:r>
            <w:r w:rsidRPr="00983007">
              <w:rPr>
                <w:b/>
                <w:color w:val="000000"/>
                <w:lang w:eastAsia="lt-LT"/>
              </w:rPr>
              <w:t xml:space="preserve"> </w:t>
            </w:r>
            <w:r w:rsidRPr="00983007">
              <w:rPr>
                <w:color w:val="000000"/>
                <w:u w:val="single"/>
                <w:lang w:eastAsia="lt-LT"/>
              </w:rPr>
              <w:t>neįgyvendinta</w:t>
            </w:r>
            <w:r w:rsidRPr="00983007">
              <w:rPr>
                <w:color w:val="000000"/>
                <w:lang w:eastAsia="lt-LT"/>
              </w:rPr>
              <w:t xml:space="preserve"> Nutarimo dalis dėl valstybės turto perdavimo Alytaus miesto savivaldybės nuosavybėn; kita Nutarimo </w:t>
            </w:r>
            <w:r w:rsidR="00927E66">
              <w:rPr>
                <w:color w:val="000000"/>
                <w:lang w:eastAsia="lt-LT"/>
              </w:rPr>
              <w:t>dalis lieka, todėl manome, kad I</w:t>
            </w:r>
            <w:r w:rsidRPr="00983007">
              <w:rPr>
                <w:color w:val="000000"/>
                <w:lang w:eastAsia="lt-LT"/>
              </w:rPr>
              <w:t xml:space="preserve">švadoje paminėta Lietuvos Respublikos Konstitucinio teismo jurisprudencija nėra aktuali šiuo atveju. </w:t>
            </w:r>
          </w:p>
          <w:p w:rsidR="00952070" w:rsidRPr="00983007" w:rsidRDefault="005D3713" w:rsidP="00CB3D72">
            <w:pPr>
              <w:shd w:val="clear" w:color="auto" w:fill="FFFFFF"/>
              <w:ind w:firstLine="459"/>
              <w:jc w:val="both"/>
              <w:rPr>
                <w:color w:val="000000"/>
                <w:lang w:eastAsia="lt-LT"/>
              </w:rPr>
            </w:pPr>
            <w:r w:rsidRPr="00983007">
              <w:rPr>
                <w:color w:val="000000"/>
                <w:lang w:eastAsia="lt-LT"/>
              </w:rPr>
              <w:t>Pažymėtina, kad Lietuvo</w:t>
            </w:r>
            <w:bookmarkStart w:id="0" w:name="_GoBack"/>
            <w:bookmarkEnd w:id="0"/>
            <w:r w:rsidRPr="00983007">
              <w:rPr>
                <w:color w:val="000000"/>
                <w:lang w:eastAsia="lt-LT"/>
              </w:rPr>
              <w:t>s Respublikos Vyriausybė įgyvendindama valstybės turto savininko funkcijas Nutarimu pasisakė dėl viešosios geležinkelių infrastruktūros valdytojo pripažinto nereikalingu valstybės funkcijoms įgyvendinti valstybės turto perdavimo Kupiškio rajono savivaldybės ir Alytaus miesto savivaldybės nuosavybėn. Alytaus miesto savivaldybei atsisakius perimti Nutarimu jai perduotiną turtą, turi būti sprendžiamas šio turto teisinio statuso klausimas, t. y. viešosios geležinkelių infrastruktūros valdytojo sprendimas dėl atitinkamo turto pripažinimo nereikalingu valstybės funkcijoms įgyvendinti pripažintinas netekusiu galios. Manome, kad teisinis pagrindas tam turėtų būti Lietuvos Respublikos Vyriausybės sprendimas (t. y. pakeistas Nutarimas).</w:t>
            </w:r>
          </w:p>
        </w:tc>
      </w:tr>
    </w:tbl>
    <w:p w:rsidR="00952070" w:rsidRDefault="00952070"/>
    <w:p w:rsidR="00952070" w:rsidRDefault="00952070"/>
    <w:p w:rsidR="00952070" w:rsidRDefault="00983007">
      <w:pPr>
        <w:jc w:val="center"/>
      </w:pPr>
      <w:r>
        <w:t>_____________________</w:t>
      </w:r>
    </w:p>
    <w:sectPr w:rsidR="00952070" w:rsidSect="00CB3D72">
      <w:headerReference w:type="default" r:id="rId6"/>
      <w:pgSz w:w="11906" w:h="16838"/>
      <w:pgMar w:top="737" w:right="567" w:bottom="62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0F0" w:rsidRDefault="00983007">
      <w:r>
        <w:separator/>
      </w:r>
    </w:p>
  </w:endnote>
  <w:endnote w:type="continuationSeparator" w:id="0">
    <w:p w:rsidR="00D810F0" w:rsidRDefault="0098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0F0" w:rsidRDefault="00983007">
      <w:r>
        <w:rPr>
          <w:color w:val="000000"/>
        </w:rPr>
        <w:separator/>
      </w:r>
    </w:p>
  </w:footnote>
  <w:footnote w:type="continuationSeparator" w:id="0">
    <w:p w:rsidR="00D810F0" w:rsidRDefault="00983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5E5" w:rsidRDefault="00983007">
    <w:pPr>
      <w:pStyle w:val="Antrats"/>
      <w:jc w:val="center"/>
    </w:pPr>
    <w:r>
      <w:fldChar w:fldCharType="begin"/>
    </w:r>
    <w:r>
      <w:instrText xml:space="preserve"> PAGE </w:instrText>
    </w:r>
    <w:r>
      <w:fldChar w:fldCharType="separate"/>
    </w:r>
    <w:r>
      <w:rPr>
        <w:noProof/>
      </w:rPr>
      <w:t>2</w:t>
    </w:r>
    <w:r>
      <w:fldChar w:fldCharType="end"/>
    </w:r>
  </w:p>
  <w:p w:rsidR="006B45E5" w:rsidRDefault="00D40C1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70"/>
    <w:rsid w:val="005D3713"/>
    <w:rsid w:val="00927E66"/>
    <w:rsid w:val="00952070"/>
    <w:rsid w:val="00983007"/>
    <w:rsid w:val="00CB3D72"/>
    <w:rsid w:val="00D40C13"/>
    <w:rsid w:val="00D810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0EFF01-EC7D-45D9-A741-A0219290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0" w:line="240" w:lineRule="auto"/>
    </w:pPr>
    <w:rPr>
      <w:sz w:val="24"/>
      <w:szCs w:val="24"/>
    </w:rPr>
  </w:style>
  <w:style w:type="paragraph" w:styleId="Antrat1">
    <w:name w:val="heading 1"/>
    <w:basedOn w:val="prastasis"/>
    <w:next w:val="prastasis"/>
    <w:pPr>
      <w:keepNext/>
      <w:keepLines/>
      <w:spacing w:before="480"/>
      <w:outlineLvl w:val="0"/>
    </w:pPr>
    <w:rPr>
      <w:rFonts w:ascii="Arial" w:hAnsi="Arial"/>
      <w:b/>
      <w:bCs/>
      <w:color w:val="365F91"/>
      <w:sz w:val="28"/>
      <w:szCs w:val="28"/>
    </w:rPr>
  </w:style>
  <w:style w:type="paragraph" w:styleId="Antrat2">
    <w:name w:val="heading 2"/>
    <w:basedOn w:val="prastasis"/>
    <w:next w:val="prastasis"/>
    <w:pPr>
      <w:keepNext/>
      <w:jc w:val="center"/>
      <w:outlineLvl w:val="1"/>
    </w:pPr>
    <w:rPr>
      <w:b/>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pPr>
      <w:suppressAutoHyphens/>
      <w:spacing w:after="0" w:line="240" w:lineRule="auto"/>
    </w:pPr>
    <w:rPr>
      <w:rFonts w:ascii="TimesLT" w:hAnsi="TimesLT"/>
      <w:sz w:val="20"/>
      <w:szCs w:val="20"/>
      <w:lang w:val="en-GB"/>
    </w:rPr>
  </w:style>
  <w:style w:type="character" w:customStyle="1" w:styleId="Heading2Char">
    <w:name w:val="Heading 2 Char"/>
    <w:basedOn w:val="Numatytasispastraiposriftas"/>
    <w:rPr>
      <w:rFonts w:ascii="Times New Roman" w:eastAsia="Times New Roman" w:hAnsi="Times New Roman" w:cs="Times New Roman"/>
      <w:b/>
      <w:caps/>
      <w:sz w:val="24"/>
      <w:szCs w:val="20"/>
    </w:rPr>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eastAsia="Times New Roman" w:hAnsi="Tahoma" w:cs="Tahoma"/>
      <w:sz w:val="16"/>
      <w:szCs w:val="16"/>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rPr>
  </w:style>
  <w:style w:type="character" w:customStyle="1" w:styleId="HTMLPreformattedChar">
    <w:name w:val="HTML Preformatted Char"/>
    <w:basedOn w:val="Numatytasispastraiposriftas"/>
    <w:rPr>
      <w:rFonts w:ascii="Courier New" w:eastAsia="Times New Roman" w:hAnsi="Courier New" w:cs="Times New Roman"/>
      <w:sz w:val="20"/>
      <w:szCs w:val="20"/>
    </w:rPr>
  </w:style>
  <w:style w:type="paragraph" w:styleId="Sraopastraipa">
    <w:name w:val="List Paragraph"/>
    <w:basedOn w:val="prastasis"/>
    <w:pPr>
      <w:ind w:left="720"/>
    </w:pPr>
  </w:style>
  <w:style w:type="paragraph" w:styleId="Pagrindiniotekstotrauka3">
    <w:name w:val="Body Text Indent 3"/>
    <w:basedOn w:val="prastasis"/>
    <w:pPr>
      <w:spacing w:after="120"/>
      <w:ind w:left="283"/>
    </w:pPr>
    <w:rPr>
      <w:sz w:val="16"/>
      <w:szCs w:val="16"/>
    </w:rPr>
  </w:style>
  <w:style w:type="character" w:customStyle="1" w:styleId="BodyTextIndent3Char">
    <w:name w:val="Body Text Indent 3 Char"/>
    <w:basedOn w:val="Numatytasispastraiposriftas"/>
    <w:rPr>
      <w:rFonts w:ascii="Times New Roman" w:eastAsia="Times New Roman" w:hAnsi="Times New Roman" w:cs="Times New Roman"/>
      <w:sz w:val="16"/>
      <w:szCs w:val="16"/>
    </w:rPr>
  </w:style>
  <w:style w:type="paragraph" w:styleId="Antrats">
    <w:name w:val="header"/>
    <w:basedOn w:val="prastasis"/>
    <w:pPr>
      <w:tabs>
        <w:tab w:val="center" w:pos="4986"/>
        <w:tab w:val="right" w:pos="9972"/>
      </w:tabs>
    </w:pPr>
  </w:style>
  <w:style w:type="character" w:customStyle="1" w:styleId="HeaderChar">
    <w:name w:val="Header Char"/>
    <w:basedOn w:val="Numatytasispastraiposriftas"/>
    <w:rPr>
      <w:rFonts w:ascii="Times New Roman" w:eastAsia="Times New Roman" w:hAnsi="Times New Roman" w:cs="Times New Roman"/>
      <w:sz w:val="24"/>
      <w:szCs w:val="24"/>
    </w:rPr>
  </w:style>
  <w:style w:type="paragraph" w:styleId="Porat">
    <w:name w:val="footer"/>
    <w:basedOn w:val="prastasis"/>
    <w:pPr>
      <w:tabs>
        <w:tab w:val="center" w:pos="4986"/>
        <w:tab w:val="right" w:pos="9972"/>
      </w:tabs>
    </w:pPr>
  </w:style>
  <w:style w:type="character" w:customStyle="1" w:styleId="FooterChar">
    <w:name w:val="Footer Char"/>
    <w:basedOn w:val="Numatytasispastraiposriftas"/>
    <w:rPr>
      <w:rFonts w:ascii="Times New Roman" w:eastAsia="Times New Roman" w:hAnsi="Times New Roman" w:cs="Times New Roman"/>
      <w:sz w:val="24"/>
      <w:szCs w:val="24"/>
    </w:rPr>
  </w:style>
  <w:style w:type="character" w:customStyle="1" w:styleId="Heading1Char">
    <w:name w:val="Heading 1 Char"/>
    <w:basedOn w:val="Numatytasispastraiposriftas"/>
    <w:rPr>
      <w:rFonts w:ascii="Arial" w:eastAsia="Times New Roman" w:hAnsi="Arial" w:cs="Times New Roman"/>
      <w:b/>
      <w:bCs/>
      <w:color w:val="365F91"/>
      <w:sz w:val="28"/>
      <w:szCs w:val="28"/>
    </w:rPr>
  </w:style>
  <w:style w:type="character" w:customStyle="1" w:styleId="st1">
    <w:name w:val="st1"/>
    <w:basedOn w:val="Numatytasispastraiposriftas"/>
  </w:style>
  <w:style w:type="paragraph" w:styleId="Pagrindinistekstas">
    <w:name w:val="Body Text"/>
    <w:basedOn w:val="prastasis"/>
    <w:pPr>
      <w:spacing w:after="120"/>
    </w:pPr>
  </w:style>
  <w:style w:type="character" w:customStyle="1" w:styleId="BodyTextChar">
    <w:name w:val="Body Text Char"/>
    <w:basedOn w:val="Numatytasispastraiposriftas"/>
    <w:rPr>
      <w:rFonts w:ascii="Times New Roman" w:eastAsia="Times New Roman" w:hAnsi="Times New Roman" w:cs="Times New Roman"/>
      <w:sz w:val="24"/>
      <w:szCs w:val="24"/>
    </w:rPr>
  </w:style>
  <w:style w:type="paragraph" w:customStyle="1" w:styleId="CommentText">
    <w:name w:val="Comment Text"/>
    <w:basedOn w:val="prastasis"/>
    <w:rPr>
      <w:sz w:val="20"/>
      <w:szCs w:val="20"/>
      <w:lang w:eastAsia="lt-LT"/>
    </w:rPr>
  </w:style>
  <w:style w:type="character" w:customStyle="1" w:styleId="CommentTextChar">
    <w:name w:val="Comment Text Char"/>
    <w:basedOn w:val="Numatytasispastraiposriftas"/>
    <w:rPr>
      <w:rFonts w:ascii="Times New Roman" w:eastAsia="Times New Roman" w:hAnsi="Times New Roman" w:cs="Times New Roman"/>
      <w:sz w:val="20"/>
      <w:szCs w:val="20"/>
      <w:lang w:eastAsia="lt-LT"/>
    </w:rPr>
  </w:style>
  <w:style w:type="character" w:customStyle="1" w:styleId="CommentReference">
    <w:name w:val="Comment Reference"/>
    <w:basedOn w:val="Numatytasispastraiposriftas"/>
    <w:rPr>
      <w:sz w:val="16"/>
      <w:szCs w:val="16"/>
    </w:rPr>
  </w:style>
  <w:style w:type="paragraph" w:customStyle="1" w:styleId="CommentSubject">
    <w:name w:val="Comment Subject"/>
    <w:basedOn w:val="CommentText"/>
    <w:next w:val="CommentText"/>
    <w:rPr>
      <w:b/>
      <w:bCs/>
      <w:lang w:eastAsia="en-US"/>
    </w:rPr>
  </w:style>
  <w:style w:type="character" w:customStyle="1" w:styleId="CommentSubjectChar">
    <w:name w:val="Comment Subject Char"/>
    <w:basedOn w:val="CommentTextChar"/>
    <w:rPr>
      <w:rFonts w:ascii="Times New Roman" w:eastAsia="Times New Roman" w:hAnsi="Times New Roman" w:cs="Times New Roman"/>
      <w:b/>
      <w:bCs/>
      <w:sz w:val="20"/>
      <w:szCs w:val="20"/>
      <w:lang w:eastAsia="lt-LT"/>
    </w:rPr>
  </w:style>
  <w:style w:type="paragraph" w:styleId="Pagrindiniotekstotrauka">
    <w:name w:val="Body Text Indent"/>
    <w:basedOn w:val="prastasis"/>
    <w:pPr>
      <w:spacing w:after="120"/>
      <w:ind w:left="283"/>
    </w:pPr>
  </w:style>
  <w:style w:type="character" w:customStyle="1" w:styleId="BodyTextIndentChar">
    <w:name w:val="Body Text Indent Char"/>
    <w:basedOn w:val="Numatytasispastraiposriftas"/>
    <w:rPr>
      <w:rFonts w:ascii="Times New Roman" w:eastAsia="Times New Roman" w:hAnsi="Times New Roman" w:cs="Times New Roman"/>
      <w:sz w:val="24"/>
      <w:szCs w:val="24"/>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Pataisymai">
    <w:name w:val="Revision"/>
    <w:pPr>
      <w:suppressAutoHyphens/>
      <w:spacing w:after="0" w:line="240" w:lineRule="auto"/>
    </w:pPr>
    <w:rPr>
      <w:sz w:val="24"/>
      <w:szCs w:val="24"/>
    </w:rPr>
  </w:style>
  <w:style w:type="paragraph" w:styleId="prastasiniatinklio">
    <w:name w:val="Normal (Web)"/>
    <w:basedOn w:val="prastasis"/>
    <w:pPr>
      <w:spacing w:before="100" w:after="100"/>
    </w:pPr>
    <w:rPr>
      <w:lang w:val="en-US"/>
    </w:rPr>
  </w:style>
  <w:style w:type="character" w:styleId="Komentaronuoroda">
    <w:name w:val="annotation reference"/>
    <w:basedOn w:val="Numatytasispastraiposriftas"/>
    <w:semiHidden/>
    <w:unhideWhenUsed/>
    <w:rsid w:val="005D3713"/>
    <w:rPr>
      <w:sz w:val="16"/>
      <w:szCs w:val="16"/>
    </w:rPr>
  </w:style>
  <w:style w:type="paragraph" w:styleId="Komentarotekstas">
    <w:name w:val="annotation text"/>
    <w:basedOn w:val="prastasis"/>
    <w:link w:val="KomentarotekstasDiagrama"/>
    <w:semiHidden/>
    <w:unhideWhenUsed/>
    <w:rsid w:val="005D3713"/>
    <w:pPr>
      <w:suppressAutoHyphens w:val="0"/>
      <w:autoSpaceDN/>
      <w:textAlignment w:val="auto"/>
    </w:pPr>
    <w:rPr>
      <w:sz w:val="20"/>
      <w:szCs w:val="20"/>
    </w:rPr>
  </w:style>
  <w:style w:type="character" w:customStyle="1" w:styleId="KomentarotekstasDiagrama">
    <w:name w:val="Komentaro tekstas Diagrama"/>
    <w:basedOn w:val="Numatytasispastraiposriftas"/>
    <w:link w:val="Komentarotekstas"/>
    <w:semiHidden/>
    <w:rsid w:val="005D371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2403</Words>
  <Characters>1370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2020-10-02T06:11:00Z</dcterms:created>
  <dc:creator>Rima Sereikienė</dc:creator>
  <cp:lastModifiedBy>Jovita Razgutė</cp:lastModifiedBy>
  <cp:lastPrinted>2018-08-03T10:57:00Z</cp:lastPrinted>
  <dcterms:modified xsi:type="dcterms:W3CDTF">2020-10-02T06:40:00Z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labux tarpzinybine dar suderinam snd. aciu</vt:lpwstr>
  </property>
  <property fmtid="{D5CDD505-2E9C-101B-9397-08002B2CF9AE}" pid="4" name="_AuthorEmail">
    <vt:lpwstr>Milda.Bareisaite@socmin.lt</vt:lpwstr>
  </property>
  <property fmtid="{D5CDD505-2E9C-101B-9397-08002B2CF9AE}" pid="5" name="_AuthorEmailDisplayName">
    <vt:lpwstr>Milda Bareišaitė</vt:lpwstr>
  </property>
  <property fmtid="{D5CDD505-2E9C-101B-9397-08002B2CF9AE}" pid="6" name="_ReviewingToolsShownOnce">
    <vt:lpwstr/>
  </property>
</Properties>
</file>