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ayout w:type="fixed"/>
        <w:tblCellMar>
          <w:left w:w="10" w:type="dxa"/>
          <w:right w:w="10" w:type="dxa"/>
        </w:tblCellMar>
        <w:tblLook w:val="04A0" w:firstRow="1" w:lastRow="0" w:firstColumn="1" w:lastColumn="0" w:noHBand="0" w:noVBand="1"/>
      </w:tblPr>
      <w:tblGrid>
        <w:gridCol w:w="9606"/>
      </w:tblGrid>
      <w:tr w:rsidR="004674DE" w:rsidRPr="001627CD" w14:paraId="3375942F" w14:textId="77777777">
        <w:trPr>
          <w:trHeight w:hRule="exact" w:val="580"/>
        </w:trPr>
        <w:tc>
          <w:tcPr>
            <w:tcW w:w="9606" w:type="dxa"/>
            <w:shd w:val="clear" w:color="auto" w:fill="auto"/>
            <w:tcMar>
              <w:top w:w="0" w:type="dxa"/>
              <w:left w:w="108" w:type="dxa"/>
              <w:bottom w:w="0" w:type="dxa"/>
              <w:right w:w="108" w:type="dxa"/>
            </w:tcMar>
          </w:tcPr>
          <w:p w14:paraId="48B06DEA" w14:textId="77777777" w:rsidR="004674DE" w:rsidRPr="001627CD" w:rsidRDefault="004674DE">
            <w:pPr>
              <w:pStyle w:val="Antrats"/>
              <w:jc w:val="center"/>
            </w:pPr>
          </w:p>
        </w:tc>
      </w:tr>
      <w:tr w:rsidR="004674DE" w:rsidRPr="001627CD" w14:paraId="4FE8A84D" w14:textId="77777777">
        <w:trPr>
          <w:trHeight w:val="860"/>
        </w:trPr>
        <w:tc>
          <w:tcPr>
            <w:tcW w:w="9606" w:type="dxa"/>
            <w:shd w:val="clear" w:color="auto" w:fill="auto"/>
            <w:tcMar>
              <w:top w:w="0" w:type="dxa"/>
              <w:left w:w="108" w:type="dxa"/>
              <w:bottom w:w="0" w:type="dxa"/>
              <w:right w:w="108" w:type="dxa"/>
            </w:tcMar>
          </w:tcPr>
          <w:p w14:paraId="40C29150" w14:textId="77777777" w:rsidR="004674DE" w:rsidRPr="001627CD" w:rsidRDefault="003056A3">
            <w:pPr>
              <w:pStyle w:val="Antrats"/>
              <w:jc w:val="center"/>
            </w:pPr>
            <w:r w:rsidRPr="001627CD">
              <w:rPr>
                <w:noProof/>
                <w:lang w:eastAsia="lt-LT"/>
              </w:rPr>
              <w:drawing>
                <wp:inline distT="0" distB="0" distL="0" distR="0" wp14:anchorId="164CF5F8" wp14:editId="2184F340">
                  <wp:extent cx="552453" cy="561971"/>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2453" cy="561971"/>
                          </a:xfrm>
                          <a:prstGeom prst="rect">
                            <a:avLst/>
                          </a:prstGeom>
                          <a:noFill/>
                          <a:ln>
                            <a:noFill/>
                            <a:prstDash/>
                          </a:ln>
                        </pic:spPr>
                      </pic:pic>
                    </a:graphicData>
                  </a:graphic>
                </wp:inline>
              </w:drawing>
            </w:r>
          </w:p>
          <w:p w14:paraId="034D736C" w14:textId="77777777" w:rsidR="004674DE" w:rsidRPr="001627CD" w:rsidRDefault="004674DE">
            <w:pPr>
              <w:pStyle w:val="Antrats"/>
              <w:jc w:val="center"/>
              <w:rPr>
                <w:sz w:val="18"/>
              </w:rPr>
            </w:pPr>
          </w:p>
          <w:p w14:paraId="4D51A30A" w14:textId="77777777" w:rsidR="004674DE" w:rsidRPr="001627CD" w:rsidRDefault="003056A3">
            <w:pPr>
              <w:pStyle w:val="Antrats"/>
              <w:spacing w:after="200"/>
              <w:jc w:val="center"/>
            </w:pPr>
            <w:r w:rsidRPr="001627CD">
              <w:rPr>
                <w:b/>
                <w:sz w:val="26"/>
              </w:rPr>
              <w:t>LIETUVOS RESPUBLIKOS MINISTRAS PIRMININKAS</w:t>
            </w:r>
          </w:p>
        </w:tc>
      </w:tr>
      <w:tr w:rsidR="004674DE" w:rsidRPr="001627CD" w14:paraId="2D8E32E1" w14:textId="77777777">
        <w:tc>
          <w:tcPr>
            <w:tcW w:w="9606" w:type="dxa"/>
            <w:tcBorders>
              <w:bottom w:val="single" w:sz="6" w:space="0" w:color="000000"/>
            </w:tcBorders>
            <w:shd w:val="clear" w:color="auto" w:fill="auto"/>
            <w:tcMar>
              <w:top w:w="0" w:type="dxa"/>
              <w:left w:w="108" w:type="dxa"/>
              <w:bottom w:w="0" w:type="dxa"/>
              <w:right w:w="108" w:type="dxa"/>
            </w:tcMar>
          </w:tcPr>
          <w:p w14:paraId="2B8D7182" w14:textId="77777777" w:rsidR="004674DE" w:rsidRPr="001627CD" w:rsidRDefault="003056A3">
            <w:pPr>
              <w:pStyle w:val="Antrats"/>
              <w:tabs>
                <w:tab w:val="clear" w:pos="4153"/>
                <w:tab w:val="clear" w:pos="8306"/>
              </w:tabs>
              <w:jc w:val="center"/>
              <w:rPr>
                <w:sz w:val="18"/>
                <w:szCs w:val="18"/>
              </w:rPr>
            </w:pPr>
            <w:r w:rsidRPr="001627CD">
              <w:rPr>
                <w:sz w:val="18"/>
                <w:szCs w:val="18"/>
              </w:rPr>
              <w:t>Gedimino pr. 11, LT-01103, Vilnius, tel. 8 706 63851, faks. 8 706 63877, el. p.  LRVkanceliarija@lrv.lt</w:t>
            </w:r>
          </w:p>
          <w:p w14:paraId="6C485267" w14:textId="77777777" w:rsidR="004674DE" w:rsidRPr="001627CD" w:rsidRDefault="004674DE">
            <w:pPr>
              <w:pStyle w:val="Antrats"/>
              <w:tabs>
                <w:tab w:val="clear" w:pos="4153"/>
                <w:tab w:val="clear" w:pos="8306"/>
              </w:tabs>
              <w:jc w:val="center"/>
              <w:rPr>
                <w:sz w:val="18"/>
                <w:szCs w:val="18"/>
              </w:rPr>
            </w:pPr>
          </w:p>
        </w:tc>
      </w:tr>
    </w:tbl>
    <w:p w14:paraId="4342A626" w14:textId="77777777" w:rsidR="004674DE" w:rsidRPr="001627CD" w:rsidRDefault="004674DE">
      <w:pPr>
        <w:pStyle w:val="Antrats"/>
      </w:pPr>
    </w:p>
    <w:p w14:paraId="6EECD36C" w14:textId="77777777" w:rsidR="004674DE" w:rsidRPr="001627CD" w:rsidRDefault="004674DE">
      <w:pPr>
        <w:pStyle w:val="Porat"/>
        <w:jc w:val="right"/>
      </w:pPr>
    </w:p>
    <w:tbl>
      <w:tblPr>
        <w:tblW w:w="10490" w:type="dxa"/>
        <w:tblInd w:w="-284" w:type="dxa"/>
        <w:tblLayout w:type="fixed"/>
        <w:tblLook w:val="0000" w:firstRow="0" w:lastRow="0" w:firstColumn="0" w:lastColumn="0" w:noHBand="0" w:noVBand="0"/>
      </w:tblPr>
      <w:tblGrid>
        <w:gridCol w:w="4962"/>
        <w:gridCol w:w="250"/>
        <w:gridCol w:w="283"/>
        <w:gridCol w:w="1560"/>
        <w:gridCol w:w="567"/>
        <w:gridCol w:w="2868"/>
      </w:tblGrid>
      <w:tr w:rsidR="000E4123" w:rsidRPr="001627CD" w14:paraId="38D9CFB9" w14:textId="77777777" w:rsidTr="00F94C3A">
        <w:trPr>
          <w:cantSplit/>
        </w:trPr>
        <w:tc>
          <w:tcPr>
            <w:tcW w:w="4962" w:type="dxa"/>
            <w:vMerge w:val="restart"/>
          </w:tcPr>
          <w:p w14:paraId="6B9DF06D" w14:textId="3D45AD67" w:rsidR="000E4123" w:rsidRPr="00E3027A" w:rsidRDefault="000E4123" w:rsidP="00E3027A">
            <w:pPr>
              <w:spacing w:line="276" w:lineRule="auto"/>
              <w:ind w:firstLine="176"/>
            </w:pPr>
            <w:r w:rsidRPr="001627CD">
              <w:t xml:space="preserve">Lietuvos Respublikos </w:t>
            </w:r>
            <w:r w:rsidR="008F612D">
              <w:t>V</w:t>
            </w:r>
            <w:r w:rsidRPr="001627CD">
              <w:t xml:space="preserve">yriausybei </w:t>
            </w:r>
          </w:p>
        </w:tc>
        <w:tc>
          <w:tcPr>
            <w:tcW w:w="250" w:type="dxa"/>
            <w:vMerge w:val="restart"/>
          </w:tcPr>
          <w:p w14:paraId="251D8427" w14:textId="77777777" w:rsidR="000E4123" w:rsidRPr="001627CD" w:rsidRDefault="000E4123" w:rsidP="00F94C3A"/>
        </w:tc>
        <w:tc>
          <w:tcPr>
            <w:tcW w:w="283" w:type="dxa"/>
          </w:tcPr>
          <w:p w14:paraId="78639E10" w14:textId="77777777" w:rsidR="000E4123" w:rsidRPr="001627CD" w:rsidRDefault="000E4123" w:rsidP="00F94C3A"/>
          <w:p w14:paraId="20B3BA1C" w14:textId="77777777" w:rsidR="000E4123" w:rsidRPr="001627CD" w:rsidRDefault="000E4123" w:rsidP="00F94C3A"/>
        </w:tc>
        <w:tc>
          <w:tcPr>
            <w:tcW w:w="1560" w:type="dxa"/>
          </w:tcPr>
          <w:p w14:paraId="29F78609" w14:textId="77777777" w:rsidR="000E4123" w:rsidRPr="001627CD" w:rsidRDefault="000E4123" w:rsidP="00F94C3A"/>
        </w:tc>
        <w:tc>
          <w:tcPr>
            <w:tcW w:w="567" w:type="dxa"/>
          </w:tcPr>
          <w:p w14:paraId="17DDD426" w14:textId="77777777" w:rsidR="000E4123" w:rsidRPr="001627CD" w:rsidRDefault="000E4123" w:rsidP="00F94C3A">
            <w:r w:rsidRPr="001627CD">
              <w:t xml:space="preserve">Nr. </w:t>
            </w:r>
          </w:p>
        </w:tc>
        <w:tc>
          <w:tcPr>
            <w:tcW w:w="2868" w:type="dxa"/>
          </w:tcPr>
          <w:sdt>
            <w:sdtPr>
              <w:rPr>
                <w:szCs w:val="24"/>
              </w:rPr>
              <w:tag w:val="registravimoNr"/>
              <w:id w:val="347303472"/>
              <w:placeholder>
                <w:docPart w:val="D87D40FBA38243C5A938FFB369B12AD9"/>
              </w:placeholder>
              <w:showingPlcHdr/>
            </w:sdtPr>
            <w:sdtEndPr/>
            <w:sdtContent>
              <w:p w14:paraId="44E24E12" w14:textId="208AF222" w:rsidR="000E4123" w:rsidRPr="001627CD" w:rsidRDefault="00E3027A" w:rsidP="00F94C3A">
                <w:r w:rsidRPr="00833863">
                  <w:rPr>
                    <w:rStyle w:val="Vietosrezervavimoenklotekstas"/>
                  </w:rPr>
                  <w:t>Click here to enter text.</w:t>
                </w:r>
              </w:p>
            </w:sdtContent>
          </w:sdt>
        </w:tc>
      </w:tr>
      <w:tr w:rsidR="000E4123" w:rsidRPr="001627CD" w14:paraId="77EC7C82" w14:textId="77777777" w:rsidTr="00F94C3A">
        <w:trPr>
          <w:cantSplit/>
        </w:trPr>
        <w:tc>
          <w:tcPr>
            <w:tcW w:w="4962" w:type="dxa"/>
            <w:vMerge/>
          </w:tcPr>
          <w:p w14:paraId="1702B51D" w14:textId="77777777" w:rsidR="000E4123" w:rsidRPr="001627CD" w:rsidRDefault="000E4123" w:rsidP="00F94C3A"/>
        </w:tc>
        <w:tc>
          <w:tcPr>
            <w:tcW w:w="250" w:type="dxa"/>
            <w:vMerge/>
          </w:tcPr>
          <w:p w14:paraId="5DEAE942" w14:textId="77777777" w:rsidR="000E4123" w:rsidRPr="001627CD" w:rsidRDefault="000E4123" w:rsidP="00F94C3A"/>
        </w:tc>
        <w:tc>
          <w:tcPr>
            <w:tcW w:w="283" w:type="dxa"/>
          </w:tcPr>
          <w:p w14:paraId="18036D02" w14:textId="77777777" w:rsidR="000E4123" w:rsidRPr="001627CD" w:rsidRDefault="000E4123" w:rsidP="00F94C3A"/>
        </w:tc>
        <w:tc>
          <w:tcPr>
            <w:tcW w:w="1560" w:type="dxa"/>
          </w:tcPr>
          <w:p w14:paraId="5679AC02" w14:textId="77777777" w:rsidR="000E4123" w:rsidRPr="001627CD" w:rsidRDefault="000E4123" w:rsidP="00F94C3A">
            <w:pPr>
              <w:rPr>
                <w:highlight w:val="yellow"/>
              </w:rPr>
            </w:pPr>
          </w:p>
        </w:tc>
        <w:tc>
          <w:tcPr>
            <w:tcW w:w="567" w:type="dxa"/>
          </w:tcPr>
          <w:p w14:paraId="14C8B11B" w14:textId="77777777" w:rsidR="000E4123" w:rsidRPr="001627CD" w:rsidRDefault="000E4123" w:rsidP="00F94C3A"/>
        </w:tc>
        <w:tc>
          <w:tcPr>
            <w:tcW w:w="2868" w:type="dxa"/>
          </w:tcPr>
          <w:p w14:paraId="723F0D41" w14:textId="77777777" w:rsidR="000E4123" w:rsidRPr="001627CD" w:rsidRDefault="000E4123" w:rsidP="00F94C3A"/>
        </w:tc>
      </w:tr>
      <w:tr w:rsidR="000E4123" w:rsidRPr="001627CD" w14:paraId="70221076" w14:textId="77777777" w:rsidTr="00F94C3A">
        <w:trPr>
          <w:cantSplit/>
        </w:trPr>
        <w:tc>
          <w:tcPr>
            <w:tcW w:w="4962" w:type="dxa"/>
            <w:vMerge/>
          </w:tcPr>
          <w:p w14:paraId="467177D8" w14:textId="77777777" w:rsidR="000E4123" w:rsidRPr="001627CD" w:rsidRDefault="000E4123" w:rsidP="00F94C3A"/>
        </w:tc>
        <w:tc>
          <w:tcPr>
            <w:tcW w:w="250" w:type="dxa"/>
            <w:vMerge/>
          </w:tcPr>
          <w:p w14:paraId="0A0F739C" w14:textId="77777777" w:rsidR="000E4123" w:rsidRPr="001627CD" w:rsidRDefault="000E4123" w:rsidP="00F94C3A"/>
        </w:tc>
        <w:tc>
          <w:tcPr>
            <w:tcW w:w="5278" w:type="dxa"/>
            <w:gridSpan w:val="4"/>
          </w:tcPr>
          <w:p w14:paraId="0DD2EEDB" w14:textId="77777777" w:rsidR="000E4123" w:rsidRPr="001627CD" w:rsidRDefault="000E4123" w:rsidP="00F94C3A">
            <w:pPr>
              <w:rPr>
                <w:highlight w:val="yellow"/>
              </w:rPr>
            </w:pPr>
          </w:p>
        </w:tc>
      </w:tr>
    </w:tbl>
    <w:p w14:paraId="65DE74F4" w14:textId="5AFA5E65" w:rsidR="000E4123" w:rsidRPr="001627CD" w:rsidRDefault="000E4123" w:rsidP="00E70BCE">
      <w:pPr>
        <w:pStyle w:val="BodyText21"/>
        <w:spacing w:line="240" w:lineRule="auto"/>
        <w:jc w:val="both"/>
        <w:rPr>
          <w:b/>
          <w:bCs/>
          <w:caps/>
        </w:rPr>
      </w:pPr>
      <w:r w:rsidRPr="001627CD">
        <w:rPr>
          <w:b/>
          <w:szCs w:val="24"/>
        </w:rPr>
        <w:t xml:space="preserve">DĖL </w:t>
      </w:r>
      <w:r w:rsidR="00E70BCE" w:rsidRPr="00E70BCE">
        <w:rPr>
          <w:b/>
          <w:bCs/>
          <w:caps/>
        </w:rPr>
        <w:t>LIETUVOS RESPUBLIKOS</w:t>
      </w:r>
      <w:r w:rsidR="00E70BCE">
        <w:rPr>
          <w:b/>
          <w:bCs/>
          <w:caps/>
        </w:rPr>
        <w:t xml:space="preserve"> </w:t>
      </w:r>
      <w:r w:rsidR="00E70BCE" w:rsidRPr="00E70BCE">
        <w:rPr>
          <w:b/>
          <w:bCs/>
          <w:caps/>
        </w:rPr>
        <w:t>GEROS VALIOS KOMPENSACIJOS UŽ ŽYDŲ RELIGINIŲ BENDRUOMENIŲ NEKILNOJAMĄJĮ TURTĄ ĮSTATYMO NR. XI-1470 PAKEITIMO</w:t>
      </w:r>
      <w:r w:rsidR="00E70BCE">
        <w:rPr>
          <w:b/>
          <w:bCs/>
          <w:caps/>
        </w:rPr>
        <w:t xml:space="preserve"> </w:t>
      </w:r>
      <w:r w:rsidR="00E70BCE" w:rsidRPr="00E70BCE">
        <w:rPr>
          <w:b/>
          <w:bCs/>
          <w:caps/>
        </w:rPr>
        <w:t>ĮSTATYM</w:t>
      </w:r>
      <w:r w:rsidR="00E70BCE">
        <w:rPr>
          <w:b/>
          <w:bCs/>
          <w:caps/>
        </w:rPr>
        <w:t>O PROJEKTO</w:t>
      </w:r>
    </w:p>
    <w:p w14:paraId="41D0E744" w14:textId="77777777" w:rsidR="009C4E48" w:rsidRDefault="009C4E48" w:rsidP="000E4123">
      <w:pPr>
        <w:ind w:firstLine="567"/>
        <w:jc w:val="both"/>
        <w:rPr>
          <w:szCs w:val="24"/>
        </w:rPr>
      </w:pPr>
    </w:p>
    <w:p w14:paraId="5C242091" w14:textId="4A344C6E" w:rsidR="00690D18" w:rsidRDefault="00690D18" w:rsidP="00690D18">
      <w:pPr>
        <w:ind w:firstLine="851"/>
        <w:jc w:val="both"/>
        <w:rPr>
          <w:lang w:eastAsia="lt-LT"/>
        </w:rPr>
      </w:pPr>
      <w:r w:rsidRPr="008A375A">
        <w:t>Teiki</w:t>
      </w:r>
      <w:r w:rsidR="00F43184">
        <w:t>u Vyriausybei svarstyti</w:t>
      </w:r>
      <w:r w:rsidRPr="008A375A">
        <w:t xml:space="preserve"> </w:t>
      </w:r>
      <w:bookmarkStart w:id="0" w:name="_Hlk119245197"/>
      <w:r w:rsidRPr="008A375A">
        <w:rPr>
          <w:lang w:eastAsia="lt-LT"/>
        </w:rPr>
        <w:t xml:space="preserve">Lietuvos Respublikos </w:t>
      </w:r>
      <w:r w:rsidRPr="00356B9B">
        <w:rPr>
          <w:lang w:eastAsia="lt-LT"/>
        </w:rPr>
        <w:t xml:space="preserve">geros valios kompensacijos už žydų religinių bendruomenių nekilnojamąjį turtą įstatymo Nr. XI-1470 </w:t>
      </w:r>
      <w:r w:rsidRPr="008A375A">
        <w:rPr>
          <w:lang w:eastAsia="lt-LT"/>
        </w:rPr>
        <w:t>pakeitimo</w:t>
      </w:r>
      <w:r>
        <w:rPr>
          <w:lang w:eastAsia="lt-LT"/>
        </w:rPr>
        <w:t xml:space="preserve"> </w:t>
      </w:r>
      <w:r w:rsidRPr="008A375A">
        <w:rPr>
          <w:lang w:eastAsia="lt-LT"/>
        </w:rPr>
        <w:t>įstatymo projekt</w:t>
      </w:r>
      <w:r>
        <w:rPr>
          <w:lang w:eastAsia="lt-LT"/>
        </w:rPr>
        <w:t>ą</w:t>
      </w:r>
      <w:r w:rsidRPr="008A375A">
        <w:t xml:space="preserve"> </w:t>
      </w:r>
      <w:bookmarkEnd w:id="0"/>
      <w:r w:rsidRPr="008A375A">
        <w:t>(toliau – Įstatym</w:t>
      </w:r>
      <w:r>
        <w:t>o</w:t>
      </w:r>
      <w:r w:rsidRPr="008A375A">
        <w:t xml:space="preserve"> projekta</w:t>
      </w:r>
      <w:r>
        <w:t>s</w:t>
      </w:r>
      <w:r w:rsidR="00EA6F82">
        <w:t>)</w:t>
      </w:r>
      <w:r w:rsidR="0063363A">
        <w:t xml:space="preserve">. </w:t>
      </w:r>
    </w:p>
    <w:p w14:paraId="710245E5" w14:textId="185007A8" w:rsidR="00690D18" w:rsidRPr="00AD07C9" w:rsidRDefault="00690D18" w:rsidP="00690D18">
      <w:pPr>
        <w:ind w:firstLine="851"/>
        <w:jc w:val="both"/>
        <w:rPr>
          <w:lang w:eastAsia="lt-LT"/>
        </w:rPr>
      </w:pPr>
      <w:r w:rsidRPr="0057178F">
        <w:rPr>
          <w:szCs w:val="24"/>
        </w:rPr>
        <w:t>Įstatymo projekt</w:t>
      </w:r>
      <w:r>
        <w:rPr>
          <w:szCs w:val="24"/>
        </w:rPr>
        <w:t>o</w:t>
      </w:r>
      <w:r w:rsidRPr="0057178F">
        <w:rPr>
          <w:szCs w:val="24"/>
        </w:rPr>
        <w:t xml:space="preserve"> tikslas – </w:t>
      </w:r>
      <w:r w:rsidR="00820DF5" w:rsidRPr="0057178F">
        <w:rPr>
          <w:szCs w:val="24"/>
        </w:rPr>
        <w:t>įvertinus Lietuvos žydų bendruomenės istoriją bei</w:t>
      </w:r>
      <w:r w:rsidR="00820DF5">
        <w:rPr>
          <w:szCs w:val="24"/>
        </w:rPr>
        <w:t xml:space="preserve"> nekilnojamojo</w:t>
      </w:r>
      <w:r w:rsidR="00820DF5" w:rsidRPr="0057178F">
        <w:rPr>
          <w:szCs w:val="24"/>
        </w:rPr>
        <w:t xml:space="preserve"> </w:t>
      </w:r>
      <w:r w:rsidR="00820DF5" w:rsidRPr="00AD07C9">
        <w:rPr>
          <w:szCs w:val="24"/>
        </w:rPr>
        <w:t xml:space="preserve">turto nacionalizavimo ir nusavinimo aspektus, </w:t>
      </w:r>
      <w:r w:rsidR="007A5E01" w:rsidRPr="00AD07C9">
        <w:rPr>
          <w:szCs w:val="24"/>
        </w:rPr>
        <w:t>sudaryti teisines prielaidas</w:t>
      </w:r>
      <w:r w:rsidR="00072917" w:rsidRPr="00AD07C9">
        <w:rPr>
          <w:szCs w:val="24"/>
        </w:rPr>
        <w:t xml:space="preserve"> </w:t>
      </w:r>
      <w:r w:rsidR="00072917" w:rsidRPr="00AD07C9">
        <w:rPr>
          <w:lang w:eastAsia="lt-LT"/>
        </w:rPr>
        <w:t>Lietuvos įsipareigojimo žmogaus teisių ir tarptautinės teisės principams tęstinumui</w:t>
      </w:r>
      <w:r w:rsidR="002C13FD" w:rsidRPr="00AD07C9">
        <w:rPr>
          <w:lang w:eastAsia="lt-LT"/>
        </w:rPr>
        <w:t xml:space="preserve"> ir kompensavim</w:t>
      </w:r>
      <w:r w:rsidR="00DF714C" w:rsidRPr="00AD07C9">
        <w:rPr>
          <w:lang w:eastAsia="lt-LT"/>
        </w:rPr>
        <w:t>ui</w:t>
      </w:r>
      <w:r w:rsidR="002C13FD" w:rsidRPr="00AD07C9">
        <w:rPr>
          <w:lang w:eastAsia="lt-LT"/>
        </w:rPr>
        <w:t xml:space="preserve"> už </w:t>
      </w:r>
      <w:r w:rsidR="00072917" w:rsidRPr="00AD07C9">
        <w:rPr>
          <w:lang w:eastAsia="lt-LT"/>
        </w:rPr>
        <w:t xml:space="preserve"> </w:t>
      </w:r>
      <w:r w:rsidRPr="00AD07C9">
        <w:rPr>
          <w:szCs w:val="24"/>
        </w:rPr>
        <w:t xml:space="preserve"> Lietuvos žydų nekilnojamąjį turtą, kuris buvo nacionalizuotas ar kitaip neteisėtai nusavintas nacistinio ir sovietinio totalitarinių režimų.</w:t>
      </w:r>
    </w:p>
    <w:p w14:paraId="7F405F9E" w14:textId="77777777" w:rsidR="00690D18" w:rsidRPr="00AD07C9" w:rsidRDefault="00690D18" w:rsidP="00690D18">
      <w:pPr>
        <w:ind w:firstLine="851"/>
        <w:jc w:val="both"/>
        <w:rPr>
          <w:lang w:eastAsia="lt-LT"/>
        </w:rPr>
      </w:pPr>
      <w:r w:rsidRPr="00AD07C9">
        <w:t xml:space="preserve">Teikiamame naujos redakcijos Įstatymo projekte siūloma papildyti, kad geros valios kompensacija skiriama ne tik už neteisėtai nusavintą Lietuvos žydų religinių bendruomenių išlikusį nekilnojamąjį turtą, išskyrus žemę, bet ir už privatų Lietuvos žydų nekilnojamąjį turtą. Įstatymo projekte siūloma nustatyti, kad už visą privatų, įskaitant ir bešeimininkį, nekilnojamąjį turtą, perimtą valstybės nuosavybėn dėl Holokausto nelikus tokio turto savininkų ar paveldėtojų, būtų mokama Įstatymo projekte nustatyto dydžio simbolinė piniginė kompensacija Lietuvos Respublikos Vyriausybės paskirtam fondui. Atsižvelgiant į valstybės finansines galimybes, Įstatymo projekte numatomas simbolinis kompensacijos dydis – 37 000 000 eurų. </w:t>
      </w:r>
    </w:p>
    <w:p w14:paraId="63A1334C" w14:textId="6357DDB9" w:rsidR="00690D18" w:rsidRPr="00AD07C9" w:rsidRDefault="00690D18" w:rsidP="00690D18">
      <w:pPr>
        <w:ind w:firstLine="851"/>
        <w:jc w:val="both"/>
        <w:rPr>
          <w:lang w:eastAsia="lt-LT"/>
        </w:rPr>
      </w:pPr>
      <w:r w:rsidRPr="00AD07C9">
        <w:rPr>
          <w:szCs w:val="24"/>
        </w:rPr>
        <w:t>Įstatymo projektu siūloma nustatyti geros valios kompensacijos už Lietuvos žydų nekilnojamąjį turtą dydį, mokėjimo terminus, tvarką</w:t>
      </w:r>
      <w:r w:rsidR="0079298C" w:rsidRPr="00AD07C9">
        <w:rPr>
          <w:szCs w:val="24"/>
        </w:rPr>
        <w:t>,</w:t>
      </w:r>
      <w:r w:rsidRPr="00AD07C9">
        <w:rPr>
          <w:szCs w:val="24"/>
        </w:rPr>
        <w:t xml:space="preserve"> naudojimo paskirtį</w:t>
      </w:r>
      <w:r w:rsidR="0079298C" w:rsidRPr="00AD07C9">
        <w:rPr>
          <w:szCs w:val="24"/>
        </w:rPr>
        <w:t xml:space="preserve">, taip pat tai, </w:t>
      </w:r>
      <w:r w:rsidRPr="00AD07C9">
        <w:rPr>
          <w:szCs w:val="24"/>
        </w:rPr>
        <w:t xml:space="preserve">kad kompensacija disponuojantis fondas veiklos ataskaitas, </w:t>
      </w:r>
      <w:r w:rsidR="00AD07C9" w:rsidRPr="00AD07C9">
        <w:rPr>
          <w:szCs w:val="24"/>
        </w:rPr>
        <w:t>audituot</w:t>
      </w:r>
      <w:r w:rsidR="00AD07C9" w:rsidRPr="00AD07C9">
        <w:rPr>
          <w:szCs w:val="24"/>
        </w:rPr>
        <w:t>ą</w:t>
      </w:r>
      <w:r w:rsidR="00AD07C9" w:rsidRPr="00AD07C9">
        <w:rPr>
          <w:szCs w:val="24"/>
        </w:rPr>
        <w:t xml:space="preserve"> </w:t>
      </w:r>
      <w:r w:rsidRPr="00AD07C9">
        <w:rPr>
          <w:szCs w:val="24"/>
        </w:rPr>
        <w:t xml:space="preserve">metinių finansinių ataskaitų </w:t>
      </w:r>
      <w:r w:rsidR="00AD07C9" w:rsidRPr="00AD07C9">
        <w:rPr>
          <w:szCs w:val="24"/>
        </w:rPr>
        <w:t>rinkin</w:t>
      </w:r>
      <w:r w:rsidR="00AD07C9" w:rsidRPr="00AD07C9">
        <w:rPr>
          <w:szCs w:val="24"/>
        </w:rPr>
        <w:t>į</w:t>
      </w:r>
      <w:r w:rsidR="00AD07C9" w:rsidRPr="00AD07C9">
        <w:rPr>
          <w:szCs w:val="24"/>
        </w:rPr>
        <w:t xml:space="preserve"> </w:t>
      </w:r>
      <w:r w:rsidRPr="00AD07C9">
        <w:rPr>
          <w:szCs w:val="24"/>
        </w:rPr>
        <w:t xml:space="preserve">kartu su auditoriaus </w:t>
      </w:r>
      <w:r w:rsidR="00AD07C9" w:rsidRPr="00AD07C9">
        <w:rPr>
          <w:szCs w:val="24"/>
        </w:rPr>
        <w:t>išvad</w:t>
      </w:r>
      <w:r w:rsidR="00AD07C9" w:rsidRPr="00AD07C9">
        <w:rPr>
          <w:szCs w:val="24"/>
        </w:rPr>
        <w:t>a</w:t>
      </w:r>
      <w:r w:rsidR="00AD07C9" w:rsidRPr="00AD07C9">
        <w:rPr>
          <w:szCs w:val="24"/>
        </w:rPr>
        <w:t xml:space="preserve"> </w:t>
      </w:r>
      <w:r w:rsidRPr="00AD07C9">
        <w:rPr>
          <w:szCs w:val="24"/>
        </w:rPr>
        <w:t xml:space="preserve">teikia vadovaudamasis Viešųjų įstaigų įstatyme nustatyta tvarka. </w:t>
      </w:r>
    </w:p>
    <w:p w14:paraId="3A39D109" w14:textId="2D96740E" w:rsidR="00690D18" w:rsidRDefault="00690D18" w:rsidP="00690D18">
      <w:pPr>
        <w:ind w:firstLine="851"/>
        <w:jc w:val="both"/>
        <w:rPr>
          <w:lang w:eastAsia="lt-LT"/>
        </w:rPr>
      </w:pPr>
      <w:r w:rsidRPr="00AD07C9">
        <w:rPr>
          <w:szCs w:val="24"/>
        </w:rPr>
        <w:t>Įstatymo projekte siūloma papildyti piniginės kompensacijos naudojimo paskirtį</w:t>
      </w:r>
      <w:r w:rsidR="00FC5A41" w:rsidRPr="00AD07C9">
        <w:rPr>
          <w:szCs w:val="24"/>
        </w:rPr>
        <w:t xml:space="preserve"> – </w:t>
      </w:r>
      <w:r w:rsidRPr="00AD07C9">
        <w:rPr>
          <w:szCs w:val="24"/>
        </w:rPr>
        <w:t xml:space="preserve"> fondui pateiktiems nukentėjusių asmenų ar jų teisių perėmėjų individualiems prašymams dėl Lietuvos žydų nekilnojamojo turto fondo nustatyta tvarka tenkinti. Įstatymo projekte siūloma nustatyti, kad fondas nustato disponavimo kompensacijos lėšomis tvarką ir ją viešai skelbia savo interneto svetainėje. </w:t>
      </w:r>
      <w:r w:rsidR="00FC5A41" w:rsidRPr="00AD07C9">
        <w:rPr>
          <w:szCs w:val="24"/>
        </w:rPr>
        <w:t>V</w:t>
      </w:r>
      <w:r w:rsidRPr="00AD07C9">
        <w:rPr>
          <w:szCs w:val="24"/>
        </w:rPr>
        <w:t>adovaujantis Lietuvos Respublikos labdaros ir paramos fondų įstatyme nustatytu palūkanų, gautų investavus lėšas, skirtas neliečiamajam kapitalui sudaryti</w:t>
      </w:r>
      <w:r w:rsidRPr="00154DAF">
        <w:rPr>
          <w:szCs w:val="24"/>
        </w:rPr>
        <w:t xml:space="preserve">, </w:t>
      </w:r>
      <w:r>
        <w:rPr>
          <w:szCs w:val="24"/>
        </w:rPr>
        <w:t xml:space="preserve">naudojimo ir neliečiamojo kapitalo lėšų investavimo reglamentavimu, siūloma detaliai apibrėžti, kaip ir kur gali būti investuojamos piniginės kompensacijos lėšos ir kam gali būti naudojamos palūkanos. </w:t>
      </w:r>
      <w:r w:rsidR="009D5CA9">
        <w:t>Išsamiau</w:t>
      </w:r>
      <w:r w:rsidRPr="008B7DA3">
        <w:t xml:space="preserve"> Įstatymo projekto nuostatos aptariamos Įstatymo projekto aiškinamajame rašte.</w:t>
      </w:r>
    </w:p>
    <w:p w14:paraId="57152BB9" w14:textId="40A9F51C" w:rsidR="00690D18" w:rsidRDefault="00690D18" w:rsidP="00690D18">
      <w:pPr>
        <w:ind w:firstLine="851"/>
        <w:jc w:val="both"/>
      </w:pPr>
      <w:r w:rsidRPr="00BD7A15">
        <w:t>Įstatym</w:t>
      </w:r>
      <w:r>
        <w:t>o</w:t>
      </w:r>
      <w:r w:rsidRPr="00BD7A15">
        <w:t xml:space="preserve"> projekt</w:t>
      </w:r>
      <w:r>
        <w:t>u</w:t>
      </w:r>
      <w:r w:rsidRPr="00BD7A15">
        <w:t xml:space="preserve"> prisidedama prie Aštuonioliktosios Lietuvos Respublikos Vyriausybės programos, kuriai pritarta Lietuvos Respublikos Seimo 2020 m. gruodžio 11 d. nutarimu </w:t>
      </w:r>
      <w:r>
        <w:br/>
      </w:r>
      <w:r w:rsidRPr="00BD7A15">
        <w:lastRenderedPageBreak/>
        <w:t xml:space="preserve">Nr. XIV-72, </w:t>
      </w:r>
      <w:r w:rsidRPr="00732158">
        <w:t>251</w:t>
      </w:r>
      <w:r>
        <w:t xml:space="preserve"> punkte įtvirtinto tikslo</w:t>
      </w:r>
      <w:r w:rsidR="009D5CA9">
        <w:t xml:space="preserve"> </w:t>
      </w:r>
      <w:r w:rsidRPr="00732158">
        <w:t>visada deklar</w:t>
      </w:r>
      <w:r w:rsidR="009D5CA9">
        <w:t>uoti</w:t>
      </w:r>
      <w:r w:rsidRPr="00732158">
        <w:t xml:space="preserve"> ir vykd</w:t>
      </w:r>
      <w:r w:rsidR="009D5CA9">
        <w:t>yti</w:t>
      </w:r>
      <w:r w:rsidRPr="00732158">
        <w:t xml:space="preserve"> </w:t>
      </w:r>
      <w:r w:rsidR="009D5CA9">
        <w:t>Lietuvos</w:t>
      </w:r>
      <w:r w:rsidRPr="00732158">
        <w:t xml:space="preserve"> įsipareigojimą laisvės, demokratijos, žmogaus teisių ir tarptautinės teisės principams </w:t>
      </w:r>
      <w:r w:rsidR="009D5CA9">
        <w:t xml:space="preserve">ir </w:t>
      </w:r>
      <w:r w:rsidRPr="00732158">
        <w:t>vertybėms</w:t>
      </w:r>
      <w:r w:rsidRPr="001D2448">
        <w:t xml:space="preserve"> </w:t>
      </w:r>
      <w:r>
        <w:t>įgyvendinimo. Š</w:t>
      </w:r>
      <w:r w:rsidRPr="00732158">
        <w:t>ių vertybių išlikimas Vakarų pasaulio politikos centre, tolesnė laisvos ir nedalomos Europos plėtra – būtina Lietuvos saugumo ir klestėjimo sąlyga</w:t>
      </w:r>
      <w:r>
        <w:t xml:space="preserve">, o </w:t>
      </w:r>
      <w:r w:rsidRPr="00732158">
        <w:t xml:space="preserve">dabar atėjo laikas laisvės ir demokratijos darbotvarkę </w:t>
      </w:r>
      <w:r w:rsidRPr="00EE69F0">
        <w:t>paversti</w:t>
      </w:r>
      <w:r w:rsidRPr="00732158">
        <w:t xml:space="preserve"> vienu pagrindinių </w:t>
      </w:r>
      <w:proofErr w:type="spellStart"/>
      <w:r w:rsidRPr="00732158">
        <w:t>konstitutyvinių</w:t>
      </w:r>
      <w:proofErr w:type="spellEnd"/>
      <w:r w:rsidRPr="00732158">
        <w:t xml:space="preserve"> Lietuvos užsienio politikos principų</w:t>
      </w:r>
      <w:r>
        <w:t>.</w:t>
      </w:r>
    </w:p>
    <w:p w14:paraId="623B2FCC" w14:textId="57198919" w:rsidR="00690D18" w:rsidRPr="00C62C50" w:rsidRDefault="00FB5CAD" w:rsidP="00AD07C9">
      <w:pPr>
        <w:ind w:firstLine="851"/>
        <w:jc w:val="both"/>
      </w:pPr>
      <w:r>
        <w:t>Teisės aktų</w:t>
      </w:r>
      <w:r w:rsidR="00690D18" w:rsidRPr="00C62C50">
        <w:t xml:space="preserve"> projekta</w:t>
      </w:r>
      <w:r>
        <w:t>i</w:t>
      </w:r>
      <w:r w:rsidR="00690D18" w:rsidRPr="00C62C50">
        <w:t xml:space="preserve"> </w:t>
      </w:r>
      <w:r>
        <w:t>paskelbti</w:t>
      </w:r>
      <w:r w:rsidR="00690D18" w:rsidRPr="00C62C50">
        <w:t xml:space="preserve"> Seimo kanceliarijos teisės aktų informacinėje sistemoje.</w:t>
      </w:r>
      <w:r w:rsidR="00690D18">
        <w:t xml:space="preserve"> Įstatymo projektas be pastabų suderintas su Finansų</w:t>
      </w:r>
      <w:r w:rsidR="009D5CA9">
        <w:t xml:space="preserve"> ministerija</w:t>
      </w:r>
      <w:r w:rsidR="00EE69F0">
        <w:t>,</w:t>
      </w:r>
      <w:r w:rsidR="00690D18">
        <w:t xml:space="preserve"> Užsienio reikalų ministerij</w:t>
      </w:r>
      <w:r w:rsidR="009D5CA9">
        <w:t>a</w:t>
      </w:r>
      <w:r w:rsidR="00EE69F0">
        <w:t xml:space="preserve"> ir </w:t>
      </w:r>
      <w:r w:rsidR="00EE69F0">
        <w:t xml:space="preserve">VšĮ </w:t>
      </w:r>
      <w:r w:rsidR="00EE69F0" w:rsidRPr="00AD07C9">
        <w:t>„Geros valios kompensacijos už žydų religinių bendruomenių nekilnojamąjį turtą disponavimo fondas</w:t>
      </w:r>
      <w:r w:rsidR="00AD07C9">
        <w:t>“</w:t>
      </w:r>
      <w:r w:rsidR="00EE69F0" w:rsidRPr="00AD07C9">
        <w:t>,</w:t>
      </w:r>
      <w:r w:rsidR="00690D18">
        <w:t xml:space="preserve"> Teisingumo ministerijos pateiktos teisės technikos ir redakcinio pobūdžio pastabos suderintos darbo tvarka. </w:t>
      </w:r>
    </w:p>
    <w:p w14:paraId="13A58BEA" w14:textId="0EABC5BB" w:rsidR="00690D18" w:rsidRDefault="00690D18" w:rsidP="00690D18">
      <w:pPr>
        <w:ind w:firstLine="851"/>
        <w:jc w:val="both"/>
      </w:pPr>
      <w:r w:rsidRPr="00FC2C9B">
        <w:rPr>
          <w:bCs/>
        </w:rPr>
        <w:t xml:space="preserve">Įstatymo projektą parengė </w:t>
      </w:r>
      <w:r w:rsidRPr="00FC2C9B">
        <w:t>Vyriausybės kanceliarija</w:t>
      </w:r>
      <w:r>
        <w:t>.</w:t>
      </w:r>
    </w:p>
    <w:p w14:paraId="50F54B93" w14:textId="77777777" w:rsidR="00690D18" w:rsidRPr="00634775" w:rsidRDefault="00690D18" w:rsidP="00690D18">
      <w:pPr>
        <w:ind w:firstLine="851"/>
        <w:jc w:val="both"/>
        <w:rPr>
          <w:bCs/>
        </w:rPr>
      </w:pPr>
    </w:p>
    <w:p w14:paraId="6D612FC0" w14:textId="77777777" w:rsidR="00690D18" w:rsidRDefault="00690D18" w:rsidP="00690D18">
      <w:pPr>
        <w:ind w:firstLine="851"/>
        <w:jc w:val="both"/>
      </w:pPr>
    </w:p>
    <w:p w14:paraId="4471C16D" w14:textId="77777777" w:rsidR="00690D18" w:rsidRPr="00AF56CE" w:rsidRDefault="00690D18" w:rsidP="00690D18">
      <w:pPr>
        <w:ind w:firstLine="851"/>
        <w:jc w:val="both"/>
      </w:pPr>
      <w:r w:rsidRPr="00AF56CE">
        <w:t>PRIDEDAMA:</w:t>
      </w:r>
    </w:p>
    <w:p w14:paraId="5B1642FF" w14:textId="77777777" w:rsidR="00690D18" w:rsidRPr="00BD7A15" w:rsidRDefault="00690D18" w:rsidP="00690D18">
      <w:pPr>
        <w:ind w:firstLine="851"/>
        <w:jc w:val="both"/>
        <w:rPr>
          <w:lang w:eastAsia="lt-LT"/>
        </w:rPr>
      </w:pPr>
      <w:r w:rsidRPr="00BD7A15">
        <w:rPr>
          <w:lang w:eastAsia="lt-LT"/>
        </w:rPr>
        <w:t>1.</w:t>
      </w:r>
      <w:r w:rsidRPr="001B7DD3">
        <w:rPr>
          <w:color w:val="FF0000"/>
          <w:lang w:eastAsia="lt-LT"/>
        </w:rPr>
        <w:t xml:space="preserve"> </w:t>
      </w:r>
      <w:r w:rsidRPr="005F517A">
        <w:rPr>
          <w:lang w:eastAsia="lt-LT"/>
        </w:rPr>
        <w:t>Lietuvos Respublikos geros valios kompensacijos už žydų religinių bendruomenių nekilnojamąjį turtą įstatymo Nr. XI-1470 pakeitimo įstatymo projekt</w:t>
      </w:r>
      <w:r>
        <w:rPr>
          <w:lang w:eastAsia="lt-LT"/>
        </w:rPr>
        <w:t>as, 4</w:t>
      </w:r>
      <w:r w:rsidRPr="00BD7A15">
        <w:rPr>
          <w:lang w:eastAsia="lt-LT"/>
        </w:rPr>
        <w:t xml:space="preserve"> lapai.</w:t>
      </w:r>
    </w:p>
    <w:p w14:paraId="001506A9" w14:textId="77777777" w:rsidR="00690D18" w:rsidRDefault="00690D18" w:rsidP="00690D18">
      <w:pPr>
        <w:ind w:firstLine="851"/>
        <w:jc w:val="both"/>
        <w:rPr>
          <w:lang w:eastAsia="lt-LT"/>
        </w:rPr>
      </w:pPr>
      <w:r>
        <w:rPr>
          <w:lang w:eastAsia="lt-LT"/>
        </w:rPr>
        <w:t>2</w:t>
      </w:r>
      <w:r w:rsidRPr="008B7DA3">
        <w:rPr>
          <w:lang w:eastAsia="lt-LT"/>
        </w:rPr>
        <w:t xml:space="preserve">. Įstatymo projekto aiškinamasis raštas, </w:t>
      </w:r>
      <w:r>
        <w:rPr>
          <w:lang w:val="en-GB" w:eastAsia="lt-LT"/>
        </w:rPr>
        <w:t xml:space="preserve">5 </w:t>
      </w:r>
      <w:r w:rsidRPr="008B7DA3">
        <w:rPr>
          <w:lang w:eastAsia="lt-LT"/>
        </w:rPr>
        <w:t>lap</w:t>
      </w:r>
      <w:r>
        <w:rPr>
          <w:lang w:eastAsia="lt-LT"/>
        </w:rPr>
        <w:t>ai</w:t>
      </w:r>
      <w:r w:rsidRPr="008B7DA3">
        <w:rPr>
          <w:lang w:eastAsia="lt-LT"/>
        </w:rPr>
        <w:t>.</w:t>
      </w:r>
    </w:p>
    <w:p w14:paraId="41AD2297" w14:textId="77777777" w:rsidR="00690D18" w:rsidRDefault="00690D18" w:rsidP="00690D18">
      <w:pPr>
        <w:ind w:firstLine="851"/>
        <w:jc w:val="both"/>
        <w:rPr>
          <w:lang w:eastAsia="lt-LT"/>
        </w:rPr>
      </w:pPr>
      <w:r>
        <w:rPr>
          <w:lang w:eastAsia="lt-LT"/>
        </w:rPr>
        <w:t xml:space="preserve">3. </w:t>
      </w:r>
      <w:r w:rsidRPr="00F50F3C">
        <w:rPr>
          <w:lang w:eastAsia="lt-LT"/>
        </w:rPr>
        <w:t>T</w:t>
      </w:r>
      <w:r>
        <w:rPr>
          <w:lang w:eastAsia="lt-LT"/>
        </w:rPr>
        <w:t>eisės aktų projektų antikorupcinio vertinimo pažyma, 10 lapų.</w:t>
      </w:r>
    </w:p>
    <w:p w14:paraId="2A14C03E" w14:textId="77777777" w:rsidR="00690D18" w:rsidRPr="008B7DA3" w:rsidRDefault="00690D18" w:rsidP="00690D18">
      <w:pPr>
        <w:ind w:firstLine="851"/>
        <w:jc w:val="both"/>
        <w:rPr>
          <w:lang w:eastAsia="lt-LT"/>
        </w:rPr>
      </w:pPr>
      <w:r>
        <w:rPr>
          <w:lang w:eastAsia="lt-LT"/>
        </w:rPr>
        <w:t xml:space="preserve">4. </w:t>
      </w:r>
      <w:bookmarkStart w:id="1" w:name="_Hlk119919940"/>
      <w:r>
        <w:rPr>
          <w:lang w:eastAsia="lt-LT"/>
        </w:rPr>
        <w:t xml:space="preserve">Lietuvos Respublikos Vyriausybės nutarimo „Dėl </w:t>
      </w:r>
      <w:r w:rsidRPr="00AF12B1">
        <w:rPr>
          <w:lang w:eastAsia="lt-LT"/>
        </w:rPr>
        <w:t xml:space="preserve">Lietuvos Respublikos geros valios kompensacijos už žydų religinių bendruomenių nekilnojamąjį turtą įstatymo Nr. XI-1470 pakeitimo įstatymo </w:t>
      </w:r>
      <w:r w:rsidRPr="00FB28CF">
        <w:rPr>
          <w:lang w:eastAsia="lt-LT"/>
        </w:rPr>
        <w:t>projekt</w:t>
      </w:r>
      <w:r>
        <w:rPr>
          <w:lang w:eastAsia="lt-LT"/>
        </w:rPr>
        <w:t>o pateikimo Lietuvos Respublikos Seimui“ projektas</w:t>
      </w:r>
      <w:bookmarkEnd w:id="1"/>
      <w:r>
        <w:rPr>
          <w:lang w:eastAsia="lt-LT"/>
        </w:rPr>
        <w:t>, 1 lapas.</w:t>
      </w:r>
    </w:p>
    <w:p w14:paraId="42EAAAED" w14:textId="77777777" w:rsidR="00690D18" w:rsidRDefault="00690D18" w:rsidP="000E4123">
      <w:pPr>
        <w:ind w:left="180"/>
      </w:pPr>
    </w:p>
    <w:p w14:paraId="4B577495" w14:textId="77777777" w:rsidR="00690D18" w:rsidRDefault="00690D18" w:rsidP="000E4123">
      <w:pPr>
        <w:ind w:left="180"/>
      </w:pPr>
    </w:p>
    <w:p w14:paraId="71F5BFC8" w14:textId="77777777" w:rsidR="00690D18" w:rsidRDefault="00690D18" w:rsidP="000E4123">
      <w:pPr>
        <w:ind w:left="180"/>
      </w:pPr>
    </w:p>
    <w:p w14:paraId="1CB449CB" w14:textId="752044A1" w:rsidR="000E4123" w:rsidRPr="001627CD" w:rsidRDefault="000E4123" w:rsidP="000E4123">
      <w:pPr>
        <w:ind w:left="180"/>
      </w:pPr>
      <w:r w:rsidRPr="001627CD">
        <w:tab/>
        <w:t xml:space="preserve">       </w:t>
      </w:r>
      <w:r w:rsidR="00A525DE" w:rsidRPr="001627CD">
        <w:t xml:space="preserve">       </w:t>
      </w:r>
    </w:p>
    <w:p w14:paraId="4B7FA86B" w14:textId="77777777" w:rsidR="000E4123" w:rsidRPr="001627CD" w:rsidRDefault="000E4123" w:rsidP="000E4123">
      <w:pPr>
        <w:jc w:val="both"/>
      </w:pPr>
    </w:p>
    <w:p w14:paraId="0D6E4CC5" w14:textId="1A3ACE84" w:rsidR="000E4123" w:rsidRPr="001627CD" w:rsidRDefault="000E4123" w:rsidP="000E4123">
      <w:pPr>
        <w:spacing w:line="360" w:lineRule="auto"/>
        <w:jc w:val="both"/>
      </w:pPr>
      <w:r w:rsidRPr="001627CD">
        <w:t xml:space="preserve">Ministrė Pirmininkė         </w:t>
      </w:r>
      <w:r w:rsidRPr="001627CD">
        <w:tab/>
      </w:r>
      <w:r w:rsidRPr="001627CD">
        <w:tab/>
        <w:t xml:space="preserve">    </w:t>
      </w:r>
      <w:r w:rsidRPr="001627CD">
        <w:tab/>
      </w:r>
      <w:r w:rsidRPr="001627CD">
        <w:tab/>
      </w:r>
      <w:r w:rsidR="002763A7">
        <w:tab/>
      </w:r>
      <w:r w:rsidR="002763A7">
        <w:tab/>
      </w:r>
      <w:r w:rsidRPr="001627CD">
        <w:t>Ingrida Šimonytė</w:t>
      </w:r>
    </w:p>
    <w:p w14:paraId="159C96C9" w14:textId="7BCB600D" w:rsidR="00E05AE5" w:rsidRDefault="00E05AE5" w:rsidP="00021C10">
      <w:pPr>
        <w:spacing w:line="360" w:lineRule="auto"/>
        <w:jc w:val="both"/>
      </w:pPr>
    </w:p>
    <w:p w14:paraId="4430D16D" w14:textId="1FDF226F" w:rsidR="00690D18" w:rsidRDefault="00690D18" w:rsidP="00021C10">
      <w:pPr>
        <w:spacing w:line="360" w:lineRule="auto"/>
        <w:jc w:val="both"/>
      </w:pPr>
    </w:p>
    <w:p w14:paraId="4E38BC03" w14:textId="7191A810" w:rsidR="00690D18" w:rsidRDefault="00690D18" w:rsidP="00021C10">
      <w:pPr>
        <w:spacing w:line="360" w:lineRule="auto"/>
        <w:jc w:val="both"/>
      </w:pPr>
    </w:p>
    <w:p w14:paraId="7BE95A01" w14:textId="422EE3A8" w:rsidR="00690D18" w:rsidRDefault="00690D18" w:rsidP="00021C10">
      <w:pPr>
        <w:spacing w:line="360" w:lineRule="auto"/>
        <w:jc w:val="both"/>
      </w:pPr>
    </w:p>
    <w:p w14:paraId="4D983354" w14:textId="20628E5F" w:rsidR="00690D18" w:rsidRDefault="00690D18" w:rsidP="00021C10">
      <w:pPr>
        <w:spacing w:line="360" w:lineRule="auto"/>
        <w:jc w:val="both"/>
      </w:pPr>
    </w:p>
    <w:p w14:paraId="7FFC8ED1" w14:textId="0C83875C" w:rsidR="002C689E" w:rsidRDefault="002C689E" w:rsidP="00021C10">
      <w:pPr>
        <w:spacing w:line="360" w:lineRule="auto"/>
        <w:jc w:val="both"/>
      </w:pPr>
    </w:p>
    <w:p w14:paraId="2CEC9A55" w14:textId="5F9DE23F" w:rsidR="002C689E" w:rsidRDefault="002C689E" w:rsidP="00021C10">
      <w:pPr>
        <w:spacing w:line="360" w:lineRule="auto"/>
        <w:jc w:val="both"/>
      </w:pPr>
    </w:p>
    <w:p w14:paraId="46FD6E8B" w14:textId="6297A4EA" w:rsidR="002C689E" w:rsidRDefault="002C689E" w:rsidP="00021C10">
      <w:pPr>
        <w:spacing w:line="360" w:lineRule="auto"/>
        <w:jc w:val="both"/>
      </w:pPr>
    </w:p>
    <w:p w14:paraId="6E9E95EC" w14:textId="62FBA727" w:rsidR="002C689E" w:rsidRDefault="002C689E" w:rsidP="00021C10">
      <w:pPr>
        <w:spacing w:line="360" w:lineRule="auto"/>
        <w:jc w:val="both"/>
      </w:pPr>
    </w:p>
    <w:p w14:paraId="6B48749B" w14:textId="0958A157" w:rsidR="002C689E" w:rsidRDefault="002C689E" w:rsidP="00021C10">
      <w:pPr>
        <w:spacing w:line="360" w:lineRule="auto"/>
        <w:jc w:val="both"/>
      </w:pPr>
    </w:p>
    <w:p w14:paraId="28322FD1" w14:textId="09AD5FF3" w:rsidR="002C689E" w:rsidRDefault="002C689E" w:rsidP="00021C10">
      <w:pPr>
        <w:spacing w:line="360" w:lineRule="auto"/>
        <w:jc w:val="both"/>
      </w:pPr>
    </w:p>
    <w:p w14:paraId="5B4694EA" w14:textId="51CBF2B0" w:rsidR="00AD07C9" w:rsidRDefault="00AD07C9" w:rsidP="00021C10">
      <w:pPr>
        <w:spacing w:line="360" w:lineRule="auto"/>
        <w:jc w:val="both"/>
      </w:pPr>
    </w:p>
    <w:p w14:paraId="182A3264" w14:textId="77777777" w:rsidR="00AD07C9" w:rsidRDefault="00AD07C9" w:rsidP="00021C10">
      <w:pPr>
        <w:spacing w:line="360" w:lineRule="auto"/>
        <w:jc w:val="both"/>
      </w:pPr>
    </w:p>
    <w:p w14:paraId="146969D7" w14:textId="77777777" w:rsidR="00690D18" w:rsidRDefault="00690D18" w:rsidP="00021C10">
      <w:pPr>
        <w:spacing w:line="360" w:lineRule="auto"/>
        <w:jc w:val="both"/>
      </w:pPr>
    </w:p>
    <w:p w14:paraId="46D5E207" w14:textId="230B0CB1" w:rsidR="004674DE" w:rsidRPr="001627CD" w:rsidRDefault="000E4123" w:rsidP="00021C10">
      <w:pPr>
        <w:spacing w:line="360" w:lineRule="auto"/>
        <w:jc w:val="both"/>
      </w:pPr>
      <w:r w:rsidRPr="001627CD">
        <w:t>Lina Saulėnaitė-Višinskienė, tel. 8 70663769, el. p. lina.saulenaite@lrv.lt</w:t>
      </w:r>
    </w:p>
    <w:sectPr w:rsidR="004674DE" w:rsidRPr="001627CD" w:rsidSect="00E3027A">
      <w:pgSz w:w="11906" w:h="16838"/>
      <w:pgMar w:top="1134" w:right="849"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AD8C" w14:textId="77777777" w:rsidR="00F548D2" w:rsidRDefault="00F548D2">
      <w:r>
        <w:separator/>
      </w:r>
    </w:p>
  </w:endnote>
  <w:endnote w:type="continuationSeparator" w:id="0">
    <w:p w14:paraId="6F3EAB47" w14:textId="77777777" w:rsidR="00F548D2" w:rsidRDefault="00F5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5538" w14:textId="77777777" w:rsidR="00F548D2" w:rsidRDefault="00F548D2">
      <w:r>
        <w:rPr>
          <w:color w:val="000000"/>
        </w:rPr>
        <w:separator/>
      </w:r>
    </w:p>
  </w:footnote>
  <w:footnote w:type="continuationSeparator" w:id="0">
    <w:p w14:paraId="6585A263" w14:textId="77777777" w:rsidR="00F548D2" w:rsidRDefault="00F54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DE"/>
    <w:rsid w:val="00021C10"/>
    <w:rsid w:val="00072917"/>
    <w:rsid w:val="00074C5E"/>
    <w:rsid w:val="000E4123"/>
    <w:rsid w:val="001627CD"/>
    <w:rsid w:val="00233B04"/>
    <w:rsid w:val="002763A7"/>
    <w:rsid w:val="002A1C7E"/>
    <w:rsid w:val="002C13FD"/>
    <w:rsid w:val="002C689E"/>
    <w:rsid w:val="002E08DD"/>
    <w:rsid w:val="003056A3"/>
    <w:rsid w:val="0034230E"/>
    <w:rsid w:val="003D15F2"/>
    <w:rsid w:val="003D7CDB"/>
    <w:rsid w:val="00432D18"/>
    <w:rsid w:val="004627FF"/>
    <w:rsid w:val="004674DE"/>
    <w:rsid w:val="00476F1D"/>
    <w:rsid w:val="00484D52"/>
    <w:rsid w:val="004C21DE"/>
    <w:rsid w:val="004D4B48"/>
    <w:rsid w:val="00501C50"/>
    <w:rsid w:val="005203F8"/>
    <w:rsid w:val="005521FC"/>
    <w:rsid w:val="0056678F"/>
    <w:rsid w:val="005740EC"/>
    <w:rsid w:val="00574B72"/>
    <w:rsid w:val="005822B5"/>
    <w:rsid w:val="005C7EB9"/>
    <w:rsid w:val="005E44D9"/>
    <w:rsid w:val="006002CA"/>
    <w:rsid w:val="0063363A"/>
    <w:rsid w:val="00686959"/>
    <w:rsid w:val="00690D18"/>
    <w:rsid w:val="0077730B"/>
    <w:rsid w:val="0079298C"/>
    <w:rsid w:val="007A5E01"/>
    <w:rsid w:val="007C4DA6"/>
    <w:rsid w:val="00801D95"/>
    <w:rsid w:val="00820DF5"/>
    <w:rsid w:val="00830BEE"/>
    <w:rsid w:val="008F612D"/>
    <w:rsid w:val="00940016"/>
    <w:rsid w:val="009746A3"/>
    <w:rsid w:val="009A3990"/>
    <w:rsid w:val="009B2C83"/>
    <w:rsid w:val="009C4E48"/>
    <w:rsid w:val="009D5CA9"/>
    <w:rsid w:val="00A2412F"/>
    <w:rsid w:val="00A525DE"/>
    <w:rsid w:val="00AA7792"/>
    <w:rsid w:val="00AD07C9"/>
    <w:rsid w:val="00AD4C60"/>
    <w:rsid w:val="00AF3B36"/>
    <w:rsid w:val="00B76E69"/>
    <w:rsid w:val="00BB4DF6"/>
    <w:rsid w:val="00BF1EAD"/>
    <w:rsid w:val="00BF70D3"/>
    <w:rsid w:val="00C25FD7"/>
    <w:rsid w:val="00C86097"/>
    <w:rsid w:val="00CB614B"/>
    <w:rsid w:val="00CD57F4"/>
    <w:rsid w:val="00CF5C25"/>
    <w:rsid w:val="00D1142D"/>
    <w:rsid w:val="00DF4762"/>
    <w:rsid w:val="00DF714C"/>
    <w:rsid w:val="00E05AE5"/>
    <w:rsid w:val="00E3027A"/>
    <w:rsid w:val="00E548DE"/>
    <w:rsid w:val="00E70BCE"/>
    <w:rsid w:val="00EA6F82"/>
    <w:rsid w:val="00EB7B6E"/>
    <w:rsid w:val="00EC640F"/>
    <w:rsid w:val="00EE69F0"/>
    <w:rsid w:val="00F37F99"/>
    <w:rsid w:val="00F43184"/>
    <w:rsid w:val="00F548D2"/>
    <w:rsid w:val="00F77712"/>
    <w:rsid w:val="00FB5CAD"/>
    <w:rsid w:val="00FC5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EC65D"/>
  <w15:docId w15:val="{CD2E3352-DBB5-4F4A-9058-DC7DD71E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rPr>
      <w:rFonts w:ascii="Tahoma" w:hAnsi="Tahoma" w:cs="Tahoma"/>
      <w:sz w:val="16"/>
      <w:szCs w:val="16"/>
    </w:rPr>
  </w:style>
  <w:style w:type="character" w:styleId="Grietas">
    <w:name w:val="Strong"/>
    <w:rPr>
      <w:b/>
      <w:bCs/>
    </w:rPr>
  </w:style>
  <w:style w:type="character" w:styleId="Vietosrezervavimoenklotekstas">
    <w:name w:val="Placeholder Text"/>
    <w:basedOn w:val="Numatytasispastraiposriftas"/>
    <w:uiPriority w:val="99"/>
    <w:rPr>
      <w:color w:val="808080"/>
    </w:rPr>
  </w:style>
  <w:style w:type="paragraph" w:styleId="Sraopastraipa">
    <w:name w:val="List Paragraph"/>
    <w:basedOn w:val="prastasis"/>
    <w:pPr>
      <w:ind w:left="720"/>
    </w:pPr>
  </w:style>
  <w:style w:type="paragraph" w:styleId="Pataisymai">
    <w:name w:val="Revision"/>
    <w:hidden/>
    <w:uiPriority w:val="99"/>
    <w:semiHidden/>
    <w:rsid w:val="005C7EB9"/>
    <w:pPr>
      <w:autoSpaceDN/>
      <w:textAlignment w:val="auto"/>
    </w:pPr>
    <w:rPr>
      <w:sz w:val="24"/>
      <w:lang w:eastAsia="en-US"/>
    </w:rPr>
  </w:style>
  <w:style w:type="paragraph" w:customStyle="1" w:styleId="BodyText21">
    <w:name w:val="Body Text 21"/>
    <w:basedOn w:val="prastasis"/>
    <w:rsid w:val="000E4123"/>
    <w:pPr>
      <w:widowControl w:val="0"/>
      <w:autoSpaceDN/>
      <w:spacing w:after="120" w:line="480" w:lineRule="auto"/>
      <w:textAlignment w:val="auto"/>
    </w:pPr>
    <w:rPr>
      <w:lang w:eastAsia="ar-SA"/>
    </w:rPr>
  </w:style>
  <w:style w:type="character" w:styleId="Komentaronuoroda">
    <w:name w:val="annotation reference"/>
    <w:basedOn w:val="Numatytasispastraiposriftas"/>
    <w:uiPriority w:val="99"/>
    <w:semiHidden/>
    <w:unhideWhenUsed/>
    <w:rsid w:val="008F612D"/>
    <w:rPr>
      <w:sz w:val="16"/>
      <w:szCs w:val="16"/>
    </w:rPr>
  </w:style>
  <w:style w:type="paragraph" w:styleId="Komentarotekstas">
    <w:name w:val="annotation text"/>
    <w:basedOn w:val="prastasis"/>
    <w:link w:val="KomentarotekstasDiagrama"/>
    <w:uiPriority w:val="99"/>
    <w:unhideWhenUsed/>
    <w:rsid w:val="008F612D"/>
    <w:rPr>
      <w:sz w:val="20"/>
    </w:rPr>
  </w:style>
  <w:style w:type="character" w:customStyle="1" w:styleId="KomentarotekstasDiagrama">
    <w:name w:val="Komentaro tekstas Diagrama"/>
    <w:basedOn w:val="Numatytasispastraiposriftas"/>
    <w:link w:val="Komentarotekstas"/>
    <w:uiPriority w:val="99"/>
    <w:rsid w:val="008F612D"/>
    <w:rPr>
      <w:lang w:eastAsia="en-US"/>
    </w:rPr>
  </w:style>
  <w:style w:type="paragraph" w:styleId="Komentarotema">
    <w:name w:val="annotation subject"/>
    <w:basedOn w:val="Komentarotekstas"/>
    <w:next w:val="Komentarotekstas"/>
    <w:link w:val="KomentarotemaDiagrama"/>
    <w:uiPriority w:val="99"/>
    <w:semiHidden/>
    <w:unhideWhenUsed/>
    <w:rsid w:val="008F612D"/>
    <w:rPr>
      <w:b/>
      <w:bCs/>
    </w:rPr>
  </w:style>
  <w:style w:type="character" w:customStyle="1" w:styleId="KomentarotemaDiagrama">
    <w:name w:val="Komentaro tema Diagrama"/>
    <w:basedOn w:val="KomentarotekstasDiagrama"/>
    <w:link w:val="Komentarotema"/>
    <w:uiPriority w:val="99"/>
    <w:semiHidden/>
    <w:rsid w:val="008F612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7D40FBA38243C5A938FFB369B12AD9"/>
        <w:category>
          <w:name w:val="Bendrosios nuostatos"/>
          <w:gallery w:val="placeholder"/>
        </w:category>
        <w:types>
          <w:type w:val="bbPlcHdr"/>
        </w:types>
        <w:behaviors>
          <w:behavior w:val="content"/>
        </w:behaviors>
        <w:guid w:val="{CF57E37B-3E3C-4791-90CB-CF9E083CACE2}"/>
      </w:docPartPr>
      <w:docPartBody>
        <w:p w:rsidR="009D12A6" w:rsidRDefault="00FB0E0F" w:rsidP="00FB0E0F">
          <w:pPr>
            <w:pStyle w:val="D87D40FBA38243C5A938FFB369B12AD9"/>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0F"/>
    <w:rsid w:val="00386F63"/>
    <w:rsid w:val="005F3031"/>
    <w:rsid w:val="009D12A6"/>
    <w:rsid w:val="00DD746C"/>
    <w:rsid w:val="00FB0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E0F"/>
    <w:rPr>
      <w:color w:val="808080"/>
    </w:rPr>
  </w:style>
  <w:style w:type="paragraph" w:customStyle="1" w:styleId="D87D40FBA38243C5A938FFB369B12AD9">
    <w:name w:val="D87D40FBA38243C5A938FFB369B12AD9"/>
    <w:rsid w:val="00FB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931F-E4F0-4408-84F9-AD334C34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3027</Words>
  <Characters>1726</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Motiejūnaitė</dc:creator>
  <cp:lastModifiedBy>Lina Saulėnaitė-Višinskienė</cp:lastModifiedBy>
  <cp:revision>2</cp:revision>
  <cp:lastPrinted>2011-03-14T17:27:00Z</cp:lastPrinted>
  <dcterms:created xsi:type="dcterms:W3CDTF">2022-11-21T14:11:00Z</dcterms:created>
  <dcterms:modified xsi:type="dcterms:W3CDTF">2022-11-21T14:11:00Z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0x0101005B1CC102F1AED64EB5FE80FE0CC7E780</vt:lpwstr>
  </property>
  <property fmtid="{D5CDD505-2E9C-101B-9397-08002B2CF9AE}" pid="3" name="Mokymų plano rengimas ir tvirtinimas">
    <vt:lpwstr>, </vt:lpwstr>
  </property>
  <property fmtid="{D5CDD505-2E9C-101B-9397-08002B2CF9AE}" pid="4" name="Order">
    <vt:r8>109000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