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0AF8" w14:textId="77777777" w:rsidR="00D0125E" w:rsidRPr="00640D96" w:rsidRDefault="00282AF4" w:rsidP="00D0125E">
      <w:pPr>
        <w:keepLines/>
        <w:jc w:val="center"/>
        <w:rPr>
          <w:b/>
          <w:bCs/>
          <w:caps/>
          <w:szCs w:val="24"/>
        </w:rPr>
      </w:pPr>
      <w:r w:rsidRPr="00640D96">
        <w:rPr>
          <w:b/>
        </w:rPr>
        <w:t>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r w:rsidRPr="00640D96">
        <w:rPr>
          <w:b/>
          <w:szCs w:val="24"/>
        </w:rPr>
        <w:t xml:space="preserve"> IR </w:t>
      </w:r>
      <w:r w:rsidRPr="00640D96">
        <w:rPr>
          <w:b/>
        </w:rPr>
        <w:t>NACIONALINIŲ TEISĖS AKTŲ ATITIKTIES LENTELĖ</w:t>
      </w:r>
    </w:p>
    <w:p w14:paraId="40099B72" w14:textId="77777777" w:rsidR="00080545" w:rsidRPr="00640D96" w:rsidRDefault="00D0125E" w:rsidP="002C23D7">
      <w:pPr>
        <w:widowControl/>
        <w:suppressAutoHyphens w:val="0"/>
        <w:jc w:val="center"/>
        <w:rPr>
          <w:b/>
        </w:rPr>
      </w:pPr>
      <w:r w:rsidRPr="00640D96">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640D96" w:rsidRPr="00640D96" w14:paraId="3BE65669" w14:textId="77777777" w:rsidTr="00AC51CA">
        <w:tc>
          <w:tcPr>
            <w:tcW w:w="7061" w:type="dxa"/>
            <w:vAlign w:val="center"/>
          </w:tcPr>
          <w:p w14:paraId="4B9D3C9B" w14:textId="77777777" w:rsidR="00080545" w:rsidRPr="00493411" w:rsidRDefault="00282AF4" w:rsidP="00AC51CA">
            <w:pPr>
              <w:jc w:val="both"/>
              <w:rPr>
                <w:b/>
                <w:bCs/>
                <w:szCs w:val="24"/>
              </w:rPr>
            </w:pPr>
            <w:r w:rsidRPr="00493411">
              <w:rPr>
                <w:b/>
                <w:bCs/>
              </w:rPr>
              <w:t>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p>
        </w:tc>
        <w:tc>
          <w:tcPr>
            <w:tcW w:w="6120" w:type="dxa"/>
            <w:vAlign w:val="center"/>
          </w:tcPr>
          <w:p w14:paraId="6A2AD821" w14:textId="371BD0B1" w:rsidR="002C23D7" w:rsidRPr="00317548" w:rsidRDefault="00317548" w:rsidP="00317548">
            <w:pPr>
              <w:pStyle w:val="istatymas"/>
              <w:spacing w:before="0" w:beforeAutospacing="0" w:after="0" w:afterAutospacing="0"/>
              <w:jc w:val="both"/>
              <w:rPr>
                <w:b/>
                <w:bCs/>
              </w:rPr>
            </w:pPr>
            <w:r w:rsidRPr="00317548">
              <w:rPr>
                <w:b/>
                <w:bCs/>
              </w:rPr>
              <w:t xml:space="preserve">Lietuvos Respublikos </w:t>
            </w:r>
            <w:r w:rsidRPr="00317548">
              <w:rPr>
                <w:b/>
                <w:bCs/>
                <w:color w:val="000000"/>
              </w:rPr>
              <w:t xml:space="preserve">aviacijos įstatymo Nr. VIII-2066  </w:t>
            </w:r>
            <w:r w:rsidRPr="00317548">
              <w:rPr>
                <w:b/>
                <w:bCs/>
              </w:rPr>
              <w:t xml:space="preserve">2, 5, 6, </w:t>
            </w:r>
            <w:r w:rsidR="007B424E">
              <w:rPr>
                <w:b/>
                <w:bCs/>
              </w:rPr>
              <w:t xml:space="preserve">8, </w:t>
            </w:r>
            <w:r w:rsidRPr="00317548">
              <w:rPr>
                <w:b/>
                <w:bCs/>
              </w:rPr>
              <w:t xml:space="preserve">12, 16, 24, 28, 33, 35, 41, 45, 46, 47, 49, 52 straipsnių ir 3 priedo pakeitimo ir </w:t>
            </w:r>
            <w:r w:rsidR="00BF784D" w:rsidRPr="00317548">
              <w:rPr>
                <w:b/>
                <w:bCs/>
              </w:rPr>
              <w:t xml:space="preserve">Įstatymo </w:t>
            </w:r>
            <w:r w:rsidRPr="00317548">
              <w:rPr>
                <w:b/>
                <w:bCs/>
              </w:rPr>
              <w:t>papildymo 41</w:t>
            </w:r>
            <w:r w:rsidRPr="00317548">
              <w:rPr>
                <w:b/>
                <w:bCs/>
                <w:vertAlign w:val="superscript"/>
              </w:rPr>
              <w:t>1</w:t>
            </w:r>
            <w:r w:rsidRPr="00317548">
              <w:rPr>
                <w:b/>
                <w:bCs/>
              </w:rPr>
              <w:t xml:space="preserve"> straipsniu ir III skyriaus dešimtuoju skirsniu </w:t>
            </w:r>
            <w:r w:rsidRPr="00317548">
              <w:rPr>
                <w:b/>
                <w:bCs/>
                <w:color w:val="000000"/>
              </w:rPr>
              <w:t>įstatymo</w:t>
            </w:r>
            <w:r w:rsidR="00D100F2" w:rsidRPr="00317548">
              <w:rPr>
                <w:b/>
                <w:bCs/>
              </w:rPr>
              <w:t xml:space="preserve"> projektas</w:t>
            </w:r>
          </w:p>
        </w:tc>
        <w:tc>
          <w:tcPr>
            <w:tcW w:w="2492" w:type="dxa"/>
            <w:vAlign w:val="center"/>
          </w:tcPr>
          <w:p w14:paraId="08B25151" w14:textId="77777777" w:rsidR="00080545" w:rsidRPr="00640D96" w:rsidRDefault="00282AF4" w:rsidP="00AC51CA">
            <w:pPr>
              <w:pStyle w:val="Pagrindinistekstas"/>
              <w:spacing w:after="0"/>
              <w:jc w:val="center"/>
            </w:pPr>
            <w:r w:rsidRPr="00640D96">
              <w:t>Reglamento</w:t>
            </w:r>
            <w:r w:rsidR="00080545" w:rsidRPr="00640D96">
              <w:t xml:space="preserve"> perkėlimo (įgyvendinimo) lygis (visiškas, dalinis)</w:t>
            </w:r>
          </w:p>
        </w:tc>
      </w:tr>
      <w:tr w:rsidR="00640D96" w:rsidRPr="00640D96" w14:paraId="1E0FB418" w14:textId="77777777" w:rsidTr="00AC51CA">
        <w:tc>
          <w:tcPr>
            <w:tcW w:w="7061" w:type="dxa"/>
          </w:tcPr>
          <w:p w14:paraId="0E8DC6A6" w14:textId="77777777" w:rsidR="00282AF4" w:rsidRPr="00640D96" w:rsidRDefault="00282AF4" w:rsidP="00317548">
            <w:pPr>
              <w:pStyle w:val="ti-art"/>
              <w:spacing w:before="0" w:beforeAutospacing="0" w:after="0" w:afterAutospacing="0"/>
            </w:pPr>
            <w:r w:rsidRPr="00640D96">
              <w:t>7 straipsnis</w:t>
            </w:r>
          </w:p>
          <w:p w14:paraId="2291397D" w14:textId="77777777" w:rsidR="00317548" w:rsidRDefault="00282AF4" w:rsidP="00317548">
            <w:pPr>
              <w:pStyle w:val="sti-art"/>
              <w:spacing w:before="0" w:beforeAutospacing="0" w:after="0" w:afterAutospacing="0"/>
            </w:pPr>
            <w:r w:rsidRPr="00640D96">
              <w:t>Valstybinė saugos programa</w:t>
            </w:r>
          </w:p>
          <w:p w14:paraId="60BF6932" w14:textId="4FDB13BE" w:rsidR="00282AF4" w:rsidRPr="00640D96" w:rsidRDefault="00282AF4" w:rsidP="00317548">
            <w:pPr>
              <w:pStyle w:val="sti-art"/>
              <w:spacing w:before="0" w:beforeAutospacing="0" w:after="0" w:afterAutospacing="0"/>
            </w:pPr>
            <w:r w:rsidRPr="00640D96">
              <w:t>1.   Kiekviena valstybė narė, pasikonsultavusi su atitinkamais suinteresuotaisiais subjektais, parengia ir valstybinę saugos programą, skirtą aviacijos veiklos, už kurią ji yra atsakinga, civilinės aviacijos saugos valdymui (toliau – valstybinė saugos programa), ir užtikrina tokios programos veikimą. Ta programa turi būti proporcinga tos veiklos mastui ir sudėtingumui ir atitikti Europos aviacijos saugos programą.</w:t>
            </w:r>
          </w:p>
          <w:p w14:paraId="2A337B82" w14:textId="77777777" w:rsidR="00282AF4" w:rsidRPr="00640D96" w:rsidRDefault="00282AF4" w:rsidP="00317548">
            <w:pPr>
              <w:pStyle w:val="prastasis1"/>
              <w:spacing w:before="0" w:beforeAutospacing="0" w:after="0" w:afterAutospacing="0"/>
            </w:pPr>
            <w:r w:rsidRPr="00640D96">
              <w:t>2.   Valstybinė saugos programa turi apimti bent aspektus, susijusius su valstybės saugos valdymo įpareigojimais, apibūdintais tarptautiniuose standartuose ir rekomenduojamoje praktikoje.</w:t>
            </w:r>
          </w:p>
          <w:p w14:paraId="1415E3A0" w14:textId="77777777" w:rsidR="00282AF4" w:rsidRPr="00640D96" w:rsidRDefault="00282AF4" w:rsidP="00317548">
            <w:pPr>
              <w:pStyle w:val="prastasis1"/>
              <w:spacing w:before="0" w:beforeAutospacing="0" w:after="0" w:afterAutospacing="0"/>
            </w:pPr>
            <w:r w:rsidRPr="00640D96">
              <w:t>3.   Atsižvelgiant į 1 straipsnyje išdėstytus tikslus ir 6 straipsnio 3 dalyje nurodytą saugos užtikrinimo veiksmingumo lygį, valstybinėje saugos programoje konkrečiai nurodomas saugos užtikrinimo veiksmingumo lygis, kuris nacionaliniu lygmeniu turi būti pasiektas tos aviacijos veiklos, už kurią atsakinga atitinkama valstybė narė, atžvilgiu.</w:t>
            </w:r>
          </w:p>
          <w:p w14:paraId="26CA29D9" w14:textId="77777777" w:rsidR="001524B0" w:rsidRPr="00640D96" w:rsidRDefault="001524B0" w:rsidP="00080545">
            <w:pPr>
              <w:jc w:val="both"/>
            </w:pPr>
          </w:p>
        </w:tc>
        <w:tc>
          <w:tcPr>
            <w:tcW w:w="6120" w:type="dxa"/>
          </w:tcPr>
          <w:p w14:paraId="31B76453" w14:textId="77777777" w:rsidR="007B424E" w:rsidRPr="005E7E4A" w:rsidRDefault="007B424E" w:rsidP="007B424E">
            <w:pPr>
              <w:tabs>
                <w:tab w:val="left" w:pos="270"/>
              </w:tabs>
              <w:jc w:val="both"/>
              <w:rPr>
                <w:b/>
                <w:bCs/>
                <w:szCs w:val="24"/>
              </w:rPr>
            </w:pPr>
            <w:r>
              <w:rPr>
                <w:b/>
                <w:bCs/>
                <w:szCs w:val="24"/>
              </w:rPr>
              <w:t>8</w:t>
            </w:r>
            <w:r w:rsidRPr="005E7E4A">
              <w:rPr>
                <w:b/>
                <w:bCs/>
                <w:szCs w:val="24"/>
              </w:rPr>
              <w:t xml:space="preserve"> straipsnis. 28 straipsnio pakeitimas</w:t>
            </w:r>
          </w:p>
          <w:p w14:paraId="2A67EB01" w14:textId="77777777" w:rsidR="00343A6A" w:rsidRPr="000323D6" w:rsidRDefault="00343A6A" w:rsidP="00343A6A">
            <w:pPr>
              <w:pStyle w:val="Sraopastraipa"/>
              <w:numPr>
                <w:ilvl w:val="0"/>
                <w:numId w:val="2"/>
              </w:numPr>
              <w:tabs>
                <w:tab w:val="left" w:pos="1134"/>
              </w:tabs>
              <w:ind w:left="0" w:firstLine="851"/>
              <w:jc w:val="both"/>
            </w:pPr>
            <w:r w:rsidRPr="000323D6">
              <w:t>Pakeisti 28 straipsnio 3 dalį ir ją išdėstyti taip:</w:t>
            </w:r>
          </w:p>
          <w:p w14:paraId="6FAF4EB7" w14:textId="77777777" w:rsidR="00343A6A" w:rsidRPr="000323D6" w:rsidRDefault="00343A6A" w:rsidP="00343A6A">
            <w:pPr>
              <w:pStyle w:val="prastasiniatinklio"/>
              <w:shd w:val="clear" w:color="auto" w:fill="FFFFFF"/>
              <w:tabs>
                <w:tab w:val="left" w:pos="1134"/>
              </w:tabs>
              <w:spacing w:before="0" w:beforeAutospacing="0" w:after="0" w:afterAutospacing="0"/>
              <w:ind w:firstLine="851"/>
              <w:jc w:val="both"/>
              <w:rPr>
                <w:bCs/>
                <w:strike/>
                <w:bdr w:val="none" w:sz="0" w:space="0" w:color="auto" w:frame="1"/>
                <w:shd w:val="clear" w:color="auto" w:fill="FFFFFF"/>
              </w:rPr>
            </w:pPr>
            <w:r w:rsidRPr="000323D6">
              <w:rPr>
                <w:bdr w:val="none" w:sz="0" w:space="0" w:color="auto" w:frame="1"/>
              </w:rPr>
              <w:t xml:space="preserve">„3. Aviacijos saugos valdymui užtikrinti </w:t>
            </w:r>
            <w:r w:rsidRPr="000323D6">
              <w:rPr>
                <w:bCs/>
                <w:bdr w:val="none" w:sz="0" w:space="0" w:color="auto" w:frame="1"/>
              </w:rPr>
              <w:t>susisiekimo ministras</w:t>
            </w:r>
            <w:r w:rsidRPr="000323D6">
              <w:rPr>
                <w:bdr w:val="none" w:sz="0" w:space="0" w:color="auto" w:frame="1"/>
              </w:rPr>
              <w:t xml:space="preserve"> </w:t>
            </w:r>
            <w:r w:rsidRPr="000323D6">
              <w:rPr>
                <w:bCs/>
                <w:bdr w:val="none" w:sz="0" w:space="0" w:color="auto" w:frame="1"/>
                <w:shd w:val="clear" w:color="auto" w:fill="FFFFFF"/>
              </w:rPr>
              <w:t xml:space="preserve">LTSA teikimu </w:t>
            </w:r>
            <w:r w:rsidRPr="000323D6">
              <w:rPr>
                <w:bdr w:val="none" w:sz="0" w:space="0" w:color="auto" w:frame="1"/>
              </w:rPr>
              <w:t xml:space="preserve">tvirtina valstybinę saugos programą, kurioje numatomi aspektai, susiję su valstybės saugos valdymo įpareigojimais, nustatytais tarptautiniuose standartuose ir rekomenduojamoje praktikoje </w:t>
            </w:r>
            <w:r w:rsidRPr="000323D6">
              <w:rPr>
                <w:bCs/>
                <w:bdr w:val="none" w:sz="0" w:space="0" w:color="auto" w:frame="1"/>
              </w:rPr>
              <w:t xml:space="preserve">ir </w:t>
            </w:r>
            <w:r w:rsidRPr="000323D6">
              <w:rPr>
                <w:bCs/>
                <w:bdr w:val="none" w:sz="0" w:space="0" w:color="auto" w:frame="1"/>
                <w:shd w:val="clear" w:color="auto" w:fill="FFFFFF"/>
              </w:rPr>
              <w:t>valstybinį aviacijos saugos planą, kuriame identifikuojamos aviacijos veiklos saugos rizikos ir priemonės joms mažinti, nustatomas siektinas aviacijos saugos užtikrinimo veiksmingumo lygis valstybės mastu ir jo stebėsenai užtikrinti skirti aviacijos saugos veiksmingumo rodikliai. </w:t>
            </w:r>
            <w:r w:rsidRPr="000323D6">
              <w:rPr>
                <w:bCs/>
                <w:bdr w:val="none" w:sz="0" w:space="0" w:color="auto" w:frame="1"/>
              </w:rPr>
              <w:t>Valstybinė saugos</w:t>
            </w:r>
            <w:r w:rsidRPr="000323D6">
              <w:rPr>
                <w:bdr w:val="none" w:sz="0" w:space="0" w:color="auto" w:frame="1"/>
              </w:rPr>
              <w:t xml:space="preserve"> programa turi būti proporcinga aviacijos veiklos mastui ir sudėtingumui ir atitikti Europos aviacijos saugos programą.</w:t>
            </w:r>
            <w:r>
              <w:rPr>
                <w:bdr w:val="none" w:sz="0" w:space="0" w:color="auto" w:frame="1"/>
              </w:rPr>
              <w:t>“</w:t>
            </w:r>
          </w:p>
          <w:p w14:paraId="336BBC04" w14:textId="77777777" w:rsidR="00343A6A" w:rsidRPr="000323D6" w:rsidRDefault="00343A6A" w:rsidP="00343A6A">
            <w:pPr>
              <w:pStyle w:val="prastasiniatinklio"/>
              <w:numPr>
                <w:ilvl w:val="0"/>
                <w:numId w:val="2"/>
              </w:numPr>
              <w:shd w:val="clear" w:color="auto" w:fill="FFFFFF"/>
              <w:tabs>
                <w:tab w:val="left" w:pos="1134"/>
              </w:tabs>
              <w:spacing w:before="0" w:beforeAutospacing="0" w:after="0" w:afterAutospacing="0"/>
              <w:ind w:left="1212"/>
              <w:jc w:val="both"/>
              <w:rPr>
                <w:rFonts w:ascii="Calibri" w:hAnsi="Calibri"/>
              </w:rPr>
            </w:pPr>
            <w:r w:rsidRPr="000323D6">
              <w:rPr>
                <w:bdr w:val="none" w:sz="0" w:space="0" w:color="auto" w:frame="1"/>
              </w:rPr>
              <w:t>Pakeisti 28 straipsnio 4 dalį ir ją išdėstyti taip:</w:t>
            </w:r>
            <w:r w:rsidRPr="000323D6">
              <w:rPr>
                <w:bCs/>
                <w:bdr w:val="none" w:sz="0" w:space="0" w:color="auto" w:frame="1"/>
              </w:rPr>
              <w:t> </w:t>
            </w:r>
          </w:p>
          <w:p w14:paraId="4718B0E8" w14:textId="77777777" w:rsidR="00343A6A" w:rsidRPr="00433288" w:rsidRDefault="00343A6A" w:rsidP="00343A6A">
            <w:pPr>
              <w:pStyle w:val="prastasiniatinklio"/>
              <w:shd w:val="clear" w:color="auto" w:fill="FFFFFF"/>
              <w:tabs>
                <w:tab w:val="left" w:pos="1134"/>
              </w:tabs>
              <w:spacing w:before="0" w:beforeAutospacing="0" w:after="0" w:afterAutospacing="0"/>
              <w:ind w:firstLine="851"/>
              <w:jc w:val="both"/>
              <w:rPr>
                <w:rFonts w:ascii="Calibri" w:hAnsi="Calibri"/>
              </w:rPr>
            </w:pPr>
            <w:r w:rsidRPr="000323D6">
              <w:rPr>
                <w:bdr w:val="none" w:sz="0" w:space="0" w:color="auto" w:frame="1"/>
              </w:rPr>
              <w:t xml:space="preserve">„4. </w:t>
            </w:r>
            <w:r w:rsidRPr="000323D6">
              <w:rPr>
                <w:bCs/>
                <w:bdr w:val="none" w:sz="0" w:space="0" w:color="auto" w:frame="1"/>
              </w:rPr>
              <w:t>Susisiekimo ministro</w:t>
            </w:r>
            <w:r w:rsidRPr="000323D6">
              <w:rPr>
                <w:bdr w:val="none" w:sz="0" w:space="0" w:color="auto" w:frame="1"/>
              </w:rPr>
              <w:t xml:space="preserve"> sudaryta Valstybinė aviacijos saugos komisija </w:t>
            </w:r>
            <w:r w:rsidRPr="000323D6">
              <w:rPr>
                <w:bCs/>
                <w:bdr w:val="none" w:sz="0" w:space="0" w:color="auto" w:frame="1"/>
              </w:rPr>
              <w:t xml:space="preserve">koordinuoja valstybinės saugos programos įgyvendinimą, vykdo aviacijos saugos užtikrinimo veiksmingumo lygio stebėseną atsižvelgdama į valstybiniame aviacijos saugos plane nustatytus saugos </w:t>
            </w:r>
            <w:r w:rsidRPr="000323D6">
              <w:rPr>
                <w:bCs/>
                <w:bdr w:val="none" w:sz="0" w:space="0" w:color="auto" w:frame="1"/>
              </w:rPr>
              <w:lastRenderedPageBreak/>
              <w:t>veiksmingumo lygio rodiklius. Prireikus, Valstybinė aviacijos saugos komisija teikia pasiūlymus dėl aviacijos saugos veiksmingumo Lietuvoje stiprinimo.“</w:t>
            </w:r>
            <w:r w:rsidRPr="00433288">
              <w:rPr>
                <w:bdr w:val="none" w:sz="0" w:space="0" w:color="auto" w:frame="1"/>
              </w:rPr>
              <w:t> </w:t>
            </w:r>
          </w:p>
          <w:p w14:paraId="738919E0" w14:textId="77777777" w:rsidR="00F5272F" w:rsidRPr="004C2FEC" w:rsidRDefault="00F5272F" w:rsidP="00F5272F">
            <w:pPr>
              <w:ind w:firstLine="851"/>
              <w:jc w:val="both"/>
              <w:rPr>
                <w:szCs w:val="24"/>
              </w:rPr>
            </w:pPr>
          </w:p>
          <w:p w14:paraId="6DB29D0F" w14:textId="77777777" w:rsidR="00477228" w:rsidRPr="00640D96" w:rsidRDefault="00477228" w:rsidP="00282AF4">
            <w:pPr>
              <w:pStyle w:val="Pagrindinistekstas"/>
              <w:tabs>
                <w:tab w:val="left" w:pos="317"/>
                <w:tab w:val="left" w:pos="993"/>
              </w:tabs>
              <w:ind w:left="34"/>
            </w:pPr>
          </w:p>
          <w:p w14:paraId="78404BA5" w14:textId="77777777" w:rsidR="00477228" w:rsidRPr="00640D96" w:rsidRDefault="00477228" w:rsidP="00282AF4">
            <w:pPr>
              <w:pStyle w:val="Pagrindinistekstas"/>
              <w:tabs>
                <w:tab w:val="left" w:pos="317"/>
                <w:tab w:val="left" w:pos="993"/>
              </w:tabs>
              <w:ind w:left="34"/>
            </w:pPr>
          </w:p>
          <w:p w14:paraId="55A2FB3E" w14:textId="77777777" w:rsidR="00607BE4" w:rsidRPr="00640D96" w:rsidRDefault="00607BE4" w:rsidP="00607BE4">
            <w:pPr>
              <w:tabs>
                <w:tab w:val="left" w:pos="993"/>
              </w:tabs>
              <w:ind w:firstLine="567"/>
              <w:jc w:val="both"/>
              <w:rPr>
                <w:szCs w:val="24"/>
              </w:rPr>
            </w:pPr>
          </w:p>
          <w:p w14:paraId="688D4E91" w14:textId="77777777" w:rsidR="00080545" w:rsidRPr="00640D96" w:rsidRDefault="00080545" w:rsidP="00080545">
            <w:pPr>
              <w:pStyle w:val="Pagrindinistekstas"/>
              <w:tabs>
                <w:tab w:val="left" w:pos="5180"/>
              </w:tabs>
              <w:spacing w:after="0"/>
              <w:jc w:val="both"/>
              <w:rPr>
                <w:b/>
              </w:rPr>
            </w:pPr>
          </w:p>
        </w:tc>
        <w:tc>
          <w:tcPr>
            <w:tcW w:w="2492" w:type="dxa"/>
            <w:vAlign w:val="center"/>
          </w:tcPr>
          <w:p w14:paraId="100BF0BD" w14:textId="77777777" w:rsidR="00080545" w:rsidRPr="00640D96" w:rsidRDefault="00282AF4" w:rsidP="00AC51CA">
            <w:pPr>
              <w:pStyle w:val="Pagrindinistekstas"/>
              <w:spacing w:after="0"/>
              <w:jc w:val="center"/>
              <w:rPr>
                <w:b/>
              </w:rPr>
            </w:pPr>
            <w:r w:rsidRPr="00640D96">
              <w:rPr>
                <w:b/>
              </w:rPr>
              <w:lastRenderedPageBreak/>
              <w:t>Dalinis</w:t>
            </w:r>
          </w:p>
          <w:p w14:paraId="0229F103" w14:textId="1D1CFCE2" w:rsidR="00080545" w:rsidRPr="00640D96" w:rsidRDefault="00477228" w:rsidP="00B46D9F">
            <w:pPr>
              <w:pStyle w:val="Pagrindinistekstas"/>
              <w:spacing w:after="0"/>
              <w:jc w:val="both"/>
              <w:rPr>
                <w:b/>
              </w:rPr>
            </w:pPr>
            <w:r w:rsidRPr="00640D96">
              <w:t xml:space="preserve">Reglamento (ES) 2018/1139 7 straipsnio 3 dalis </w:t>
            </w:r>
            <w:r w:rsidR="00B46D9F" w:rsidRPr="00640D96">
              <w:t xml:space="preserve">visiškai įgyvendinta bus priėmus Lietuvos Respublikos </w:t>
            </w:r>
            <w:r w:rsidR="00343A6A">
              <w:t>susisiekimo ministro įsakymą</w:t>
            </w:r>
            <w:r w:rsidR="00B46D9F" w:rsidRPr="00640D96">
              <w:t xml:space="preserve"> d</w:t>
            </w:r>
            <w:r w:rsidR="00B46D9F" w:rsidRPr="00640D96">
              <w:rPr>
                <w:bCs/>
              </w:rPr>
              <w:t xml:space="preserve">ėl </w:t>
            </w:r>
            <w:r w:rsidR="0051277A" w:rsidRPr="00640D96">
              <w:rPr>
                <w:bCs/>
              </w:rPr>
              <w:t xml:space="preserve">valstybinės </w:t>
            </w:r>
            <w:r w:rsidR="00B46D9F" w:rsidRPr="00640D96">
              <w:rPr>
                <w:bCs/>
              </w:rPr>
              <w:t xml:space="preserve">aviacijos saugos programos patvirtinimo ir </w:t>
            </w:r>
            <w:r w:rsidR="0051277A" w:rsidRPr="00640D96">
              <w:rPr>
                <w:bCs/>
              </w:rPr>
              <w:t xml:space="preserve">valstybinės </w:t>
            </w:r>
            <w:r w:rsidR="00B46D9F" w:rsidRPr="00640D96">
              <w:rPr>
                <w:bCs/>
              </w:rPr>
              <w:t>aviacijos saugos komisijos sudarymo</w:t>
            </w:r>
            <w:r w:rsidR="00B46D9F" w:rsidRPr="00640D96">
              <w:t xml:space="preserve">, sudarius </w:t>
            </w:r>
            <w:r w:rsidR="0051277A" w:rsidRPr="00640D96">
              <w:t xml:space="preserve">valstybinę </w:t>
            </w:r>
            <w:r w:rsidR="00B46D9F" w:rsidRPr="00640D96">
              <w:t xml:space="preserve">aviacijos saugos komisiją ir </w:t>
            </w:r>
            <w:r w:rsidR="00343A6A">
              <w:t>taip pat</w:t>
            </w:r>
            <w:r w:rsidR="00B46D9F" w:rsidRPr="00640D96">
              <w:t xml:space="preserve"> patvirtinus </w:t>
            </w:r>
            <w:r w:rsidR="0051277A" w:rsidRPr="00317548">
              <w:rPr>
                <w:szCs w:val="24"/>
              </w:rPr>
              <w:t xml:space="preserve">valstybinį </w:t>
            </w:r>
            <w:r w:rsidR="00B46D9F" w:rsidRPr="00317548">
              <w:rPr>
                <w:szCs w:val="24"/>
              </w:rPr>
              <w:t xml:space="preserve">aviacijos saugos planą, kuriame bus numatytos </w:t>
            </w:r>
            <w:r w:rsidR="00B46D9F" w:rsidRPr="00317548">
              <w:rPr>
                <w:szCs w:val="24"/>
              </w:rPr>
              <w:lastRenderedPageBreak/>
              <w:t>priemonės aviacijos saugai užtikrinti ir aviacijos saugos veiksmingumo lygio rodikli, skirtus siektinam saugos veiksmingumo lygiui nustatyti ir jo stebėsenai užtikrinti</w:t>
            </w:r>
            <w:r w:rsidR="00317548">
              <w:rPr>
                <w:szCs w:val="24"/>
              </w:rPr>
              <w:t>.</w:t>
            </w:r>
          </w:p>
        </w:tc>
      </w:tr>
    </w:tbl>
    <w:p w14:paraId="5B7CB271" w14:textId="77777777" w:rsidR="001B5ED3" w:rsidRPr="00640D96" w:rsidRDefault="001B5ED3">
      <w:pPr>
        <w:rPr>
          <w:sz w:val="2"/>
        </w:rPr>
      </w:pPr>
    </w:p>
    <w:p w14:paraId="59D692F5" w14:textId="77777777" w:rsidR="00366EB1" w:rsidRPr="00640D96" w:rsidRDefault="00366EB1">
      <w:pPr>
        <w:rPr>
          <w:sz w:val="2"/>
        </w:rPr>
      </w:pPr>
    </w:p>
    <w:p w14:paraId="17D0AF27" w14:textId="77777777" w:rsidR="00366EB1" w:rsidRPr="00640D96" w:rsidRDefault="00366EB1">
      <w:pPr>
        <w:rPr>
          <w:szCs w:val="24"/>
        </w:rPr>
      </w:pPr>
    </w:p>
    <w:p w14:paraId="3BDC1F18" w14:textId="77777777" w:rsidR="00366EB1" w:rsidRPr="00640D96" w:rsidRDefault="00366EB1">
      <w:pPr>
        <w:rPr>
          <w:szCs w:val="24"/>
        </w:rPr>
      </w:pPr>
    </w:p>
    <w:sectPr w:rsidR="00366EB1" w:rsidRPr="00640D96" w:rsidSect="0008054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4577" w14:textId="77777777" w:rsidR="00BA7ED8" w:rsidRDefault="00BA7ED8">
      <w:r>
        <w:separator/>
      </w:r>
    </w:p>
  </w:endnote>
  <w:endnote w:type="continuationSeparator" w:id="0">
    <w:p w14:paraId="1E423ACA" w14:textId="77777777" w:rsidR="00BA7ED8" w:rsidRDefault="00BA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C3D6" w14:textId="77777777" w:rsidR="00BA7ED8" w:rsidRDefault="00BA7ED8">
      <w:r>
        <w:separator/>
      </w:r>
    </w:p>
  </w:footnote>
  <w:footnote w:type="continuationSeparator" w:id="0">
    <w:p w14:paraId="0F4C5B98" w14:textId="77777777" w:rsidR="00BA7ED8" w:rsidRDefault="00BA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0E17"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2E918D"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7367"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272F">
      <w:rPr>
        <w:rStyle w:val="Puslapionumeris"/>
        <w:noProof/>
      </w:rPr>
      <w:t>2</w:t>
    </w:r>
    <w:r>
      <w:rPr>
        <w:rStyle w:val="Puslapionumeris"/>
      </w:rPr>
      <w:fldChar w:fldCharType="end"/>
    </w:r>
  </w:p>
  <w:p w14:paraId="54DC131A"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2338F"/>
    <w:multiLevelType w:val="hybridMultilevel"/>
    <w:tmpl w:val="CE869EBE"/>
    <w:lvl w:ilvl="0" w:tplc="63E81736">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545"/>
    <w:rsid w:val="00003965"/>
    <w:rsid w:val="00005B08"/>
    <w:rsid w:val="00012585"/>
    <w:rsid w:val="00012AED"/>
    <w:rsid w:val="00016519"/>
    <w:rsid w:val="000175BD"/>
    <w:rsid w:val="00022116"/>
    <w:rsid w:val="0003798A"/>
    <w:rsid w:val="00067899"/>
    <w:rsid w:val="00070275"/>
    <w:rsid w:val="00080545"/>
    <w:rsid w:val="000A2D72"/>
    <w:rsid w:val="000B4919"/>
    <w:rsid w:val="000C2BC7"/>
    <w:rsid w:val="000C5E6B"/>
    <w:rsid w:val="000C62ED"/>
    <w:rsid w:val="000C7474"/>
    <w:rsid w:val="000D39C3"/>
    <w:rsid w:val="000F37A4"/>
    <w:rsid w:val="0011058E"/>
    <w:rsid w:val="00115F4F"/>
    <w:rsid w:val="00136E93"/>
    <w:rsid w:val="001428A4"/>
    <w:rsid w:val="001524B0"/>
    <w:rsid w:val="00154123"/>
    <w:rsid w:val="00163496"/>
    <w:rsid w:val="001A53DF"/>
    <w:rsid w:val="001B5ED3"/>
    <w:rsid w:val="001D5990"/>
    <w:rsid w:val="001F09B9"/>
    <w:rsid w:val="001F6743"/>
    <w:rsid w:val="00207062"/>
    <w:rsid w:val="00215DC1"/>
    <w:rsid w:val="002332D5"/>
    <w:rsid w:val="00236471"/>
    <w:rsid w:val="002606BF"/>
    <w:rsid w:val="0027463F"/>
    <w:rsid w:val="00275A0E"/>
    <w:rsid w:val="00282AF4"/>
    <w:rsid w:val="00287729"/>
    <w:rsid w:val="002939D4"/>
    <w:rsid w:val="0029658B"/>
    <w:rsid w:val="002967E2"/>
    <w:rsid w:val="002A356D"/>
    <w:rsid w:val="002A5619"/>
    <w:rsid w:val="002C213F"/>
    <w:rsid w:val="002C23D7"/>
    <w:rsid w:val="002D03C3"/>
    <w:rsid w:val="003039A3"/>
    <w:rsid w:val="003052E0"/>
    <w:rsid w:val="00306229"/>
    <w:rsid w:val="00317548"/>
    <w:rsid w:val="0034001F"/>
    <w:rsid w:val="00343A6A"/>
    <w:rsid w:val="00363B24"/>
    <w:rsid w:val="00363EC1"/>
    <w:rsid w:val="00366EB1"/>
    <w:rsid w:val="00374FDF"/>
    <w:rsid w:val="00376365"/>
    <w:rsid w:val="00377830"/>
    <w:rsid w:val="003B198F"/>
    <w:rsid w:val="003D5593"/>
    <w:rsid w:val="003E5C4B"/>
    <w:rsid w:val="00430870"/>
    <w:rsid w:val="00454225"/>
    <w:rsid w:val="00475AE2"/>
    <w:rsid w:val="00477228"/>
    <w:rsid w:val="0048799D"/>
    <w:rsid w:val="00493411"/>
    <w:rsid w:val="00494C43"/>
    <w:rsid w:val="004B31CB"/>
    <w:rsid w:val="004C20EE"/>
    <w:rsid w:val="004D501D"/>
    <w:rsid w:val="004D67C4"/>
    <w:rsid w:val="004E0EC4"/>
    <w:rsid w:val="004F7379"/>
    <w:rsid w:val="0051277A"/>
    <w:rsid w:val="005166AF"/>
    <w:rsid w:val="00516DB3"/>
    <w:rsid w:val="00526CF1"/>
    <w:rsid w:val="00531E6F"/>
    <w:rsid w:val="00532A1D"/>
    <w:rsid w:val="005374D6"/>
    <w:rsid w:val="0054687C"/>
    <w:rsid w:val="0055364A"/>
    <w:rsid w:val="005677B2"/>
    <w:rsid w:val="00582F45"/>
    <w:rsid w:val="00590D5E"/>
    <w:rsid w:val="00595B22"/>
    <w:rsid w:val="00595D74"/>
    <w:rsid w:val="005A460C"/>
    <w:rsid w:val="005A6247"/>
    <w:rsid w:val="005D1FFD"/>
    <w:rsid w:val="005D46C3"/>
    <w:rsid w:val="005E0ACE"/>
    <w:rsid w:val="005F1C28"/>
    <w:rsid w:val="006002D2"/>
    <w:rsid w:val="00607BE4"/>
    <w:rsid w:val="006248F3"/>
    <w:rsid w:val="00640D96"/>
    <w:rsid w:val="00640FAE"/>
    <w:rsid w:val="006437E4"/>
    <w:rsid w:val="006513D7"/>
    <w:rsid w:val="00655EAE"/>
    <w:rsid w:val="006630C6"/>
    <w:rsid w:val="006652AC"/>
    <w:rsid w:val="00670A33"/>
    <w:rsid w:val="00671A93"/>
    <w:rsid w:val="00672F8B"/>
    <w:rsid w:val="00675ADD"/>
    <w:rsid w:val="006A7416"/>
    <w:rsid w:val="006B0926"/>
    <w:rsid w:val="006D1699"/>
    <w:rsid w:val="006E05D9"/>
    <w:rsid w:val="006E2A60"/>
    <w:rsid w:val="006E6D9D"/>
    <w:rsid w:val="006E78D8"/>
    <w:rsid w:val="006F3E18"/>
    <w:rsid w:val="0071086D"/>
    <w:rsid w:val="00741D17"/>
    <w:rsid w:val="007617EF"/>
    <w:rsid w:val="00770C3A"/>
    <w:rsid w:val="00772E69"/>
    <w:rsid w:val="007A6BED"/>
    <w:rsid w:val="007B424E"/>
    <w:rsid w:val="007B4BF1"/>
    <w:rsid w:val="007C2212"/>
    <w:rsid w:val="007D4706"/>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5BD"/>
    <w:rsid w:val="00A05926"/>
    <w:rsid w:val="00A20D8E"/>
    <w:rsid w:val="00A21D66"/>
    <w:rsid w:val="00A329CF"/>
    <w:rsid w:val="00A40B0A"/>
    <w:rsid w:val="00A43447"/>
    <w:rsid w:val="00A52C47"/>
    <w:rsid w:val="00A54493"/>
    <w:rsid w:val="00A55036"/>
    <w:rsid w:val="00A82ADA"/>
    <w:rsid w:val="00AC51CA"/>
    <w:rsid w:val="00AE631B"/>
    <w:rsid w:val="00AF44CD"/>
    <w:rsid w:val="00B34ABD"/>
    <w:rsid w:val="00B41C37"/>
    <w:rsid w:val="00B46D9F"/>
    <w:rsid w:val="00B7273E"/>
    <w:rsid w:val="00B81094"/>
    <w:rsid w:val="00B85C8F"/>
    <w:rsid w:val="00B9652C"/>
    <w:rsid w:val="00BA7ED8"/>
    <w:rsid w:val="00BB2D43"/>
    <w:rsid w:val="00BB63A6"/>
    <w:rsid w:val="00BC1FB5"/>
    <w:rsid w:val="00BF1517"/>
    <w:rsid w:val="00BF784D"/>
    <w:rsid w:val="00C11CD9"/>
    <w:rsid w:val="00C14F58"/>
    <w:rsid w:val="00C20DA2"/>
    <w:rsid w:val="00C22CF8"/>
    <w:rsid w:val="00C32E9B"/>
    <w:rsid w:val="00C346B4"/>
    <w:rsid w:val="00C408F4"/>
    <w:rsid w:val="00C40CD8"/>
    <w:rsid w:val="00C563C5"/>
    <w:rsid w:val="00C82A8F"/>
    <w:rsid w:val="00C843E1"/>
    <w:rsid w:val="00C84831"/>
    <w:rsid w:val="00C9428D"/>
    <w:rsid w:val="00C97476"/>
    <w:rsid w:val="00CD3B08"/>
    <w:rsid w:val="00CE4C1E"/>
    <w:rsid w:val="00CF1485"/>
    <w:rsid w:val="00D0125E"/>
    <w:rsid w:val="00D031DD"/>
    <w:rsid w:val="00D06CD7"/>
    <w:rsid w:val="00D07356"/>
    <w:rsid w:val="00D100F2"/>
    <w:rsid w:val="00D1143F"/>
    <w:rsid w:val="00D12CF1"/>
    <w:rsid w:val="00D1741F"/>
    <w:rsid w:val="00D3436C"/>
    <w:rsid w:val="00D3799B"/>
    <w:rsid w:val="00D62109"/>
    <w:rsid w:val="00D633AE"/>
    <w:rsid w:val="00D71303"/>
    <w:rsid w:val="00D74472"/>
    <w:rsid w:val="00D74A75"/>
    <w:rsid w:val="00D76AF8"/>
    <w:rsid w:val="00D80035"/>
    <w:rsid w:val="00D8598B"/>
    <w:rsid w:val="00D9246B"/>
    <w:rsid w:val="00D9462D"/>
    <w:rsid w:val="00DA2AB4"/>
    <w:rsid w:val="00DB68BE"/>
    <w:rsid w:val="00DC7D23"/>
    <w:rsid w:val="00DD0E0B"/>
    <w:rsid w:val="00DD7386"/>
    <w:rsid w:val="00DE05E8"/>
    <w:rsid w:val="00DF306D"/>
    <w:rsid w:val="00E557FA"/>
    <w:rsid w:val="00E57671"/>
    <w:rsid w:val="00E625F6"/>
    <w:rsid w:val="00E80E9F"/>
    <w:rsid w:val="00E95408"/>
    <w:rsid w:val="00EB2F1F"/>
    <w:rsid w:val="00EC5968"/>
    <w:rsid w:val="00EF4956"/>
    <w:rsid w:val="00F06AA4"/>
    <w:rsid w:val="00F06F47"/>
    <w:rsid w:val="00F12FB9"/>
    <w:rsid w:val="00F16C6A"/>
    <w:rsid w:val="00F279AB"/>
    <w:rsid w:val="00F31DC8"/>
    <w:rsid w:val="00F334DD"/>
    <w:rsid w:val="00F5272F"/>
    <w:rsid w:val="00F5297E"/>
    <w:rsid w:val="00F65BF0"/>
    <w:rsid w:val="00F71829"/>
    <w:rsid w:val="00F7258B"/>
    <w:rsid w:val="00F80056"/>
    <w:rsid w:val="00F9131D"/>
    <w:rsid w:val="00F9207A"/>
    <w:rsid w:val="00F93EFE"/>
    <w:rsid w:val="00F97A0F"/>
    <w:rsid w:val="00FA2D9E"/>
    <w:rsid w:val="00FA3F2B"/>
    <w:rsid w:val="00FC5647"/>
    <w:rsid w:val="00FD4EE1"/>
    <w:rsid w:val="00FE7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81A9A"/>
  <w15:docId w15:val="{173BCB1F-0EEF-4144-9AAE-507C8F6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 w:type="paragraph" w:styleId="prastasiniatinklio">
    <w:name w:val="Normal (Web)"/>
    <w:basedOn w:val="prastasis"/>
    <w:uiPriority w:val="99"/>
    <w:semiHidden/>
    <w:unhideWhenUsed/>
    <w:rsid w:val="00317548"/>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ABD0-6E5F-426B-BB30-ACF3D500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3525</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2020-07-30T08:24:00Z</dcterms:created>
  <dc:creator>Lina Smilgyte</dc:creator>
  <cp:lastModifiedBy>Indrė Meironaitė-Gudaitienė</cp:lastModifiedBy>
  <dcterms:modified xsi:type="dcterms:W3CDTF">2021-05-12T13:48:00Z</dcterms:modified>
  <cp:revision>16</cp:revision>
  <dc:title>DIREKTYVOS 2009/12/EB IR LIETUVOS RESPUBLIKOS NACIONALINIŲ TEISĖS AKTŲ PROJEKTŲ ATITIKTIES LENTELĖ</dc:title>
</cp:coreProperties>
</file>