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8F6B" w14:textId="77777777" w:rsidR="00263F59" w:rsidRDefault="00263F59" w:rsidP="00263F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59">
        <w:rPr>
          <w:rFonts w:ascii="Times New Roman" w:hAnsi="Times New Roman" w:cs="Times New Roman"/>
          <w:b/>
          <w:sz w:val="24"/>
          <w:szCs w:val="24"/>
        </w:rPr>
        <w:t xml:space="preserve">LIETUVOS </w:t>
      </w:r>
      <w:r>
        <w:rPr>
          <w:rFonts w:ascii="Times New Roman" w:hAnsi="Times New Roman" w:cs="Times New Roman"/>
          <w:b/>
          <w:sz w:val="24"/>
          <w:szCs w:val="24"/>
        </w:rPr>
        <w:t>RESPUBLIKOS VYRIAUSYBĖS NUTARIMO</w:t>
      </w:r>
    </w:p>
    <w:p w14:paraId="7031BF61" w14:textId="21E81917" w:rsidR="00263F59" w:rsidRDefault="00263F59" w:rsidP="00263F5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63F59">
        <w:rPr>
          <w:rFonts w:ascii="Times New Roman" w:hAnsi="Times New Roman" w:cs="Times New Roman"/>
          <w:b/>
          <w:sz w:val="24"/>
          <w:szCs w:val="24"/>
        </w:rPr>
        <w:t>„</w:t>
      </w:r>
      <w:r w:rsidR="00B41672" w:rsidRPr="00B41672">
        <w:rPr>
          <w:rFonts w:ascii="Times New Roman" w:hAnsi="Times New Roman" w:cs="Times New Roman"/>
          <w:b/>
          <w:caps/>
          <w:sz w:val="24"/>
          <w:szCs w:val="24"/>
        </w:rPr>
        <w:t>Dėl 2021–2030 m</w:t>
      </w:r>
      <w:r w:rsidR="00DB1387">
        <w:rPr>
          <w:rFonts w:ascii="Times New Roman" w:hAnsi="Times New Roman" w:cs="Times New Roman"/>
          <w:b/>
          <w:caps/>
          <w:sz w:val="24"/>
          <w:szCs w:val="24"/>
        </w:rPr>
        <w:t>ETŲ</w:t>
      </w:r>
      <w:r w:rsidR="00B41672" w:rsidRPr="00B41672">
        <w:rPr>
          <w:rFonts w:ascii="Times New Roman" w:hAnsi="Times New Roman" w:cs="Times New Roman"/>
          <w:b/>
          <w:caps/>
          <w:sz w:val="24"/>
          <w:szCs w:val="24"/>
        </w:rPr>
        <w:t xml:space="preserve"> plėtros programos valdytojo</w:t>
      </w:r>
      <w:r w:rsidR="00DC4BB9">
        <w:rPr>
          <w:rFonts w:ascii="Times New Roman" w:hAnsi="Times New Roman" w:cs="Times New Roman"/>
          <w:b/>
          <w:caps/>
          <w:sz w:val="24"/>
          <w:szCs w:val="24"/>
        </w:rPr>
        <w:t>S</w:t>
      </w:r>
      <w:r w:rsidR="00B41672" w:rsidRPr="00B41672">
        <w:rPr>
          <w:rFonts w:ascii="Times New Roman" w:hAnsi="Times New Roman" w:cs="Times New Roman"/>
          <w:b/>
          <w:caps/>
          <w:sz w:val="24"/>
          <w:szCs w:val="24"/>
        </w:rPr>
        <w:t xml:space="preserve"> Lietuvos Respublikos socialinės apsaugos ir darbo ministerijos neįgaliesiems tinkamos aplinkos visose gyvenimo srityse plėtros programos patvirtinimo</w:t>
      </w:r>
      <w:r w:rsidRPr="0075404F">
        <w:rPr>
          <w:rFonts w:ascii="Times New Roman" w:hAnsi="Times New Roman" w:cs="Times New Roman"/>
          <w:b/>
          <w:caps/>
          <w:sz w:val="24"/>
          <w:szCs w:val="24"/>
        </w:rPr>
        <w:t xml:space="preserve">“ </w:t>
      </w:r>
      <w:r w:rsidR="008232EB" w:rsidRPr="0075404F">
        <w:rPr>
          <w:rFonts w:ascii="Times New Roman" w:hAnsi="Times New Roman" w:cs="Times New Roman"/>
          <w:b/>
          <w:caps/>
          <w:sz w:val="24"/>
          <w:szCs w:val="24"/>
        </w:rPr>
        <w:t>projekto</w:t>
      </w:r>
      <w:r w:rsidR="008232EB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3F87DF54" w14:textId="77777777" w:rsidR="00263F59" w:rsidRPr="00263F59" w:rsidRDefault="00263F59" w:rsidP="00263F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derinimo pažyma</w:t>
      </w:r>
    </w:p>
    <w:p w14:paraId="5A8F735A" w14:textId="77777777" w:rsidR="00263F59" w:rsidRDefault="00263F5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567" w:type="dxa"/>
        <w:tblLook w:val="04A0" w:firstRow="1" w:lastRow="0" w:firstColumn="1" w:lastColumn="0" w:noHBand="0" w:noVBand="1"/>
      </w:tblPr>
      <w:tblGrid>
        <w:gridCol w:w="2660"/>
        <w:gridCol w:w="5812"/>
        <w:gridCol w:w="6095"/>
      </w:tblGrid>
      <w:tr w:rsidR="0075404F" w14:paraId="67BB18FD" w14:textId="77777777" w:rsidTr="00AA5E1E">
        <w:tc>
          <w:tcPr>
            <w:tcW w:w="2660" w:type="dxa"/>
          </w:tcPr>
          <w:p w14:paraId="4C493BBB" w14:textId="77777777" w:rsidR="0075404F" w:rsidRDefault="0075404F" w:rsidP="00754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5812" w:type="dxa"/>
          </w:tcPr>
          <w:p w14:paraId="30854E53" w14:textId="77777777" w:rsidR="0075404F" w:rsidRDefault="0075404F" w:rsidP="00754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6095" w:type="dxa"/>
          </w:tcPr>
          <w:p w14:paraId="051A9462" w14:textId="2BFF62E7" w:rsidR="0075404F" w:rsidRDefault="00952929" w:rsidP="00754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Argumentai</w:t>
            </w:r>
            <w:r w:rsidR="0075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kodėl</w:t>
            </w:r>
            <w:r w:rsidR="0075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neatsižvelgta 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  <w:r w:rsidR="0075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dalies </w:t>
            </w:r>
            <w:r w:rsidR="0075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atsižvelgta </w:t>
            </w:r>
          </w:p>
        </w:tc>
      </w:tr>
      <w:tr w:rsidR="00AA5E1E" w14:paraId="7CB43CC4" w14:textId="77777777" w:rsidTr="00AA5E1E">
        <w:tc>
          <w:tcPr>
            <w:tcW w:w="2660" w:type="dxa"/>
          </w:tcPr>
          <w:p w14:paraId="3CFE930F" w14:textId="200B5DA5" w:rsidR="00AA5E1E" w:rsidRPr="0075404F" w:rsidRDefault="00AA5E1E" w:rsidP="00BD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5BB">
              <w:rPr>
                <w:rFonts w:ascii="Times New Roman" w:hAnsi="Times New Roman" w:cs="Times New Roman"/>
                <w:sz w:val="24"/>
                <w:szCs w:val="24"/>
              </w:rPr>
              <w:t>Lietuvos Respublikos teisingumo ministerijos</w:t>
            </w:r>
            <w:r w:rsidR="00A85A25" w:rsidRPr="00113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D0E82">
              <w:rPr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421EAB">
              <w:rPr>
                <w:rFonts w:ascii="Times New Roman" w:hAnsi="Times New Roman" w:cs="Times New Roman"/>
                <w:sz w:val="24"/>
                <w:szCs w:val="24"/>
              </w:rPr>
              <w:t xml:space="preserve">liepos </w:t>
            </w:r>
            <w:r w:rsidR="00FF0E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raštas Nr.</w:t>
            </w:r>
            <w:r w:rsidR="003D0E82">
              <w:rPr>
                <w:szCs w:val="24"/>
              </w:rPr>
              <w:t> </w:t>
            </w:r>
            <w:r w:rsidR="00FF0E19" w:rsidRPr="00FF0E19">
              <w:rPr>
                <w:rFonts w:ascii="Times New Roman" w:hAnsi="Times New Roman" w:cs="Times New Roman"/>
                <w:sz w:val="24"/>
                <w:szCs w:val="24"/>
              </w:rPr>
              <w:t>21-</w:t>
            </w:r>
            <w:r w:rsidR="003D0E82">
              <w:rPr>
                <w:szCs w:val="24"/>
              </w:rPr>
              <w:t> </w:t>
            </w:r>
            <w:r w:rsidR="00FF0E19" w:rsidRPr="00FF0E19">
              <w:rPr>
                <w:rFonts w:ascii="Times New Roman" w:hAnsi="Times New Roman" w:cs="Times New Roman"/>
                <w:sz w:val="24"/>
                <w:szCs w:val="24"/>
              </w:rPr>
              <w:t>27246</w:t>
            </w:r>
          </w:p>
        </w:tc>
        <w:tc>
          <w:tcPr>
            <w:tcW w:w="5812" w:type="dxa"/>
          </w:tcPr>
          <w:p w14:paraId="0D5C688A" w14:textId="7B18F9BE" w:rsidR="00AA5E1E" w:rsidRPr="003A37FD" w:rsidRDefault="0073408A" w:rsidP="00AE2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8A">
              <w:rPr>
                <w:rFonts w:ascii="Times New Roman" w:hAnsi="Times New Roman" w:cs="Times New Roman"/>
                <w:sz w:val="24"/>
                <w:szCs w:val="24"/>
              </w:rPr>
              <w:t>1. Pirmiausia atkreipiame dėmesį, jog prie Aplinkos plėtros programos priemonės (kodas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08A">
              <w:rPr>
                <w:rFonts w:ascii="Times New Roman" w:hAnsi="Times New Roman" w:cs="Times New Roman"/>
                <w:sz w:val="24"/>
                <w:szCs w:val="24"/>
              </w:rPr>
              <w:t>09-005-02-06-05) „Užtikrinti paslaugų ir prekių pritaikymą neįgaliųjų poreikiams“ (toliau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08A">
              <w:rPr>
                <w:rFonts w:ascii="Times New Roman" w:hAnsi="Times New Roman" w:cs="Times New Roman"/>
                <w:sz w:val="24"/>
                <w:szCs w:val="24"/>
              </w:rPr>
              <w:t>Priemonė) vienintele dalyvaujančia institucija jos įgyvendinime nurodyta Valstybinė vartotojų</w:t>
            </w:r>
            <w:r w:rsidR="00AE2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08A">
              <w:rPr>
                <w:rFonts w:ascii="Times New Roman" w:hAnsi="Times New Roman" w:cs="Times New Roman"/>
                <w:sz w:val="24"/>
                <w:szCs w:val="24"/>
              </w:rPr>
              <w:t>teisių apsaugos tarnyba. Pažymėtina, jog Valstybinė vartotojų teisių apsaugos tarnyba yra</w:t>
            </w:r>
            <w:r w:rsidR="00AE2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08A">
              <w:rPr>
                <w:rFonts w:ascii="Times New Roman" w:hAnsi="Times New Roman" w:cs="Times New Roman"/>
                <w:sz w:val="24"/>
                <w:szCs w:val="24"/>
              </w:rPr>
              <w:t>valstybės įstaiga, įgyvendinanti valstybės politiką vartotojų teisių apsaugos srityje ir užtikrinanti</w:t>
            </w:r>
            <w:r w:rsidR="00AE2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08A">
              <w:rPr>
                <w:rFonts w:ascii="Times New Roman" w:hAnsi="Times New Roman" w:cs="Times New Roman"/>
                <w:sz w:val="24"/>
                <w:szCs w:val="24"/>
              </w:rPr>
              <w:t>vartotojų teisių apsaugą. Valstybinė vartotojų teisių apsaugos tarnyba vykdo funkcijas, kurios yra</w:t>
            </w:r>
            <w:r w:rsidR="00AE2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08A">
              <w:rPr>
                <w:rFonts w:ascii="Times New Roman" w:hAnsi="Times New Roman" w:cs="Times New Roman"/>
                <w:sz w:val="24"/>
                <w:szCs w:val="24"/>
              </w:rPr>
              <w:t>nurodytos Lietuvos Respublikos vartotojų teisių apsaugos įstatymo 12 straipsnyje, taip pat kituose</w:t>
            </w:r>
            <w:r w:rsidR="00AE2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08A">
              <w:rPr>
                <w:rFonts w:ascii="Times New Roman" w:hAnsi="Times New Roman" w:cs="Times New Roman"/>
                <w:sz w:val="24"/>
                <w:szCs w:val="24"/>
              </w:rPr>
              <w:t>specialiuosiuose įstatymuose ir teisės aktuose (Lietuvos Respublikos nesąžiningos komercinės</w:t>
            </w:r>
            <w:r w:rsidR="00AE2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08A">
              <w:rPr>
                <w:rFonts w:ascii="Times New Roman" w:hAnsi="Times New Roman" w:cs="Times New Roman"/>
                <w:sz w:val="24"/>
                <w:szCs w:val="24"/>
              </w:rPr>
              <w:t>veiklos vartotojams draudimo įstatyme, Lietuvos Respublikos reklamos įstatyme, Lietuvos</w:t>
            </w:r>
            <w:r w:rsidR="00AE2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08A">
              <w:rPr>
                <w:rFonts w:ascii="Times New Roman" w:hAnsi="Times New Roman" w:cs="Times New Roman"/>
                <w:sz w:val="24"/>
                <w:szCs w:val="24"/>
              </w:rPr>
              <w:t>Respublikos produktų saugos įstatyme ir kt.). Vienas iš Valstybinės vartotojų teisių apsaugos</w:t>
            </w:r>
            <w:r w:rsidR="00AE2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08A">
              <w:rPr>
                <w:rFonts w:ascii="Times New Roman" w:hAnsi="Times New Roman" w:cs="Times New Roman"/>
                <w:sz w:val="24"/>
                <w:szCs w:val="24"/>
              </w:rPr>
              <w:t>tarnybos veiklos tikslų yra pagal kompetenciją užtikrinti rinkos priežiūrą ne maisto produktų</w:t>
            </w:r>
            <w:r w:rsidR="00AE2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08A">
              <w:rPr>
                <w:rFonts w:ascii="Times New Roman" w:hAnsi="Times New Roman" w:cs="Times New Roman"/>
                <w:sz w:val="24"/>
                <w:szCs w:val="24"/>
              </w:rPr>
              <w:t>srityje reguliuojančių teisės aktų įgyvendinimą. Pagal šiuo metu galiojantį teisinį reguliavimą,</w:t>
            </w:r>
            <w:r w:rsidR="00AE2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08A">
              <w:rPr>
                <w:rFonts w:ascii="Times New Roman" w:hAnsi="Times New Roman" w:cs="Times New Roman"/>
                <w:sz w:val="24"/>
                <w:szCs w:val="24"/>
              </w:rPr>
              <w:t>Valstybinei vartotojų teisių apsaugos tarnybai nėra priskirtos funkcijos, susijusios su aplinkos</w:t>
            </w:r>
            <w:r w:rsidR="00AE2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08A">
              <w:rPr>
                <w:rFonts w:ascii="Times New Roman" w:hAnsi="Times New Roman" w:cs="Times New Roman"/>
                <w:sz w:val="24"/>
                <w:szCs w:val="24"/>
              </w:rPr>
              <w:t xml:space="preserve">pritaikymo neįgalių asmenų poreikiams užtikrinimo priežiūra, todėl </w:t>
            </w:r>
            <w:r w:rsidRPr="00734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nėra aišku, kokiu teisiniu</w:t>
            </w:r>
            <w:r w:rsidR="00AE2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08A">
              <w:rPr>
                <w:rFonts w:ascii="Times New Roman" w:hAnsi="Times New Roman" w:cs="Times New Roman"/>
                <w:sz w:val="24"/>
                <w:szCs w:val="24"/>
              </w:rPr>
              <w:t>pagrindu Valstybinei vartotojų teisių apsaugos tarnybai priskiriamos minėtos funkcijos.</w:t>
            </w:r>
          </w:p>
        </w:tc>
        <w:tc>
          <w:tcPr>
            <w:tcW w:w="6095" w:type="dxa"/>
          </w:tcPr>
          <w:p w14:paraId="2D23318D" w14:textId="0836CC1F" w:rsidR="00AA5E1E" w:rsidRDefault="00AE2F1D" w:rsidP="00BD4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Neatsižvelgta</w:t>
            </w:r>
            <w:r w:rsidR="00883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227CEF4" w14:textId="1721E42E" w:rsidR="004E4042" w:rsidRDefault="005D5DAA" w:rsidP="006A6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AA">
              <w:rPr>
                <w:rFonts w:ascii="Times New Roman" w:hAnsi="Times New Roman" w:cs="Times New Roman"/>
                <w:sz w:val="24"/>
                <w:szCs w:val="24"/>
              </w:rPr>
              <w:t>Lietuvos Respublikos vartotojų teisių apsaugos įstatymo 12</w:t>
            </w:r>
            <w:r w:rsidR="00393C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5DAA">
              <w:rPr>
                <w:rFonts w:ascii="Times New Roman" w:hAnsi="Times New Roman" w:cs="Times New Roman"/>
                <w:sz w:val="24"/>
                <w:szCs w:val="24"/>
              </w:rPr>
              <w:t>straipsn</w:t>
            </w:r>
            <w:r w:rsidR="008837D3">
              <w:rPr>
                <w:rFonts w:ascii="Times New Roman" w:hAnsi="Times New Roman" w:cs="Times New Roman"/>
                <w:sz w:val="24"/>
                <w:szCs w:val="24"/>
              </w:rPr>
              <w:t>io 1 punkto 1</w:t>
            </w:r>
            <w:r w:rsidR="004E4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7D3">
              <w:rPr>
                <w:rFonts w:ascii="Times New Roman" w:hAnsi="Times New Roman" w:cs="Times New Roman"/>
                <w:sz w:val="24"/>
                <w:szCs w:val="24"/>
              </w:rPr>
              <w:t>dalyje nurod</w:t>
            </w:r>
            <w:r w:rsidR="00393CB6">
              <w:rPr>
                <w:rFonts w:ascii="Times New Roman" w:hAnsi="Times New Roman" w:cs="Times New Roman"/>
                <w:sz w:val="24"/>
                <w:szCs w:val="24"/>
              </w:rPr>
              <w:t>yta</w:t>
            </w:r>
            <w:r w:rsidR="008837D3">
              <w:rPr>
                <w:rFonts w:ascii="Times New Roman" w:hAnsi="Times New Roman" w:cs="Times New Roman"/>
                <w:sz w:val="24"/>
                <w:szCs w:val="24"/>
              </w:rPr>
              <w:t>, kad</w:t>
            </w:r>
            <w:r w:rsidR="00393C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37D3">
              <w:rPr>
                <w:rFonts w:ascii="Times New Roman" w:hAnsi="Times New Roman" w:cs="Times New Roman"/>
                <w:sz w:val="24"/>
                <w:szCs w:val="24"/>
              </w:rPr>
              <w:t xml:space="preserve"> atlikdama savo funkcijas</w:t>
            </w:r>
            <w:r w:rsidR="003D0E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37D3">
              <w:rPr>
                <w:rFonts w:ascii="Times New Roman" w:hAnsi="Times New Roman" w:cs="Times New Roman"/>
                <w:sz w:val="24"/>
                <w:szCs w:val="24"/>
              </w:rPr>
              <w:t xml:space="preserve"> Valstybinė vartotojų teisių apsaugos tarnyba </w:t>
            </w:r>
            <w:r w:rsidR="008837D3" w:rsidRPr="004E4042">
              <w:rPr>
                <w:rFonts w:ascii="Times New Roman" w:hAnsi="Times New Roman" w:cs="Times New Roman"/>
                <w:b/>
                <w:sz w:val="24"/>
                <w:szCs w:val="24"/>
              </w:rPr>
              <w:t>užtikrina vartotojų teisių apsaugą</w:t>
            </w:r>
            <w:r w:rsidR="008837D3" w:rsidRPr="008837D3">
              <w:rPr>
                <w:rFonts w:ascii="Times New Roman" w:hAnsi="Times New Roman" w:cs="Times New Roman"/>
                <w:sz w:val="24"/>
                <w:szCs w:val="24"/>
              </w:rPr>
              <w:t>, prižiūri, ar rinkai tiekiami ne maisto produktai atitinka ne maisto produktų saugą, kokybę, ženklinimą nustatančių teisės aktų reikalavimus</w:t>
            </w:r>
            <w:r w:rsidR="008837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37D3" w:rsidRPr="004E4042">
              <w:rPr>
                <w:rFonts w:ascii="Times New Roman" w:hAnsi="Times New Roman" w:cs="Times New Roman"/>
                <w:b/>
                <w:sz w:val="24"/>
                <w:szCs w:val="24"/>
              </w:rPr>
              <w:t>koordinuoja</w:t>
            </w:r>
            <w:r w:rsidR="008837D3" w:rsidRPr="00883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7D3" w:rsidRPr="00205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vartotojų teisių apsaugos institucijų,</w:t>
            </w:r>
            <w:r w:rsidR="008837D3" w:rsidRPr="008837D3">
              <w:rPr>
                <w:rFonts w:ascii="Times New Roman" w:hAnsi="Times New Roman" w:cs="Times New Roman"/>
                <w:sz w:val="24"/>
                <w:szCs w:val="24"/>
              </w:rPr>
              <w:t xml:space="preserve"> atsakingų už tam tikros vartojimo srities reguliavimą, </w:t>
            </w:r>
            <w:r w:rsidR="008837D3" w:rsidRPr="004E4042">
              <w:rPr>
                <w:rFonts w:ascii="Times New Roman" w:hAnsi="Times New Roman" w:cs="Times New Roman"/>
                <w:b/>
                <w:sz w:val="24"/>
                <w:szCs w:val="24"/>
              </w:rPr>
              <w:t>veiklą vartotojų teisių apsaugos srityje</w:t>
            </w:r>
            <w:r w:rsidR="008837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E72C446" w14:textId="5ABF862E" w:rsidR="00BD4207" w:rsidRDefault="006440AF" w:rsidP="006A6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2F8">
              <w:rPr>
                <w:rFonts w:ascii="Times New Roman" w:hAnsi="Times New Roman" w:cs="Times New Roman"/>
                <w:sz w:val="24"/>
                <w:szCs w:val="24"/>
              </w:rPr>
              <w:t>2021–2030 m</w:t>
            </w:r>
            <w:r w:rsidR="009366BB">
              <w:rPr>
                <w:rFonts w:ascii="Times New Roman" w:hAnsi="Times New Roman" w:cs="Times New Roman"/>
                <w:sz w:val="24"/>
                <w:szCs w:val="24"/>
              </w:rPr>
              <w:t>etų</w:t>
            </w:r>
            <w:r w:rsidRPr="007A02F8">
              <w:rPr>
                <w:rFonts w:ascii="Times New Roman" w:hAnsi="Times New Roman" w:cs="Times New Roman"/>
                <w:sz w:val="24"/>
                <w:szCs w:val="24"/>
              </w:rPr>
              <w:t xml:space="preserve"> plėtros programos valdytojo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A02F8">
              <w:rPr>
                <w:rFonts w:ascii="Times New Roman" w:hAnsi="Times New Roman" w:cs="Times New Roman"/>
                <w:sz w:val="24"/>
                <w:szCs w:val="24"/>
              </w:rPr>
              <w:t xml:space="preserve"> Lietuvos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A02F8">
              <w:rPr>
                <w:rFonts w:ascii="Times New Roman" w:hAnsi="Times New Roman" w:cs="Times New Roman"/>
                <w:sz w:val="24"/>
                <w:szCs w:val="24"/>
              </w:rPr>
              <w:t>espublikos socialinės apsaugos ir darbo ministerijos neįgaliesiems tinkamos aplinkos visose gyvenimo srityse plėtros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A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(toliau </w:t>
            </w:r>
            <w:r w:rsidR="009366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042">
              <w:rPr>
                <w:rFonts w:ascii="Times New Roman" w:hAnsi="Times New Roman" w:cs="Times New Roman"/>
                <w:sz w:val="24"/>
                <w:szCs w:val="24"/>
              </w:rPr>
              <w:t xml:space="preserve">Aplinkos </w:t>
            </w:r>
            <w:r w:rsidR="00962813" w:rsidRPr="00FF0E19">
              <w:rPr>
                <w:rFonts w:ascii="Times New Roman" w:hAnsi="Times New Roman" w:cs="Times New Roman"/>
                <w:sz w:val="24"/>
                <w:szCs w:val="24"/>
              </w:rPr>
              <w:t>plėtros program</w:t>
            </w:r>
            <w:r w:rsidR="009628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2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042">
              <w:rPr>
                <w:rFonts w:ascii="Times New Roman" w:hAnsi="Times New Roman" w:cs="Times New Roman"/>
                <w:sz w:val="24"/>
                <w:szCs w:val="24"/>
              </w:rPr>
              <w:t xml:space="preserve">siekiama ne tik užtikrinti </w:t>
            </w:r>
            <w:r w:rsidR="00F03E79" w:rsidRPr="00F03E79">
              <w:rPr>
                <w:rFonts w:ascii="Times New Roman" w:hAnsi="Times New Roman" w:cs="Times New Roman"/>
                <w:sz w:val="24"/>
                <w:szCs w:val="24"/>
              </w:rPr>
              <w:t>2019 m. balandžio 17 d. Europos Parlamento ir Tarybos direktyv</w:t>
            </w:r>
            <w:r w:rsidR="00F03E79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F03E79" w:rsidRPr="00F03E79">
              <w:rPr>
                <w:rFonts w:ascii="Times New Roman" w:hAnsi="Times New Roman" w:cs="Times New Roman"/>
                <w:sz w:val="24"/>
                <w:szCs w:val="24"/>
              </w:rPr>
              <w:t xml:space="preserve"> (ES) 2019/882 dėl gaminių ir paslaugų prieinamumo reikalavimų</w:t>
            </w:r>
            <w:r w:rsidR="00177C75">
              <w:rPr>
                <w:rFonts w:ascii="Times New Roman" w:hAnsi="Times New Roman" w:cs="Times New Roman"/>
                <w:sz w:val="24"/>
                <w:szCs w:val="24"/>
              </w:rPr>
              <w:t xml:space="preserve"> nuostatų </w:t>
            </w:r>
            <w:r w:rsidR="004E4042">
              <w:rPr>
                <w:rFonts w:ascii="Times New Roman" w:hAnsi="Times New Roman" w:cs="Times New Roman"/>
                <w:sz w:val="24"/>
                <w:szCs w:val="24"/>
              </w:rPr>
              <w:t>įgyvendinimą, bet ir skatinti gamintojus gaminti produktus ir teikti paslaugas</w:t>
            </w:r>
            <w:r w:rsidR="003D0E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4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C75">
              <w:rPr>
                <w:rFonts w:ascii="Times New Roman" w:hAnsi="Times New Roman" w:cs="Times New Roman"/>
                <w:sz w:val="24"/>
                <w:szCs w:val="24"/>
              </w:rPr>
              <w:t xml:space="preserve">kuriomis </w:t>
            </w:r>
            <w:r w:rsidR="00127496">
              <w:rPr>
                <w:rFonts w:ascii="Times New Roman" w:hAnsi="Times New Roman" w:cs="Times New Roman"/>
                <w:sz w:val="24"/>
                <w:szCs w:val="24"/>
              </w:rPr>
              <w:t>galėtų nevaržomai naudotis visos vartotojų grupės, ta</w:t>
            </w:r>
            <w:r w:rsidR="003D0E8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27496"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r w:rsidR="003D0E82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r w:rsidR="00127496">
              <w:rPr>
                <w:rFonts w:ascii="Times New Roman" w:hAnsi="Times New Roman" w:cs="Times New Roman"/>
                <w:sz w:val="24"/>
                <w:szCs w:val="24"/>
              </w:rPr>
              <w:t xml:space="preserve"> ir neįgalieji,</w:t>
            </w:r>
            <w:r w:rsidR="004E4042">
              <w:rPr>
                <w:rFonts w:ascii="Times New Roman" w:hAnsi="Times New Roman" w:cs="Times New Roman"/>
                <w:sz w:val="24"/>
                <w:szCs w:val="24"/>
              </w:rPr>
              <w:t xml:space="preserve"> taip užtikrinant neįgalių vartotojų teises gauti </w:t>
            </w:r>
            <w:r w:rsidR="003D0E82">
              <w:rPr>
                <w:rFonts w:ascii="Times New Roman" w:hAnsi="Times New Roman" w:cs="Times New Roman"/>
                <w:sz w:val="24"/>
                <w:szCs w:val="24"/>
              </w:rPr>
              <w:t xml:space="preserve">ir (ar) naudotis </w:t>
            </w:r>
            <w:r w:rsidR="004E4042">
              <w:rPr>
                <w:rFonts w:ascii="Times New Roman" w:hAnsi="Times New Roman" w:cs="Times New Roman"/>
                <w:sz w:val="24"/>
                <w:szCs w:val="24"/>
              </w:rPr>
              <w:t>jiems pritaikyt</w:t>
            </w:r>
            <w:r w:rsidR="00177C75">
              <w:rPr>
                <w:rFonts w:ascii="Times New Roman" w:hAnsi="Times New Roman" w:cs="Times New Roman"/>
                <w:sz w:val="24"/>
                <w:szCs w:val="24"/>
              </w:rPr>
              <w:t>ais gaminiais ir paslaugomis</w:t>
            </w:r>
            <w:r w:rsidR="004E4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30C9A3" w14:textId="481E8E11" w:rsidR="00497B45" w:rsidRPr="002250F0" w:rsidRDefault="00CE15C8" w:rsidP="006A6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 to, </w:t>
            </w:r>
            <w:r w:rsidR="00497B45" w:rsidRPr="0083013D">
              <w:rPr>
                <w:rFonts w:ascii="Times New Roman" w:hAnsi="Times New Roman" w:cs="Times New Roman"/>
                <w:sz w:val="24"/>
                <w:szCs w:val="24"/>
              </w:rPr>
              <w:t xml:space="preserve">perkeliant </w:t>
            </w:r>
            <w:r w:rsidR="00127496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497B45" w:rsidRPr="0083013D">
              <w:rPr>
                <w:rFonts w:ascii="Times New Roman" w:hAnsi="Times New Roman" w:cs="Times New Roman"/>
                <w:sz w:val="24"/>
                <w:szCs w:val="24"/>
              </w:rPr>
              <w:t>rektyv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83013D" w:rsidRPr="0083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C75" w:rsidRPr="00F03E79">
              <w:rPr>
                <w:rFonts w:ascii="Times New Roman" w:hAnsi="Times New Roman" w:cs="Times New Roman"/>
                <w:sz w:val="24"/>
                <w:szCs w:val="24"/>
              </w:rPr>
              <w:t xml:space="preserve">(ES) 2019/882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nuostatas </w:t>
            </w:r>
            <w:r w:rsidR="0083013D" w:rsidRPr="0083013D">
              <w:rPr>
                <w:rFonts w:ascii="Times New Roman" w:hAnsi="Times New Roman" w:cs="Times New Roman"/>
                <w:sz w:val="24"/>
                <w:szCs w:val="24"/>
              </w:rPr>
              <w:t>į nacionalinę teisę</w:t>
            </w:r>
            <w:r w:rsidR="00497B45" w:rsidRPr="008301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62813">
              <w:rPr>
                <w:rFonts w:ascii="Times New Roman" w:hAnsi="Times New Roman" w:cs="Times New Roman"/>
                <w:sz w:val="24"/>
                <w:szCs w:val="24"/>
              </w:rPr>
              <w:t xml:space="preserve">bus keičiami </w:t>
            </w:r>
            <w:r w:rsidR="00497B45" w:rsidRPr="0083013D">
              <w:rPr>
                <w:rFonts w:ascii="Times New Roman" w:hAnsi="Times New Roman" w:cs="Times New Roman"/>
                <w:sz w:val="24"/>
                <w:szCs w:val="24"/>
              </w:rPr>
              <w:t>atitinkami</w:t>
            </w:r>
            <w:r w:rsidR="00A1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B45" w:rsidRPr="0083013D">
              <w:rPr>
                <w:rFonts w:ascii="Times New Roman" w:hAnsi="Times New Roman" w:cs="Times New Roman"/>
                <w:sz w:val="24"/>
                <w:szCs w:val="24"/>
              </w:rPr>
              <w:t xml:space="preserve">teisės aktai ir </w:t>
            </w:r>
            <w:r w:rsidR="0083013D" w:rsidRPr="0083013D">
              <w:rPr>
                <w:rFonts w:ascii="Times New Roman" w:hAnsi="Times New Roman" w:cs="Times New Roman"/>
                <w:sz w:val="24"/>
                <w:szCs w:val="24"/>
              </w:rPr>
              <w:t>Vartotojų teisių apsaugos tarnyba</w:t>
            </w:r>
            <w:r w:rsidR="00A11B43">
              <w:rPr>
                <w:rFonts w:ascii="Times New Roman" w:hAnsi="Times New Roman" w:cs="Times New Roman"/>
                <w:sz w:val="24"/>
                <w:szCs w:val="24"/>
              </w:rPr>
              <w:t>i bus suteikt</w:t>
            </w:r>
            <w:r w:rsidR="00393CB6">
              <w:rPr>
                <w:rFonts w:ascii="Times New Roman" w:hAnsi="Times New Roman" w:cs="Times New Roman"/>
                <w:sz w:val="24"/>
                <w:szCs w:val="24"/>
              </w:rPr>
              <w:t>a daugiau teisių</w:t>
            </w:r>
            <w:r w:rsidR="00A11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B45" w:rsidRPr="0083013D">
              <w:rPr>
                <w:rFonts w:ascii="Times New Roman" w:hAnsi="Times New Roman" w:cs="Times New Roman"/>
                <w:sz w:val="24"/>
                <w:szCs w:val="24"/>
              </w:rPr>
              <w:t xml:space="preserve">vartotojų teisių </w:t>
            </w:r>
            <w:r w:rsidR="0083013D" w:rsidRPr="0083013D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r w:rsidR="00497B45" w:rsidRPr="0083013D">
              <w:rPr>
                <w:rFonts w:ascii="Times New Roman" w:hAnsi="Times New Roman" w:cs="Times New Roman"/>
                <w:sz w:val="24"/>
                <w:szCs w:val="24"/>
              </w:rPr>
              <w:t xml:space="preserve"> srityje</w:t>
            </w:r>
            <w:r w:rsidR="0083013D" w:rsidRPr="00830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F1D" w14:paraId="58D38569" w14:textId="77777777" w:rsidTr="00AA5E1E">
        <w:tc>
          <w:tcPr>
            <w:tcW w:w="2660" w:type="dxa"/>
          </w:tcPr>
          <w:p w14:paraId="21217D5A" w14:textId="77777777" w:rsidR="00AE2F1D" w:rsidRPr="00F075BB" w:rsidRDefault="00AE2F1D" w:rsidP="00BD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CD2A217" w14:textId="59577C9E" w:rsidR="00AE2F1D" w:rsidRDefault="00AE2F1D" w:rsidP="00AE2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E2F1D">
              <w:rPr>
                <w:rFonts w:ascii="Times New Roman" w:hAnsi="Times New Roman" w:cs="Times New Roman"/>
                <w:sz w:val="24"/>
                <w:szCs w:val="24"/>
              </w:rPr>
              <w:t>Taip pat atkreiptinas dėmesys į Direktyvos (ES) 2019/2161 įsigaliojimo terminus, t. 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1D">
              <w:rPr>
                <w:rFonts w:ascii="Times New Roman" w:hAnsi="Times New Roman" w:cs="Times New Roman"/>
                <w:sz w:val="24"/>
                <w:szCs w:val="24"/>
              </w:rPr>
              <w:t>pagal Direktyvos (ES) 2019/2161 31 straipsnį, priimti ir paskelbti įstatymus ir kitus teisės aktus,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1D">
              <w:rPr>
                <w:rFonts w:ascii="Times New Roman" w:hAnsi="Times New Roman" w:cs="Times New Roman"/>
                <w:sz w:val="24"/>
                <w:szCs w:val="24"/>
              </w:rPr>
              <w:t>būtinus, kad būtų laikomasi šios Direktyvos (ES) 2019/2161, valstybės narės privalo ne vėliau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1D">
              <w:rPr>
                <w:rFonts w:ascii="Times New Roman" w:hAnsi="Times New Roman" w:cs="Times New Roman"/>
                <w:sz w:val="24"/>
                <w:szCs w:val="24"/>
              </w:rPr>
              <w:t>kaip 2022 m. birželio 28 d., o šias nuostatas privalo taikyti nuo 2025 m. birželio 28 d. Tuo tarpu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1D">
              <w:rPr>
                <w:rFonts w:ascii="Times New Roman" w:hAnsi="Times New Roman" w:cs="Times New Roman"/>
                <w:sz w:val="24"/>
                <w:szCs w:val="24"/>
              </w:rPr>
              <w:t>Aplinkos plėtros programa taikoma nuo 2021 m., t. y. gerokai anksčiau nei įsigalios ir bus taikomi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1D">
              <w:rPr>
                <w:rFonts w:ascii="Times New Roman" w:hAnsi="Times New Roman" w:cs="Times New Roman"/>
                <w:sz w:val="24"/>
                <w:szCs w:val="24"/>
              </w:rPr>
              <w:t>Direktyvą (ES) 2019/2161 įgyvendinantys nacionaliniai teisės aktai</w:t>
            </w:r>
            <w:r w:rsidR="00644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76CAB2F0" w14:textId="77777777" w:rsidR="00AE2F1D" w:rsidRDefault="00C8666D" w:rsidP="00BD4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Neatsižvelgta</w:t>
            </w:r>
          </w:p>
          <w:p w14:paraId="57A10F44" w14:textId="5B26D708" w:rsidR="00C8666D" w:rsidRPr="00C8666D" w:rsidRDefault="006440AF" w:rsidP="00BD4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Pažymėtina</w:t>
            </w:r>
            <w:r w:rsidR="00C8666D" w:rsidRPr="00C8666D">
              <w:rPr>
                <w:rFonts w:ascii="Times New Roman" w:hAnsi="Times New Roman" w:cs="Times New Roman"/>
                <w:sz w:val="24"/>
                <w:szCs w:val="24"/>
              </w:rPr>
              <w:t>, kad</w:t>
            </w:r>
            <w:r w:rsidR="00CE1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66D" w:rsidRPr="00C8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B43" w:rsidRPr="00C8666D">
              <w:rPr>
                <w:rFonts w:ascii="Times New Roman" w:hAnsi="Times New Roman" w:cs="Times New Roman"/>
                <w:sz w:val="24"/>
                <w:szCs w:val="24"/>
              </w:rPr>
              <w:t xml:space="preserve">nors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A02F8" w:rsidRPr="007A02F8">
              <w:rPr>
                <w:rFonts w:ascii="Times New Roman" w:hAnsi="Times New Roman" w:cs="Times New Roman"/>
                <w:sz w:val="24"/>
                <w:szCs w:val="24"/>
              </w:rPr>
              <w:t>plinkos plėtros program</w:t>
            </w:r>
            <w:r w:rsidR="007A02F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A02F8" w:rsidRPr="007A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66D" w:rsidRPr="00C8666D">
              <w:rPr>
                <w:rFonts w:ascii="Times New Roman" w:hAnsi="Times New Roman" w:cs="Times New Roman"/>
                <w:sz w:val="24"/>
                <w:szCs w:val="24"/>
              </w:rPr>
              <w:t xml:space="preserve">parengta </w:t>
            </w:r>
            <w:r w:rsidR="00CE15C8">
              <w:rPr>
                <w:rFonts w:ascii="Times New Roman" w:hAnsi="Times New Roman" w:cs="Times New Roman"/>
                <w:sz w:val="24"/>
                <w:szCs w:val="24"/>
              </w:rPr>
              <w:t xml:space="preserve">ir bus patvirtinta </w:t>
            </w:r>
            <w:r w:rsidR="00C8666D" w:rsidRPr="00C8666D">
              <w:rPr>
                <w:rFonts w:ascii="Times New Roman" w:hAnsi="Times New Roman" w:cs="Times New Roman"/>
                <w:sz w:val="24"/>
                <w:szCs w:val="24"/>
              </w:rPr>
              <w:t>2021 m., ji bus įgyvendinama iki 2030 m.</w:t>
            </w:r>
            <w:r w:rsidR="00A11B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66D" w:rsidRPr="00C8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B4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8666D" w:rsidRPr="00C8666D">
              <w:rPr>
                <w:rFonts w:ascii="Times New Roman" w:hAnsi="Times New Roman" w:cs="Times New Roman"/>
                <w:sz w:val="24"/>
                <w:szCs w:val="24"/>
              </w:rPr>
              <w:t xml:space="preserve">odėl </w:t>
            </w:r>
            <w:r w:rsidR="00CE15C8">
              <w:rPr>
                <w:rFonts w:ascii="Times New Roman" w:hAnsi="Times New Roman" w:cs="Times New Roman"/>
                <w:sz w:val="24"/>
                <w:szCs w:val="24"/>
              </w:rPr>
              <w:t xml:space="preserve">jos </w:t>
            </w:r>
            <w:r w:rsidR="00C8666D" w:rsidRPr="00C8666D">
              <w:rPr>
                <w:rFonts w:ascii="Times New Roman" w:hAnsi="Times New Roman" w:cs="Times New Roman"/>
                <w:sz w:val="24"/>
                <w:szCs w:val="24"/>
              </w:rPr>
              <w:t>įgyvendin</w:t>
            </w:r>
            <w:r w:rsidR="00CE15C8">
              <w:rPr>
                <w:rFonts w:ascii="Times New Roman" w:hAnsi="Times New Roman" w:cs="Times New Roman"/>
                <w:sz w:val="24"/>
                <w:szCs w:val="24"/>
              </w:rPr>
              <w:t>imo laikotarpiu</w:t>
            </w:r>
            <w:r w:rsidR="00C8666D" w:rsidRPr="00C8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5C8">
              <w:rPr>
                <w:rFonts w:ascii="Times New Roman" w:hAnsi="Times New Roman" w:cs="Times New Roman"/>
                <w:sz w:val="24"/>
                <w:szCs w:val="24"/>
              </w:rPr>
              <w:t xml:space="preserve">kartu </w:t>
            </w:r>
            <w:r w:rsidR="00C8666D" w:rsidRPr="00C8666D">
              <w:rPr>
                <w:rFonts w:ascii="Times New Roman" w:hAnsi="Times New Roman" w:cs="Times New Roman"/>
                <w:sz w:val="24"/>
                <w:szCs w:val="24"/>
              </w:rPr>
              <w:t xml:space="preserve">bus siekiama </w:t>
            </w:r>
            <w:r w:rsidR="00CE15C8" w:rsidRPr="00AE2F1D">
              <w:rPr>
                <w:rFonts w:ascii="Times New Roman" w:hAnsi="Times New Roman" w:cs="Times New Roman"/>
                <w:sz w:val="24"/>
                <w:szCs w:val="24"/>
              </w:rPr>
              <w:t>priimti ir paskelbti įstatymus ir kitus teisės aktus,</w:t>
            </w:r>
            <w:r w:rsidR="00CE1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224">
              <w:rPr>
                <w:rFonts w:ascii="Times New Roman" w:hAnsi="Times New Roman" w:cs="Times New Roman"/>
                <w:sz w:val="24"/>
                <w:szCs w:val="24"/>
              </w:rPr>
              <w:t>užtikrinsiančius</w:t>
            </w:r>
            <w:r w:rsidR="00CE15C8" w:rsidRPr="00AE2F1D">
              <w:rPr>
                <w:rFonts w:ascii="Times New Roman" w:hAnsi="Times New Roman" w:cs="Times New Roman"/>
                <w:sz w:val="24"/>
                <w:szCs w:val="24"/>
              </w:rPr>
              <w:t xml:space="preserve"> Direktyvos (ES) 2019/2161</w:t>
            </w:r>
            <w:r w:rsidR="00393CB6">
              <w:rPr>
                <w:rFonts w:ascii="Times New Roman" w:hAnsi="Times New Roman" w:cs="Times New Roman"/>
                <w:sz w:val="24"/>
                <w:szCs w:val="24"/>
              </w:rPr>
              <w:t xml:space="preserve"> nuostatų</w:t>
            </w:r>
            <w:r w:rsidR="00CE1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perkėlimą į nacionalinę teisę, </w:t>
            </w:r>
            <w:r w:rsidRPr="00C8666D">
              <w:rPr>
                <w:rFonts w:ascii="Times New Roman" w:hAnsi="Times New Roman" w:cs="Times New Roman"/>
                <w:sz w:val="24"/>
                <w:szCs w:val="24"/>
              </w:rPr>
              <w:t>pasireng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imą jas taikyti</w:t>
            </w:r>
            <w:r w:rsidRPr="00AE2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AE2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taikymą</w:t>
            </w:r>
            <w:r w:rsidR="00CF2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666D" w:rsidRPr="00C8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98C2124" w14:textId="77777777" w:rsidR="008232EB" w:rsidRDefault="008232EB" w:rsidP="00BD42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03851" w14:textId="2E2AB75C" w:rsidR="008232EB" w:rsidRPr="008232EB" w:rsidRDefault="00A11B43" w:rsidP="001274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7DD7E40" w14:textId="77777777" w:rsidR="008232EB" w:rsidRPr="00263F59" w:rsidRDefault="008232EB">
      <w:pPr>
        <w:rPr>
          <w:rFonts w:ascii="Times New Roman" w:hAnsi="Times New Roman" w:cs="Times New Roman"/>
          <w:b/>
          <w:sz w:val="24"/>
          <w:szCs w:val="24"/>
        </w:rPr>
      </w:pPr>
    </w:p>
    <w:sectPr w:rsidR="008232EB" w:rsidRPr="00263F59" w:rsidSect="00BE3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80FD" w14:textId="77777777" w:rsidR="00DC59EA" w:rsidRDefault="00DC59EA" w:rsidP="00042D04">
      <w:pPr>
        <w:spacing w:after="0" w:line="240" w:lineRule="auto"/>
      </w:pPr>
      <w:r>
        <w:separator/>
      </w:r>
    </w:p>
  </w:endnote>
  <w:endnote w:type="continuationSeparator" w:id="0">
    <w:p w14:paraId="10DBDCE9" w14:textId="77777777" w:rsidR="00DC59EA" w:rsidRDefault="00DC59EA" w:rsidP="0004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ACC0" w14:textId="77777777" w:rsidR="008F0F45" w:rsidRDefault="008F0F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7C9E" w14:textId="77777777" w:rsidR="008F0F45" w:rsidRDefault="008F0F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523F" w14:textId="77777777" w:rsidR="008F0F45" w:rsidRDefault="008F0F4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8053" w14:textId="77777777" w:rsidR="00DC59EA" w:rsidRDefault="00DC59EA" w:rsidP="00042D04">
      <w:pPr>
        <w:spacing w:after="0" w:line="240" w:lineRule="auto"/>
      </w:pPr>
      <w:r>
        <w:separator/>
      </w:r>
    </w:p>
  </w:footnote>
  <w:footnote w:type="continuationSeparator" w:id="0">
    <w:p w14:paraId="2BC9D02F" w14:textId="77777777" w:rsidR="00DC59EA" w:rsidRDefault="00DC59EA" w:rsidP="00042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E0F5A" w14:textId="77777777" w:rsidR="008F0F45" w:rsidRDefault="008F0F4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535694"/>
      <w:docPartObj>
        <w:docPartGallery w:val="Page Numbers (Top of Page)"/>
        <w:docPartUnique/>
      </w:docPartObj>
    </w:sdtPr>
    <w:sdtEndPr/>
    <w:sdtContent>
      <w:p w14:paraId="361FB4DF" w14:textId="0AF68F38" w:rsidR="008F0F45" w:rsidRDefault="008F0F4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96F">
          <w:rPr>
            <w:noProof/>
          </w:rPr>
          <w:t>3</w:t>
        </w:r>
        <w:r>
          <w:fldChar w:fldCharType="end"/>
        </w:r>
      </w:p>
    </w:sdtContent>
  </w:sdt>
  <w:p w14:paraId="09413704" w14:textId="77777777" w:rsidR="008F0F45" w:rsidRDefault="008F0F4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A542" w14:textId="77777777" w:rsidR="008F0F45" w:rsidRDefault="008F0F4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A5F44"/>
    <w:multiLevelType w:val="multilevel"/>
    <w:tmpl w:val="5ADE7C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59"/>
    <w:rsid w:val="00015A96"/>
    <w:rsid w:val="0001639C"/>
    <w:rsid w:val="00025792"/>
    <w:rsid w:val="00035F56"/>
    <w:rsid w:val="0003793C"/>
    <w:rsid w:val="00042D04"/>
    <w:rsid w:val="000D7791"/>
    <w:rsid w:val="000D7BBF"/>
    <w:rsid w:val="00113F74"/>
    <w:rsid w:val="001231BB"/>
    <w:rsid w:val="00126780"/>
    <w:rsid w:val="00127496"/>
    <w:rsid w:val="00134D9C"/>
    <w:rsid w:val="001534AB"/>
    <w:rsid w:val="00175C4F"/>
    <w:rsid w:val="00177C75"/>
    <w:rsid w:val="00185F6D"/>
    <w:rsid w:val="0019440D"/>
    <w:rsid w:val="001B7E4F"/>
    <w:rsid w:val="001D1737"/>
    <w:rsid w:val="001D4EE3"/>
    <w:rsid w:val="001F4B78"/>
    <w:rsid w:val="00205C92"/>
    <w:rsid w:val="0022460A"/>
    <w:rsid w:val="002250F0"/>
    <w:rsid w:val="00263F59"/>
    <w:rsid w:val="002646CB"/>
    <w:rsid w:val="00273702"/>
    <w:rsid w:val="0028168A"/>
    <w:rsid w:val="002874ED"/>
    <w:rsid w:val="002A6820"/>
    <w:rsid w:val="002A6F33"/>
    <w:rsid w:val="002C6492"/>
    <w:rsid w:val="002E605A"/>
    <w:rsid w:val="002F040D"/>
    <w:rsid w:val="003044FA"/>
    <w:rsid w:val="00305EBE"/>
    <w:rsid w:val="00323E60"/>
    <w:rsid w:val="0035760E"/>
    <w:rsid w:val="00393CB6"/>
    <w:rsid w:val="003A37FD"/>
    <w:rsid w:val="003C5E9E"/>
    <w:rsid w:val="003D0E82"/>
    <w:rsid w:val="003E3F13"/>
    <w:rsid w:val="00411BAD"/>
    <w:rsid w:val="00421EAB"/>
    <w:rsid w:val="00456B8C"/>
    <w:rsid w:val="00461814"/>
    <w:rsid w:val="0048319A"/>
    <w:rsid w:val="00497B45"/>
    <w:rsid w:val="004C7DF0"/>
    <w:rsid w:val="004D4D5A"/>
    <w:rsid w:val="004E4042"/>
    <w:rsid w:val="004F66D6"/>
    <w:rsid w:val="00502083"/>
    <w:rsid w:val="0050434D"/>
    <w:rsid w:val="00560F92"/>
    <w:rsid w:val="005A78A0"/>
    <w:rsid w:val="005B2ABA"/>
    <w:rsid w:val="005D5DAA"/>
    <w:rsid w:val="005F2DAB"/>
    <w:rsid w:val="0060205D"/>
    <w:rsid w:val="00604911"/>
    <w:rsid w:val="00617E07"/>
    <w:rsid w:val="00622809"/>
    <w:rsid w:val="00635D79"/>
    <w:rsid w:val="00640B85"/>
    <w:rsid w:val="006440AF"/>
    <w:rsid w:val="0069590B"/>
    <w:rsid w:val="006A61D9"/>
    <w:rsid w:val="006B569E"/>
    <w:rsid w:val="006D1397"/>
    <w:rsid w:val="006D5D44"/>
    <w:rsid w:val="00707B2A"/>
    <w:rsid w:val="00714135"/>
    <w:rsid w:val="00715AFD"/>
    <w:rsid w:val="00727D84"/>
    <w:rsid w:val="0073408A"/>
    <w:rsid w:val="00742681"/>
    <w:rsid w:val="00744E54"/>
    <w:rsid w:val="00753C64"/>
    <w:rsid w:val="0075404F"/>
    <w:rsid w:val="0075408D"/>
    <w:rsid w:val="00754191"/>
    <w:rsid w:val="0077633C"/>
    <w:rsid w:val="00783519"/>
    <w:rsid w:val="00794094"/>
    <w:rsid w:val="007A02F8"/>
    <w:rsid w:val="007C0D8B"/>
    <w:rsid w:val="007C4E9C"/>
    <w:rsid w:val="00807110"/>
    <w:rsid w:val="0080749F"/>
    <w:rsid w:val="00821BC1"/>
    <w:rsid w:val="00821C50"/>
    <w:rsid w:val="008232EB"/>
    <w:rsid w:val="00824119"/>
    <w:rsid w:val="0083013D"/>
    <w:rsid w:val="008318B6"/>
    <w:rsid w:val="00833CDE"/>
    <w:rsid w:val="00843224"/>
    <w:rsid w:val="00850C36"/>
    <w:rsid w:val="00871F9C"/>
    <w:rsid w:val="008824AE"/>
    <w:rsid w:val="008837D3"/>
    <w:rsid w:val="00893866"/>
    <w:rsid w:val="008939AF"/>
    <w:rsid w:val="008A70EE"/>
    <w:rsid w:val="008B46A7"/>
    <w:rsid w:val="008B6445"/>
    <w:rsid w:val="008C0D23"/>
    <w:rsid w:val="008F0F45"/>
    <w:rsid w:val="009111F1"/>
    <w:rsid w:val="00932BDC"/>
    <w:rsid w:val="009366BB"/>
    <w:rsid w:val="00952929"/>
    <w:rsid w:val="00953854"/>
    <w:rsid w:val="00962813"/>
    <w:rsid w:val="00964D37"/>
    <w:rsid w:val="00992FB2"/>
    <w:rsid w:val="0099330B"/>
    <w:rsid w:val="009E446E"/>
    <w:rsid w:val="009F1CA9"/>
    <w:rsid w:val="00A10B59"/>
    <w:rsid w:val="00A11B43"/>
    <w:rsid w:val="00A137AF"/>
    <w:rsid w:val="00A22250"/>
    <w:rsid w:val="00A3173F"/>
    <w:rsid w:val="00A40A05"/>
    <w:rsid w:val="00A57124"/>
    <w:rsid w:val="00A60D43"/>
    <w:rsid w:val="00A85A25"/>
    <w:rsid w:val="00A87345"/>
    <w:rsid w:val="00AA4833"/>
    <w:rsid w:val="00AA5E1E"/>
    <w:rsid w:val="00AB67D9"/>
    <w:rsid w:val="00AC0725"/>
    <w:rsid w:val="00AC39C2"/>
    <w:rsid w:val="00AE2846"/>
    <w:rsid w:val="00AE2F1D"/>
    <w:rsid w:val="00B059DA"/>
    <w:rsid w:val="00B27DCE"/>
    <w:rsid w:val="00B41672"/>
    <w:rsid w:val="00B41D4C"/>
    <w:rsid w:val="00B67868"/>
    <w:rsid w:val="00B73B10"/>
    <w:rsid w:val="00BA2150"/>
    <w:rsid w:val="00BB0B5B"/>
    <w:rsid w:val="00BC52D3"/>
    <w:rsid w:val="00BD4207"/>
    <w:rsid w:val="00BE3A87"/>
    <w:rsid w:val="00BE6B4A"/>
    <w:rsid w:val="00C01694"/>
    <w:rsid w:val="00C05E2B"/>
    <w:rsid w:val="00C151FD"/>
    <w:rsid w:val="00C42604"/>
    <w:rsid w:val="00C508E7"/>
    <w:rsid w:val="00C56B7C"/>
    <w:rsid w:val="00C8666D"/>
    <w:rsid w:val="00C96EBE"/>
    <w:rsid w:val="00CE15C8"/>
    <w:rsid w:val="00CF27F3"/>
    <w:rsid w:val="00CF5EBC"/>
    <w:rsid w:val="00D10736"/>
    <w:rsid w:val="00D54E2B"/>
    <w:rsid w:val="00D631C4"/>
    <w:rsid w:val="00D96D42"/>
    <w:rsid w:val="00DA5124"/>
    <w:rsid w:val="00DA5ED9"/>
    <w:rsid w:val="00DB1387"/>
    <w:rsid w:val="00DC4BB9"/>
    <w:rsid w:val="00DC59EA"/>
    <w:rsid w:val="00DE3E20"/>
    <w:rsid w:val="00DF6644"/>
    <w:rsid w:val="00E04FCA"/>
    <w:rsid w:val="00E233D9"/>
    <w:rsid w:val="00E45D46"/>
    <w:rsid w:val="00E75724"/>
    <w:rsid w:val="00E7796F"/>
    <w:rsid w:val="00E97EA5"/>
    <w:rsid w:val="00EE458A"/>
    <w:rsid w:val="00EF3B6C"/>
    <w:rsid w:val="00EF7D70"/>
    <w:rsid w:val="00F03E79"/>
    <w:rsid w:val="00F075BB"/>
    <w:rsid w:val="00F3232B"/>
    <w:rsid w:val="00F33834"/>
    <w:rsid w:val="00F451DE"/>
    <w:rsid w:val="00F72A9C"/>
    <w:rsid w:val="00F968B8"/>
    <w:rsid w:val="00FA5EB1"/>
    <w:rsid w:val="00FC1156"/>
    <w:rsid w:val="00FD1994"/>
    <w:rsid w:val="00FF0303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5B533"/>
  <w15:docId w15:val="{76AF7A0D-FEFB-415F-920D-52D8F5E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54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A37F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646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646C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646C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46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46C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4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46CB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42D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2D04"/>
  </w:style>
  <w:style w:type="paragraph" w:styleId="Porat">
    <w:name w:val="footer"/>
    <w:basedOn w:val="prastasis"/>
    <w:link w:val="PoratDiagrama"/>
    <w:uiPriority w:val="99"/>
    <w:unhideWhenUsed/>
    <w:rsid w:val="00042D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4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3EB2-84F3-4650-B14D-E428612F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2688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2021-09-21T08:00:00Z</dcterms:created>
  <dc:creator>Almeda Kurienė</dc:creator>
  <cp:lastModifiedBy>Jurgita Čiuladaitė-Pritulskienė</cp:lastModifiedBy>
  <dcterms:modified xsi:type="dcterms:W3CDTF">2021-09-21T08:00:00Z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