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564" w:type="dxa"/>
        <w:tblInd w:w="-572" w:type="dxa"/>
        <w:tblLayout w:type="fixed"/>
        <w:tblLook w:val="04A0" w:firstRow="1" w:lastRow="0" w:firstColumn="1" w:lastColumn="0" w:noHBand="0" w:noVBand="1"/>
      </w:tblPr>
      <w:tblGrid>
        <w:gridCol w:w="680"/>
        <w:gridCol w:w="1843"/>
        <w:gridCol w:w="6379"/>
        <w:gridCol w:w="6662"/>
      </w:tblGrid>
      <w:tr w:rsidR="006C76A0" w14:paraId="00E94E3F" w14:textId="77777777" w:rsidTr="6BAC4A88">
        <w:trPr>
          <w:trHeight w:val="918"/>
        </w:trPr>
        <w:tc>
          <w:tcPr>
            <w:tcW w:w="680" w:type="dxa"/>
            <w:vAlign w:val="center"/>
          </w:tcPr>
          <w:p w14:paraId="67A2FF0B" w14:textId="1790FE00" w:rsidR="007358FC" w:rsidRPr="007358FC" w:rsidRDefault="007358FC" w:rsidP="00D87C28">
            <w:pPr>
              <w:jc w:val="center"/>
              <w:rPr>
                <w:rFonts w:ascii="Times New Roman" w:hAnsi="Times New Roman" w:cs="Times New Roman"/>
                <w:b/>
                <w:bCs/>
                <w:sz w:val="24"/>
                <w:szCs w:val="24"/>
              </w:rPr>
            </w:pPr>
            <w:r w:rsidRPr="007358FC">
              <w:rPr>
                <w:rFonts w:ascii="Times New Roman" w:hAnsi="Times New Roman" w:cs="Times New Roman"/>
                <w:b/>
                <w:bCs/>
                <w:sz w:val="24"/>
                <w:szCs w:val="24"/>
              </w:rPr>
              <w:t>Eil. Nr.</w:t>
            </w:r>
          </w:p>
        </w:tc>
        <w:tc>
          <w:tcPr>
            <w:tcW w:w="1843" w:type="dxa"/>
            <w:vAlign w:val="center"/>
          </w:tcPr>
          <w:p w14:paraId="731F3650" w14:textId="652DA0F3" w:rsidR="007358FC" w:rsidRPr="007358FC" w:rsidRDefault="007358FC" w:rsidP="00D87C28">
            <w:pPr>
              <w:jc w:val="center"/>
              <w:rPr>
                <w:b/>
                <w:bCs/>
              </w:rPr>
            </w:pPr>
            <w:r w:rsidRPr="006B0FE3">
              <w:rPr>
                <w:rFonts w:ascii="Times New Roman" w:eastAsia="Calibri" w:hAnsi="Times New Roman" w:cs="Times New Roman"/>
                <w:b/>
                <w:sz w:val="24"/>
                <w:szCs w:val="24"/>
              </w:rPr>
              <w:t>Institucijos pavadinimas, rašto data ir numeris</w:t>
            </w:r>
          </w:p>
        </w:tc>
        <w:tc>
          <w:tcPr>
            <w:tcW w:w="6379" w:type="dxa"/>
            <w:vAlign w:val="center"/>
          </w:tcPr>
          <w:p w14:paraId="0F739BCB" w14:textId="2E532A3F" w:rsidR="007358FC" w:rsidRPr="007358FC" w:rsidRDefault="007358FC" w:rsidP="00D87C28">
            <w:pPr>
              <w:jc w:val="center"/>
              <w:rPr>
                <w:b/>
                <w:bCs/>
              </w:rPr>
            </w:pPr>
            <w:r w:rsidRPr="006B0FE3">
              <w:rPr>
                <w:rFonts w:ascii="Times New Roman" w:eastAsia="Calibri" w:hAnsi="Times New Roman" w:cs="Times New Roman"/>
                <w:b/>
                <w:sz w:val="24"/>
                <w:szCs w:val="24"/>
              </w:rPr>
              <w:t>Pastabos ir pasiūlymai</w:t>
            </w:r>
          </w:p>
        </w:tc>
        <w:tc>
          <w:tcPr>
            <w:tcW w:w="6662" w:type="dxa"/>
            <w:vAlign w:val="center"/>
          </w:tcPr>
          <w:p w14:paraId="612C709E" w14:textId="0530A2D7" w:rsidR="007358FC" w:rsidRPr="007358FC" w:rsidRDefault="007358FC" w:rsidP="00D87C28">
            <w:pPr>
              <w:jc w:val="center"/>
              <w:rPr>
                <w:b/>
                <w:bCs/>
              </w:rPr>
            </w:pPr>
            <w:r w:rsidRPr="006B0FE3">
              <w:rPr>
                <w:rFonts w:ascii="Times New Roman" w:eastAsia="Calibri" w:hAnsi="Times New Roman" w:cs="Times New Roman"/>
                <w:b/>
                <w:sz w:val="24"/>
                <w:szCs w:val="24"/>
              </w:rPr>
              <w:t>Argumentai, kodėl į pastabas ir pasiūlymus neatsižvelgta ar</w:t>
            </w:r>
            <w:r>
              <w:rPr>
                <w:rFonts w:ascii="Times New Roman" w:eastAsia="Calibri" w:hAnsi="Times New Roman" w:cs="Times New Roman"/>
                <w:b/>
                <w:sz w:val="24"/>
                <w:szCs w:val="24"/>
              </w:rPr>
              <w:t>ba</w:t>
            </w:r>
            <w:r w:rsidRPr="006B0FE3">
              <w:rPr>
                <w:rFonts w:ascii="Times New Roman" w:eastAsia="Calibri" w:hAnsi="Times New Roman" w:cs="Times New Roman"/>
                <w:b/>
                <w:sz w:val="24"/>
                <w:szCs w:val="24"/>
              </w:rPr>
              <w:t xml:space="preserve"> atsižvelgta iš dalies</w:t>
            </w:r>
          </w:p>
        </w:tc>
      </w:tr>
      <w:tr w:rsidR="004467D3" w14:paraId="6C2B21F3" w14:textId="77777777" w:rsidTr="6BAC4A88">
        <w:tc>
          <w:tcPr>
            <w:tcW w:w="680" w:type="dxa"/>
          </w:tcPr>
          <w:p w14:paraId="7E88FB9A" w14:textId="4DC258CB" w:rsidR="004467D3" w:rsidRDefault="004467D3" w:rsidP="00D87C28">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6829361C" w14:textId="145B0647" w:rsidR="004467D3" w:rsidRPr="00683ED5" w:rsidRDefault="004467D3" w:rsidP="00D87C28">
            <w:pPr>
              <w:pStyle w:val="Standard"/>
              <w:jc w:val="both"/>
            </w:pPr>
            <w:proofErr w:type="spellStart"/>
            <w:r>
              <w:rPr>
                <w:rFonts w:ascii="Times New Roman" w:hAnsi="Times New Roman" w:cs="Times New Roman"/>
              </w:rPr>
              <w:t>VšĮ</w:t>
            </w:r>
            <w:proofErr w:type="spellEnd"/>
            <w:r>
              <w:rPr>
                <w:rFonts w:ascii="Times New Roman" w:hAnsi="Times New Roman" w:cs="Times New Roman"/>
              </w:rPr>
              <w:t xml:space="preserve"> „Rūpi“</w:t>
            </w:r>
            <w:r w:rsidRPr="00AB13EC">
              <w:rPr>
                <w:rFonts w:ascii="Times New Roman" w:hAnsi="Times New Roman" w:cs="Times New Roman"/>
              </w:rPr>
              <w:t xml:space="preserve"> 2021 m. sausio 21 d. </w:t>
            </w:r>
            <w:r>
              <w:rPr>
                <w:rFonts w:ascii="Times New Roman" w:hAnsi="Times New Roman" w:cs="Times New Roman"/>
              </w:rPr>
              <w:t xml:space="preserve">el. </w:t>
            </w:r>
            <w:r w:rsidRPr="00AB13EC">
              <w:rPr>
                <w:rFonts w:ascii="Times New Roman" w:hAnsi="Times New Roman" w:cs="Times New Roman"/>
              </w:rPr>
              <w:t>laiškas</w:t>
            </w:r>
          </w:p>
        </w:tc>
        <w:tc>
          <w:tcPr>
            <w:tcW w:w="6379" w:type="dxa"/>
          </w:tcPr>
          <w:p w14:paraId="0EECF6B6" w14:textId="712EEB0C" w:rsidR="004467D3" w:rsidRDefault="004467D3" w:rsidP="00D87C28">
            <w:pPr>
              <w:pStyle w:val="Standard"/>
              <w:jc w:val="both"/>
              <w:rPr>
                <w:rFonts w:ascii="Times New Roman" w:hAnsi="Times New Roman" w:cs="Times New Roman"/>
              </w:rPr>
            </w:pPr>
            <w:r w:rsidRPr="35EB0CAB">
              <w:rPr>
                <w:rFonts w:ascii="Times New Roman" w:hAnsi="Times New Roman" w:cs="Times New Roman"/>
              </w:rPr>
              <w:t xml:space="preserve">Pateikti pasiūlymai dėl šių priemonių įtraukimo: </w:t>
            </w:r>
          </w:p>
          <w:p w14:paraId="100DB10F" w14:textId="3CB3CE98" w:rsidR="004467D3" w:rsidRDefault="004467D3" w:rsidP="00D87C28">
            <w:pPr>
              <w:pStyle w:val="Standard"/>
              <w:jc w:val="both"/>
            </w:pPr>
            <w:r w:rsidRPr="35EB0CAB">
              <w:rPr>
                <w:rFonts w:ascii="Times New Roman" w:hAnsi="Times New Roman" w:cs="Times New Roman"/>
              </w:rPr>
              <w:t>1. Kompensacinės programos</w:t>
            </w:r>
            <w:r w:rsidR="00E4427B" w:rsidRPr="35EB0CAB">
              <w:rPr>
                <w:rFonts w:ascii="Times New Roman" w:hAnsi="Times New Roman" w:cs="Times New Roman"/>
              </w:rPr>
              <w:t xml:space="preserve"> </w:t>
            </w:r>
            <w:r w:rsidR="00843D9F" w:rsidRPr="00843D9F">
              <w:rPr>
                <w:rFonts w:ascii="Times New Roman" w:hAnsi="Times New Roman" w:cs="Times New Roman"/>
              </w:rPr>
              <w:t>–</w:t>
            </w:r>
            <w:r w:rsidR="00E4427B" w:rsidRPr="35EB0CAB">
              <w:rPr>
                <w:rFonts w:ascii="Times New Roman" w:hAnsi="Times New Roman" w:cs="Times New Roman"/>
              </w:rPr>
              <w:t xml:space="preserve"> į</w:t>
            </w:r>
            <w:r w:rsidRPr="35EB0CAB">
              <w:rPr>
                <w:rFonts w:ascii="Times New Roman" w:hAnsi="Times New Roman" w:cs="Times New Roman"/>
              </w:rPr>
              <w:t>monės ar privatūs asmenys būtų motyvuojami įkūrinėti naujus miško masyvus, taip padedant sugerti dujas ir mažinant poveikį aplinkai. 2. Augalinio, vabzdžių baltymo kultūrų skatinimas. 3. Privalomas įmonių emisijų, CO2 pėdsako skaičiavimas ir viešas deklaravimas kartu parodant pokyčius.</w:t>
            </w:r>
          </w:p>
        </w:tc>
        <w:tc>
          <w:tcPr>
            <w:tcW w:w="6662" w:type="dxa"/>
          </w:tcPr>
          <w:p w14:paraId="126CF939" w14:textId="77777777" w:rsidR="004467D3" w:rsidRDefault="004467D3" w:rsidP="00D87C28">
            <w:pPr>
              <w:spacing w:after="0" w:line="240" w:lineRule="auto"/>
              <w:jc w:val="both"/>
              <w:rPr>
                <w:rFonts w:ascii="Times New Roman" w:eastAsia="Times New Roman" w:hAnsi="Times New Roman" w:cs="Times New Roman"/>
                <w:b/>
                <w:sz w:val="24"/>
                <w:szCs w:val="24"/>
                <w:lang w:eastAsia="lt-LT"/>
              </w:rPr>
            </w:pPr>
            <w:r w:rsidRPr="00AB13EC">
              <w:rPr>
                <w:rFonts w:ascii="Times New Roman" w:eastAsia="Times New Roman" w:hAnsi="Times New Roman" w:cs="Times New Roman"/>
                <w:b/>
                <w:sz w:val="24"/>
                <w:szCs w:val="24"/>
                <w:lang w:eastAsia="lt-LT"/>
              </w:rPr>
              <w:t xml:space="preserve">Atsižvelgta iš dalies. </w:t>
            </w:r>
          </w:p>
          <w:p w14:paraId="784E3A9A" w14:textId="4C28DC86" w:rsidR="004467D3" w:rsidRPr="00474CE4" w:rsidRDefault="2613C37D" w:rsidP="00502A7F">
            <w:pPr>
              <w:spacing w:after="0" w:line="240" w:lineRule="auto"/>
              <w:jc w:val="both"/>
              <w:rPr>
                <w:rFonts w:ascii="Times New Roman" w:eastAsia="Times New Roman" w:hAnsi="Times New Roman" w:cs="Times New Roman"/>
                <w:b/>
                <w:bCs/>
                <w:sz w:val="24"/>
                <w:szCs w:val="24"/>
                <w:lang w:eastAsia="lt-LT"/>
              </w:rPr>
            </w:pPr>
            <w:r w:rsidRPr="044A5AAC">
              <w:rPr>
                <w:rFonts w:ascii="Times New Roman" w:eastAsia="Times New Roman" w:hAnsi="Times New Roman" w:cs="Times New Roman"/>
                <w:sz w:val="24"/>
                <w:szCs w:val="24"/>
                <w:lang w:eastAsia="lt-LT"/>
              </w:rPr>
              <w:t>Manome,</w:t>
            </w:r>
            <w:r w:rsidR="1D7944E5" w:rsidRPr="044A5AAC">
              <w:rPr>
                <w:rFonts w:ascii="Times New Roman" w:eastAsia="Times New Roman" w:hAnsi="Times New Roman" w:cs="Times New Roman"/>
                <w:sz w:val="24"/>
                <w:szCs w:val="24"/>
                <w:lang w:eastAsia="lt-LT"/>
              </w:rPr>
              <w:t xml:space="preserve"> kad</w:t>
            </w:r>
            <w:r w:rsidRPr="044A5AAC">
              <w:rPr>
                <w:rFonts w:ascii="Times New Roman" w:eastAsia="Times New Roman" w:hAnsi="Times New Roman" w:cs="Times New Roman"/>
                <w:sz w:val="24"/>
                <w:szCs w:val="24"/>
                <w:lang w:eastAsia="lt-LT"/>
              </w:rPr>
              <w:t xml:space="preserve"> </w:t>
            </w:r>
            <w:r w:rsidR="004467D3" w:rsidRPr="044A5AAC">
              <w:rPr>
                <w:rFonts w:ascii="Times New Roman" w:eastAsia="Times New Roman" w:hAnsi="Times New Roman" w:cs="Times New Roman"/>
                <w:sz w:val="24"/>
                <w:szCs w:val="24"/>
                <w:lang w:eastAsia="lt-LT"/>
              </w:rPr>
              <w:t>CO</w:t>
            </w:r>
            <w:r w:rsidR="004467D3" w:rsidRPr="044A5AAC">
              <w:rPr>
                <w:rFonts w:ascii="Times New Roman" w:eastAsia="Times New Roman" w:hAnsi="Times New Roman" w:cs="Times New Roman"/>
                <w:sz w:val="24"/>
                <w:szCs w:val="24"/>
                <w:vertAlign w:val="subscript"/>
                <w:lang w:eastAsia="lt-LT"/>
              </w:rPr>
              <w:t>2</w:t>
            </w:r>
            <w:r w:rsidR="004467D3" w:rsidRPr="044A5AAC">
              <w:rPr>
                <w:rFonts w:ascii="Times New Roman" w:eastAsia="Times New Roman" w:hAnsi="Times New Roman" w:cs="Times New Roman"/>
                <w:sz w:val="24"/>
                <w:szCs w:val="24"/>
                <w:lang w:eastAsia="lt-LT"/>
              </w:rPr>
              <w:t xml:space="preserve"> absorbcinį potencialą didinančios priemonės yra svarbios, tačiau </w:t>
            </w:r>
            <w:r w:rsidR="6F69D90C" w:rsidRPr="044A5AAC">
              <w:rPr>
                <w:rFonts w:ascii="Times New Roman" w:eastAsia="Times New Roman" w:hAnsi="Times New Roman" w:cs="Times New Roman"/>
                <w:sz w:val="24"/>
                <w:szCs w:val="24"/>
                <w:lang w:eastAsia="lt-LT"/>
              </w:rPr>
              <w:t>nacionaliniu lygiu reikia daugiau diskusijų dėl jų įgyvendinimo mechanizm</w:t>
            </w:r>
            <w:r w:rsidR="69F536DE" w:rsidRPr="044A5AAC">
              <w:rPr>
                <w:rFonts w:ascii="Times New Roman" w:eastAsia="Times New Roman" w:hAnsi="Times New Roman" w:cs="Times New Roman"/>
                <w:sz w:val="24"/>
                <w:szCs w:val="24"/>
                <w:lang w:eastAsia="lt-LT"/>
              </w:rPr>
              <w:t>o</w:t>
            </w:r>
            <w:r w:rsidR="6F69D90C" w:rsidRPr="044A5AAC">
              <w:rPr>
                <w:rFonts w:ascii="Times New Roman" w:eastAsia="Times New Roman" w:hAnsi="Times New Roman" w:cs="Times New Roman"/>
                <w:sz w:val="24"/>
                <w:szCs w:val="24"/>
                <w:lang w:eastAsia="lt-LT"/>
              </w:rPr>
              <w:t xml:space="preserve">, </w:t>
            </w:r>
            <w:r w:rsidR="5DBDE4FA" w:rsidRPr="044A5AAC">
              <w:rPr>
                <w:rFonts w:ascii="Times New Roman" w:eastAsia="Times New Roman" w:hAnsi="Times New Roman" w:cs="Times New Roman"/>
                <w:sz w:val="24"/>
                <w:szCs w:val="24"/>
                <w:lang w:eastAsia="lt-LT"/>
              </w:rPr>
              <w:t xml:space="preserve">šiuo metu </w:t>
            </w:r>
            <w:r w:rsidR="004467D3" w:rsidRPr="044A5AAC">
              <w:rPr>
                <w:rFonts w:ascii="Times New Roman" w:eastAsia="Times New Roman" w:hAnsi="Times New Roman" w:cs="Times New Roman"/>
                <w:sz w:val="24"/>
                <w:szCs w:val="24"/>
                <w:lang w:eastAsia="lt-LT"/>
              </w:rPr>
              <w:t xml:space="preserve">jų finansavimas galėtų būti </w:t>
            </w:r>
            <w:r w:rsidR="605AE56C" w:rsidRPr="044A5AAC">
              <w:rPr>
                <w:rFonts w:ascii="Times New Roman" w:eastAsia="Times New Roman" w:hAnsi="Times New Roman" w:cs="Times New Roman"/>
                <w:sz w:val="24"/>
                <w:szCs w:val="24"/>
                <w:lang w:eastAsia="lt-LT"/>
              </w:rPr>
              <w:t xml:space="preserve">svarstomas </w:t>
            </w:r>
            <w:r w:rsidR="040C4C48" w:rsidRPr="044A5AAC">
              <w:rPr>
                <w:rFonts w:ascii="Times New Roman" w:eastAsia="Times New Roman" w:hAnsi="Times New Roman" w:cs="Times New Roman"/>
                <w:sz w:val="24"/>
                <w:szCs w:val="24"/>
                <w:lang w:eastAsia="lt-LT"/>
              </w:rPr>
              <w:t>ir iš kitų programų</w:t>
            </w:r>
            <w:r w:rsidR="302D3407" w:rsidRPr="044A5AAC">
              <w:rPr>
                <w:rFonts w:ascii="Times New Roman" w:eastAsia="Times New Roman" w:hAnsi="Times New Roman" w:cs="Times New Roman"/>
                <w:sz w:val="24"/>
                <w:szCs w:val="24"/>
                <w:lang w:eastAsia="lt-LT"/>
              </w:rPr>
              <w:t xml:space="preserve"> – </w:t>
            </w:r>
            <w:r w:rsidR="040C4C48" w:rsidRPr="044A5AAC">
              <w:rPr>
                <w:rFonts w:ascii="Times New Roman" w:eastAsia="Times New Roman" w:hAnsi="Times New Roman" w:cs="Times New Roman"/>
                <w:sz w:val="24"/>
                <w:szCs w:val="24"/>
                <w:lang w:eastAsia="lt-LT"/>
              </w:rPr>
              <w:t xml:space="preserve"> </w:t>
            </w:r>
            <w:r w:rsidR="004467D3" w:rsidRPr="044A5AAC">
              <w:rPr>
                <w:rFonts w:ascii="Times New Roman" w:eastAsia="Times New Roman" w:hAnsi="Times New Roman" w:cs="Times New Roman"/>
                <w:sz w:val="24"/>
                <w:szCs w:val="24"/>
                <w:lang w:eastAsia="lt-LT"/>
              </w:rPr>
              <w:t>Bendrųjų miškų ūkio reikmių finansavimo programos (toliau – BMŪRFP), nes ir šiuo metu finansuojamas miškų įveisimas; ir Kaimo plėtros programos bei ES LIFE</w:t>
            </w:r>
            <w:r w:rsidRPr="044A5AAC">
              <w:rPr>
                <w:rFonts w:ascii="Times New Roman" w:eastAsia="Times New Roman" w:hAnsi="Times New Roman" w:cs="Times New Roman"/>
                <w:sz w:val="24"/>
                <w:szCs w:val="24"/>
                <w:lang w:eastAsia="lt-LT"/>
              </w:rPr>
              <w:t xml:space="preserve"> programos</w:t>
            </w:r>
            <w:r w:rsidR="004467D3" w:rsidRPr="044A5AAC">
              <w:rPr>
                <w:rFonts w:ascii="Times New Roman" w:eastAsia="Times New Roman" w:hAnsi="Times New Roman" w:cs="Times New Roman"/>
                <w:sz w:val="24"/>
                <w:szCs w:val="24"/>
                <w:lang w:eastAsia="lt-LT"/>
              </w:rPr>
              <w:t>.</w:t>
            </w:r>
            <w:r w:rsidR="6CC42856" w:rsidRPr="044A5AAC">
              <w:rPr>
                <w:rFonts w:ascii="Times New Roman" w:eastAsia="Times New Roman" w:hAnsi="Times New Roman" w:cs="Times New Roman"/>
                <w:sz w:val="24"/>
                <w:szCs w:val="24"/>
                <w:lang w:eastAsia="lt-LT"/>
              </w:rPr>
              <w:t xml:space="preserve"> </w:t>
            </w:r>
            <w:r w:rsidR="004467D3" w:rsidRPr="044A5AAC">
              <w:rPr>
                <w:rFonts w:ascii="Times New Roman" w:eastAsia="Times New Roman" w:hAnsi="Times New Roman" w:cs="Times New Roman"/>
                <w:sz w:val="24"/>
                <w:szCs w:val="24"/>
                <w:lang w:eastAsia="lt-LT"/>
              </w:rPr>
              <w:t>Kaimo plėtros programa galėtų remti inovacijų taikymą gyvulininkystės ir baltymų sektoriuje. Trečiąjį pasiūlymą įvertinsime  rengdami ir tikslindami tvarkos aprašus.</w:t>
            </w:r>
          </w:p>
        </w:tc>
      </w:tr>
      <w:tr w:rsidR="004467D3" w:rsidRPr="00A97781" w14:paraId="15A6D425" w14:textId="77777777" w:rsidTr="6BAC4A88">
        <w:tc>
          <w:tcPr>
            <w:tcW w:w="680" w:type="dxa"/>
          </w:tcPr>
          <w:p w14:paraId="6B72333E" w14:textId="38EC83E4" w:rsidR="004467D3" w:rsidRPr="00A97781" w:rsidRDefault="004467D3" w:rsidP="00D87C28">
            <w:pPr>
              <w:spacing w:line="240" w:lineRule="auto"/>
              <w:jc w:val="both"/>
              <w:rPr>
                <w:rFonts w:ascii="Times New Roman" w:hAnsi="Times New Roman" w:cs="Times New Roman"/>
                <w:sz w:val="24"/>
                <w:szCs w:val="24"/>
              </w:rPr>
            </w:pPr>
            <w:r w:rsidRPr="00A97781">
              <w:rPr>
                <w:rFonts w:ascii="Times New Roman" w:hAnsi="Times New Roman" w:cs="Times New Roman"/>
                <w:sz w:val="24"/>
                <w:szCs w:val="24"/>
              </w:rPr>
              <w:t>2.</w:t>
            </w:r>
          </w:p>
        </w:tc>
        <w:tc>
          <w:tcPr>
            <w:tcW w:w="1843" w:type="dxa"/>
          </w:tcPr>
          <w:p w14:paraId="1724C5D1" w14:textId="01BA50DE" w:rsidR="004467D3" w:rsidRPr="00E2352B" w:rsidRDefault="004467D3" w:rsidP="00D87C28">
            <w:pPr>
              <w:pStyle w:val="Standard"/>
              <w:jc w:val="both"/>
              <w:rPr>
                <w:rFonts w:ascii="Times New Roman" w:hAnsi="Times New Roman" w:cs="Times New Roman"/>
              </w:rPr>
            </w:pPr>
            <w:r w:rsidRPr="00683ED5">
              <w:rPr>
                <w:rFonts w:ascii="Times New Roman" w:hAnsi="Times New Roman" w:cs="Times New Roman"/>
              </w:rPr>
              <w:t>Lietuvos šilumos tiekėjų asociacijos 2021 m. vasario 4 d. raštas Nr. 09</w:t>
            </w:r>
          </w:p>
        </w:tc>
        <w:tc>
          <w:tcPr>
            <w:tcW w:w="6379" w:type="dxa"/>
          </w:tcPr>
          <w:p w14:paraId="78C592CD" w14:textId="549D4777" w:rsidR="004467D3" w:rsidRPr="00683ED5" w:rsidRDefault="004467D3" w:rsidP="00D87C28">
            <w:pPr>
              <w:pStyle w:val="Standard"/>
              <w:jc w:val="both"/>
              <w:rPr>
                <w:rFonts w:ascii="Times New Roman" w:hAnsi="Times New Roman" w:cs="Times New Roman"/>
              </w:rPr>
            </w:pPr>
            <w:r w:rsidRPr="00683ED5">
              <w:rPr>
                <w:rFonts w:ascii="Times New Roman" w:hAnsi="Times New Roman" w:cs="Times New Roman"/>
              </w:rPr>
              <w:t xml:space="preserve">Siūlymas </w:t>
            </w:r>
            <w:r>
              <w:rPr>
                <w:rFonts w:ascii="Times New Roman" w:hAnsi="Times New Roman" w:cs="Times New Roman"/>
              </w:rPr>
              <w:t xml:space="preserve">į projektą </w:t>
            </w:r>
            <w:r w:rsidRPr="00683ED5">
              <w:rPr>
                <w:rFonts w:ascii="Times New Roman" w:hAnsi="Times New Roman" w:cs="Times New Roman"/>
              </w:rPr>
              <w:t xml:space="preserve">įtraukti paramos priemonę </w:t>
            </w:r>
            <w:r>
              <w:rPr>
                <w:rFonts w:ascii="Times New Roman" w:hAnsi="Times New Roman" w:cs="Times New Roman"/>
              </w:rPr>
              <w:t>„</w:t>
            </w:r>
            <w:r w:rsidRPr="00683ED5">
              <w:rPr>
                <w:rFonts w:ascii="Times New Roman" w:hAnsi="Times New Roman" w:cs="Times New Roman"/>
              </w:rPr>
              <w:t>Saulės energijos technologijų, šilumos siurblių ir šilumos saugyklų panaudojimo centralizuotais tinklais tiekiamos šilumos energijai gaminti skatinimas, pakeičiant iškastinio kuro naudojimą“</w:t>
            </w:r>
            <w:r>
              <w:rPr>
                <w:rFonts w:ascii="Times New Roman" w:hAnsi="Times New Roman" w:cs="Times New Roman"/>
              </w:rPr>
              <w:t>.</w:t>
            </w:r>
            <w:r w:rsidRPr="00683ED5">
              <w:rPr>
                <w:rFonts w:ascii="Times New Roman" w:hAnsi="Times New Roman" w:cs="Times New Roman"/>
              </w:rPr>
              <w:t xml:space="preserve"> </w:t>
            </w:r>
            <w:r>
              <w:rPr>
                <w:rFonts w:ascii="Times New Roman" w:hAnsi="Times New Roman" w:cs="Times New Roman"/>
              </w:rPr>
              <w:t>Ši priemonė jau buvo finansuojama 2019 m. ir 2020 m. Per 2020 m.</w:t>
            </w:r>
            <w:r w:rsidRPr="00683ED5">
              <w:rPr>
                <w:rFonts w:ascii="Times New Roman" w:hAnsi="Times New Roman" w:cs="Times New Roman"/>
              </w:rPr>
              <w:t xml:space="preserve"> buvo pateiktos tik 7 paraiškos (prašom</w:t>
            </w:r>
            <w:r>
              <w:rPr>
                <w:rFonts w:ascii="Times New Roman" w:hAnsi="Times New Roman" w:cs="Times New Roman"/>
              </w:rPr>
              <w:t xml:space="preserve">a subsidijos suma 0,69 mln. </w:t>
            </w:r>
            <w:proofErr w:type="spellStart"/>
            <w:r>
              <w:rPr>
                <w:rFonts w:ascii="Times New Roman" w:hAnsi="Times New Roman" w:cs="Times New Roman"/>
              </w:rPr>
              <w:t>Eur</w:t>
            </w:r>
            <w:proofErr w:type="spellEnd"/>
            <w:r w:rsidRPr="00683ED5">
              <w:rPr>
                <w:rFonts w:ascii="Times New Roman" w:hAnsi="Times New Roman" w:cs="Times New Roman"/>
              </w:rPr>
              <w:t xml:space="preserve">), kai tuo tarpu per 2019 metus buvo skirta 3,02 </w:t>
            </w:r>
            <w:r>
              <w:rPr>
                <w:rFonts w:ascii="Times New Roman" w:hAnsi="Times New Roman" w:cs="Times New Roman"/>
              </w:rPr>
              <w:t xml:space="preserve">mln. </w:t>
            </w:r>
            <w:proofErr w:type="spellStart"/>
            <w:r>
              <w:rPr>
                <w:rFonts w:ascii="Times New Roman" w:hAnsi="Times New Roman" w:cs="Times New Roman"/>
              </w:rPr>
              <w:t>Eur</w:t>
            </w:r>
            <w:proofErr w:type="spellEnd"/>
            <w:r>
              <w:rPr>
                <w:rFonts w:ascii="Times New Roman" w:hAnsi="Times New Roman" w:cs="Times New Roman"/>
              </w:rPr>
              <w:t xml:space="preserve"> paramos 16 </w:t>
            </w:r>
            <w:r w:rsidR="0058354F">
              <w:rPr>
                <w:rFonts w:ascii="Times New Roman" w:hAnsi="Times New Roman" w:cs="Times New Roman"/>
              </w:rPr>
              <w:t>centrinio šilumos tiekimo (toliau – CŠT)</w:t>
            </w:r>
            <w:r>
              <w:rPr>
                <w:rFonts w:ascii="Times New Roman" w:hAnsi="Times New Roman" w:cs="Times New Roman"/>
              </w:rPr>
              <w:t xml:space="preserve"> įmonių projektų. 2019 m.</w:t>
            </w:r>
            <w:r w:rsidRPr="00683ED5">
              <w:rPr>
                <w:rFonts w:ascii="Times New Roman" w:hAnsi="Times New Roman" w:cs="Times New Roman"/>
              </w:rPr>
              <w:t xml:space="preserve"> ta pati priemonė sulaukė didesnio aktyvumo, kadangi kvietimuose buvo padaryta išimtis ir suderintoje valstybės pagal schemoje nebuvo taikomas maksimalus vienam pareiškėjui skiriamos subsidijos dydį ribojantis aplinkosauginio efektyvumo kriterijus (finansavimo dydis negali būti didesnis nei 0,15 </w:t>
            </w:r>
            <w:proofErr w:type="spellStart"/>
            <w:r w:rsidRPr="00683ED5">
              <w:rPr>
                <w:rFonts w:ascii="Times New Roman" w:hAnsi="Times New Roman" w:cs="Times New Roman"/>
              </w:rPr>
              <w:t>Eur</w:t>
            </w:r>
            <w:proofErr w:type="spellEnd"/>
            <w:r w:rsidRPr="00683ED5">
              <w:rPr>
                <w:rFonts w:ascii="Times New Roman" w:hAnsi="Times New Roman" w:cs="Times New Roman"/>
              </w:rPr>
              <w:t xml:space="preserve"> vienam projektu sumažinamam kilogramui CO2 ekvivalento). Šis</w:t>
            </w:r>
            <w:r>
              <w:rPr>
                <w:rFonts w:ascii="Times New Roman" w:hAnsi="Times New Roman" w:cs="Times New Roman"/>
              </w:rPr>
              <w:t xml:space="preserve"> reikalavimas atsirado 2020 m.</w:t>
            </w:r>
            <w:r w:rsidRPr="00683ED5">
              <w:rPr>
                <w:rFonts w:ascii="Times New Roman" w:hAnsi="Times New Roman" w:cs="Times New Roman"/>
              </w:rPr>
              <w:t xml:space="preserve"> kvietimo sąlygose. Pažymėtina, jog CŠT sektoriuje jau dabar virš 70 proc. šilumos yra </w:t>
            </w:r>
            <w:r w:rsidRPr="00683ED5">
              <w:rPr>
                <w:rFonts w:ascii="Times New Roman" w:hAnsi="Times New Roman" w:cs="Times New Roman"/>
              </w:rPr>
              <w:lastRenderedPageBreak/>
              <w:t xml:space="preserve">pagaminama iš atsinaujinančių energijos išteklių, todėl šis ribojimas sumažino įmonių planuotų projektų teikimą paramai gauti. Siūlome 2021 m. netaikyti aplinkosauginio efektyvumo kriterijaus, t. y. numatant (kaip ir 2019 metais) pasiekti tik minimalius CO2 sutaupymus - projektai nors kažkiek privalėtų mažinti CO2, o bendras </w:t>
            </w:r>
            <w:r>
              <w:rPr>
                <w:rFonts w:ascii="Times New Roman" w:hAnsi="Times New Roman" w:cs="Times New Roman"/>
              </w:rPr>
              <w:t xml:space="preserve">ŠESD </w:t>
            </w:r>
            <w:r w:rsidRPr="00683ED5">
              <w:rPr>
                <w:rFonts w:ascii="Times New Roman" w:hAnsi="Times New Roman" w:cs="Times New Roman"/>
              </w:rPr>
              <w:t>kiekio sumažinimas per projekto vertinamąjį laikotarpį būtų apskaičiuojamas pagal Išmetamų šiltnamio efektą sukeliančių dujų kiekio sumažinimo vertinimo metodiką.</w:t>
            </w:r>
          </w:p>
        </w:tc>
        <w:tc>
          <w:tcPr>
            <w:tcW w:w="6662" w:type="dxa"/>
          </w:tcPr>
          <w:p w14:paraId="49B8114F" w14:textId="44986A41" w:rsidR="004467D3" w:rsidRDefault="001D672C" w:rsidP="00D87C2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lastRenderedPageBreak/>
              <w:t>Atsižvelgta iš dalies.</w:t>
            </w:r>
          </w:p>
          <w:p w14:paraId="4E9DC54C" w14:textId="6136E387" w:rsidR="004467D3" w:rsidRPr="00884D28" w:rsidRDefault="004467D3" w:rsidP="001D672C">
            <w:pPr>
              <w:spacing w:after="0" w:line="240" w:lineRule="auto"/>
              <w:jc w:val="both"/>
              <w:rPr>
                <w:rFonts w:ascii="Times New Roman" w:eastAsia="Times New Roman" w:hAnsi="Times New Roman" w:cs="Times New Roman"/>
                <w:sz w:val="24"/>
                <w:szCs w:val="24"/>
                <w:lang w:eastAsia="lt-LT"/>
              </w:rPr>
            </w:pPr>
            <w:r w:rsidRPr="35EB0CAB">
              <w:rPr>
                <w:rFonts w:ascii="Times New Roman" w:eastAsia="Times New Roman" w:hAnsi="Times New Roman" w:cs="Times New Roman"/>
                <w:sz w:val="24"/>
                <w:szCs w:val="24"/>
                <w:lang w:eastAsia="lt-LT"/>
              </w:rPr>
              <w:t>Pagrindinis Klimato kaitos programos tikslas yra ŠESD</w:t>
            </w:r>
            <w:r w:rsidR="0058354F" w:rsidRPr="35EB0CAB">
              <w:rPr>
                <w:rFonts w:ascii="Times New Roman" w:eastAsia="Times New Roman" w:hAnsi="Times New Roman" w:cs="Times New Roman"/>
                <w:sz w:val="24"/>
                <w:szCs w:val="24"/>
                <w:lang w:eastAsia="lt-LT"/>
              </w:rPr>
              <w:t xml:space="preserve"> kiekio</w:t>
            </w:r>
            <w:r w:rsidRPr="35EB0CAB">
              <w:rPr>
                <w:rFonts w:ascii="Times New Roman" w:eastAsia="Times New Roman" w:hAnsi="Times New Roman" w:cs="Times New Roman"/>
                <w:sz w:val="24"/>
                <w:szCs w:val="24"/>
                <w:lang w:eastAsia="lt-LT"/>
              </w:rPr>
              <w:t xml:space="preserve"> sumažinimas įgyvendinant projektus, todėl suteiktos </w:t>
            </w:r>
            <w:r w:rsidR="6BA5110F" w:rsidRPr="35EB0CAB">
              <w:rPr>
                <w:rFonts w:ascii="Times New Roman" w:eastAsia="Times New Roman" w:hAnsi="Times New Roman" w:cs="Times New Roman"/>
                <w:sz w:val="24"/>
                <w:szCs w:val="24"/>
                <w:lang w:eastAsia="lt-LT"/>
              </w:rPr>
              <w:t xml:space="preserve">paramos </w:t>
            </w:r>
            <w:r w:rsidRPr="35EB0CAB">
              <w:rPr>
                <w:rFonts w:ascii="Times New Roman" w:eastAsia="Times New Roman" w:hAnsi="Times New Roman" w:cs="Times New Roman"/>
                <w:sz w:val="24"/>
                <w:szCs w:val="24"/>
                <w:lang w:eastAsia="lt-LT"/>
              </w:rPr>
              <w:t>investicijos projektui įgyvendinti turi</w:t>
            </w:r>
            <w:r w:rsidR="72CC1CF3" w:rsidRPr="35EB0CAB">
              <w:rPr>
                <w:rFonts w:ascii="Times New Roman" w:eastAsia="Times New Roman" w:hAnsi="Times New Roman" w:cs="Times New Roman"/>
                <w:sz w:val="24"/>
                <w:szCs w:val="24"/>
                <w:lang w:eastAsia="lt-LT"/>
              </w:rPr>
              <w:t xml:space="preserve"> būti efektyviai naudojamos ir</w:t>
            </w:r>
            <w:r w:rsidRPr="35EB0CAB">
              <w:rPr>
                <w:rFonts w:ascii="Times New Roman" w:eastAsia="Times New Roman" w:hAnsi="Times New Roman" w:cs="Times New Roman"/>
                <w:sz w:val="24"/>
                <w:szCs w:val="24"/>
                <w:lang w:eastAsia="lt-LT"/>
              </w:rPr>
              <w:t xml:space="preserve"> </w:t>
            </w:r>
            <w:r w:rsidR="3C755529" w:rsidRPr="35EB0CAB">
              <w:rPr>
                <w:rFonts w:ascii="Times New Roman" w:eastAsia="Times New Roman" w:hAnsi="Times New Roman" w:cs="Times New Roman"/>
                <w:sz w:val="24"/>
                <w:szCs w:val="24"/>
                <w:lang w:eastAsia="lt-LT"/>
              </w:rPr>
              <w:t>priklausomos ir nuo</w:t>
            </w:r>
            <w:r w:rsidRPr="35EB0CAB">
              <w:rPr>
                <w:rFonts w:ascii="Times New Roman" w:eastAsia="Times New Roman" w:hAnsi="Times New Roman" w:cs="Times New Roman"/>
                <w:sz w:val="24"/>
                <w:szCs w:val="24"/>
                <w:lang w:eastAsia="lt-LT"/>
              </w:rPr>
              <w:t xml:space="preserve"> ŠESD kiekio sumažinimo rezultat</w:t>
            </w:r>
            <w:r w:rsidR="78013153" w:rsidRPr="35EB0CAB">
              <w:rPr>
                <w:rFonts w:ascii="Times New Roman" w:eastAsia="Times New Roman" w:hAnsi="Times New Roman" w:cs="Times New Roman"/>
                <w:sz w:val="24"/>
                <w:szCs w:val="24"/>
                <w:lang w:eastAsia="lt-LT"/>
              </w:rPr>
              <w:t>ų</w:t>
            </w:r>
            <w:r w:rsidRPr="35EB0CAB">
              <w:rPr>
                <w:rFonts w:ascii="Times New Roman" w:eastAsia="Times New Roman" w:hAnsi="Times New Roman" w:cs="Times New Roman"/>
                <w:sz w:val="24"/>
                <w:szCs w:val="24"/>
                <w:lang w:eastAsia="lt-LT"/>
              </w:rPr>
              <w:t>.</w:t>
            </w:r>
            <w:r w:rsidR="3CF2062C" w:rsidRPr="35EB0CAB">
              <w:rPr>
                <w:rFonts w:ascii="Times New Roman" w:eastAsia="Times New Roman" w:hAnsi="Times New Roman" w:cs="Times New Roman"/>
                <w:sz w:val="24"/>
                <w:szCs w:val="24"/>
                <w:lang w:eastAsia="lt-LT"/>
              </w:rPr>
              <w:t xml:space="preserve"> </w:t>
            </w:r>
            <w:r w:rsidRPr="35EB0CAB">
              <w:rPr>
                <w:rFonts w:ascii="Times New Roman" w:eastAsia="Times New Roman" w:hAnsi="Times New Roman" w:cs="Times New Roman"/>
                <w:sz w:val="24"/>
                <w:szCs w:val="24"/>
                <w:lang w:eastAsia="lt-LT"/>
              </w:rPr>
              <w:t>Pažymime, kad CŠT sektorius</w:t>
            </w:r>
            <w:r w:rsidR="707B5FD8" w:rsidRPr="35EB0CAB">
              <w:rPr>
                <w:rFonts w:ascii="Times New Roman" w:eastAsia="Times New Roman" w:hAnsi="Times New Roman" w:cs="Times New Roman"/>
                <w:sz w:val="24"/>
                <w:szCs w:val="24"/>
                <w:lang w:eastAsia="lt-LT"/>
              </w:rPr>
              <w:t xml:space="preserve"> taip pat</w:t>
            </w:r>
            <w:r w:rsidRPr="35EB0CAB">
              <w:rPr>
                <w:rFonts w:ascii="Times New Roman" w:eastAsia="Times New Roman" w:hAnsi="Times New Roman" w:cs="Times New Roman"/>
                <w:sz w:val="24"/>
                <w:szCs w:val="24"/>
                <w:lang w:eastAsia="lt-LT"/>
              </w:rPr>
              <w:t xml:space="preserve"> gali </w:t>
            </w:r>
            <w:r w:rsidR="0058354F" w:rsidRPr="35EB0CAB">
              <w:rPr>
                <w:rFonts w:ascii="Times New Roman" w:eastAsia="Times New Roman" w:hAnsi="Times New Roman" w:cs="Times New Roman"/>
                <w:sz w:val="24"/>
                <w:szCs w:val="24"/>
                <w:lang w:eastAsia="lt-LT"/>
              </w:rPr>
              <w:t>naudotis</w:t>
            </w:r>
            <w:r w:rsidR="4D9F802B" w:rsidRPr="35EB0CAB">
              <w:rPr>
                <w:rFonts w:ascii="Times New Roman" w:eastAsia="Times New Roman" w:hAnsi="Times New Roman" w:cs="Times New Roman"/>
                <w:sz w:val="24"/>
                <w:szCs w:val="24"/>
                <w:lang w:eastAsia="lt-LT"/>
              </w:rPr>
              <w:t xml:space="preserve"> priemone </w:t>
            </w:r>
            <w:r w:rsidR="001E6CA1" w:rsidRPr="001E6CA1">
              <w:rPr>
                <w:rFonts w:ascii="Times New Roman" w:eastAsia="Times New Roman" w:hAnsi="Times New Roman" w:cs="Times New Roman"/>
                <w:sz w:val="24"/>
                <w:szCs w:val="24"/>
                <w:lang w:eastAsia="lt-LT"/>
              </w:rPr>
              <w:t>„</w:t>
            </w:r>
            <w:r w:rsidR="001E6CA1">
              <w:rPr>
                <w:rFonts w:ascii="Times New Roman" w:eastAsia="Times New Roman" w:hAnsi="Times New Roman" w:cs="Times New Roman"/>
                <w:sz w:val="24"/>
                <w:szCs w:val="24"/>
                <w:lang w:eastAsia="lt-LT"/>
              </w:rPr>
              <w:t>A</w:t>
            </w:r>
            <w:r w:rsidR="001E6CA1" w:rsidRPr="35EB0CAB">
              <w:rPr>
                <w:rFonts w:ascii="Times New Roman" w:eastAsia="Times New Roman" w:hAnsi="Times New Roman" w:cs="Times New Roman"/>
                <w:sz w:val="24"/>
                <w:szCs w:val="24"/>
                <w:lang w:eastAsia="lt-LT"/>
              </w:rPr>
              <w:t xml:space="preserve">tsinaujinančių </w:t>
            </w:r>
            <w:r w:rsidR="69921A41" w:rsidRPr="35EB0CAB">
              <w:rPr>
                <w:rFonts w:ascii="Times New Roman" w:eastAsia="Times New Roman" w:hAnsi="Times New Roman" w:cs="Times New Roman"/>
                <w:sz w:val="24"/>
                <w:szCs w:val="24"/>
                <w:lang w:eastAsia="lt-LT"/>
              </w:rPr>
              <w:t>energijos išteklių (toliau – AEI) naudojimas įmonių poreikiams</w:t>
            </w:r>
            <w:r w:rsidR="001E6CA1" w:rsidRPr="001E6CA1">
              <w:rPr>
                <w:rFonts w:ascii="Times New Roman" w:eastAsia="Times New Roman" w:hAnsi="Times New Roman" w:cs="Times New Roman"/>
                <w:sz w:val="24"/>
                <w:szCs w:val="24"/>
                <w:lang w:eastAsia="lt-LT"/>
              </w:rPr>
              <w:t>“</w:t>
            </w:r>
            <w:r w:rsidR="0058354F" w:rsidRPr="35EB0CAB">
              <w:rPr>
                <w:rFonts w:ascii="Times New Roman" w:eastAsia="Times New Roman" w:hAnsi="Times New Roman" w:cs="Times New Roman"/>
                <w:sz w:val="24"/>
                <w:szCs w:val="24"/>
                <w:lang w:eastAsia="lt-LT"/>
              </w:rPr>
              <w:t xml:space="preserve">, kuriai </w:t>
            </w:r>
            <w:r w:rsidRPr="35EB0CAB">
              <w:rPr>
                <w:rFonts w:ascii="Times New Roman" w:eastAsia="Times New Roman" w:hAnsi="Times New Roman" w:cs="Times New Roman"/>
                <w:sz w:val="24"/>
                <w:szCs w:val="24"/>
                <w:lang w:eastAsia="lt-LT"/>
              </w:rPr>
              <w:t xml:space="preserve"> 2021 m. </w:t>
            </w:r>
            <w:r w:rsidR="0058354F" w:rsidRPr="35EB0CAB">
              <w:rPr>
                <w:rFonts w:ascii="Times New Roman" w:eastAsia="Times New Roman" w:hAnsi="Times New Roman" w:cs="Times New Roman"/>
                <w:sz w:val="24"/>
                <w:szCs w:val="24"/>
                <w:lang w:eastAsia="lt-LT"/>
              </w:rPr>
              <w:t>skirta</w:t>
            </w:r>
            <w:r w:rsidRPr="35EB0CAB">
              <w:rPr>
                <w:rFonts w:ascii="Times New Roman" w:eastAsia="Times New Roman" w:hAnsi="Times New Roman" w:cs="Times New Roman"/>
                <w:sz w:val="24"/>
                <w:szCs w:val="24"/>
                <w:lang w:eastAsia="lt-LT"/>
              </w:rPr>
              <w:t xml:space="preserve"> 10 mln. </w:t>
            </w:r>
            <w:proofErr w:type="spellStart"/>
            <w:r w:rsidRPr="35EB0CAB">
              <w:rPr>
                <w:rFonts w:ascii="Times New Roman" w:eastAsia="Times New Roman" w:hAnsi="Times New Roman" w:cs="Times New Roman"/>
                <w:sz w:val="24"/>
                <w:szCs w:val="24"/>
                <w:lang w:eastAsia="lt-LT"/>
              </w:rPr>
              <w:t>Eur</w:t>
            </w:r>
            <w:proofErr w:type="spellEnd"/>
            <w:r w:rsidRPr="35EB0CAB">
              <w:rPr>
                <w:rFonts w:ascii="Times New Roman" w:eastAsia="Times New Roman" w:hAnsi="Times New Roman" w:cs="Times New Roman"/>
                <w:sz w:val="24"/>
                <w:szCs w:val="24"/>
                <w:lang w:eastAsia="lt-LT"/>
              </w:rPr>
              <w:t>, taip pat parama</w:t>
            </w:r>
            <w:r w:rsidR="51DBC3D5" w:rsidRPr="35EB0CAB">
              <w:rPr>
                <w:rFonts w:ascii="Times New Roman" w:eastAsia="Times New Roman" w:hAnsi="Times New Roman" w:cs="Times New Roman"/>
                <w:sz w:val="24"/>
                <w:szCs w:val="24"/>
                <w:lang w:eastAsia="lt-LT"/>
              </w:rPr>
              <w:t>, kuri skirta</w:t>
            </w:r>
            <w:r w:rsidRPr="35EB0CAB">
              <w:rPr>
                <w:rFonts w:ascii="Times New Roman" w:eastAsia="Times New Roman" w:hAnsi="Times New Roman" w:cs="Times New Roman"/>
                <w:sz w:val="24"/>
                <w:szCs w:val="24"/>
                <w:lang w:eastAsia="lt-LT"/>
              </w:rPr>
              <w:t xml:space="preserve"> </w:t>
            </w:r>
            <w:r w:rsidR="0058354F" w:rsidRPr="35EB0CAB">
              <w:rPr>
                <w:rFonts w:ascii="Times New Roman" w:eastAsia="Times New Roman" w:hAnsi="Times New Roman" w:cs="Times New Roman"/>
                <w:sz w:val="24"/>
                <w:szCs w:val="24"/>
                <w:lang w:eastAsia="lt-LT"/>
              </w:rPr>
              <w:t>ES apyvartinių taršos leidimų prekybos sistemoje dalyvaujančioms</w:t>
            </w:r>
            <w:r w:rsidRPr="35EB0CAB">
              <w:rPr>
                <w:rFonts w:ascii="Times New Roman" w:eastAsia="Times New Roman" w:hAnsi="Times New Roman" w:cs="Times New Roman"/>
                <w:sz w:val="24"/>
                <w:szCs w:val="24"/>
                <w:lang w:eastAsia="lt-LT"/>
              </w:rPr>
              <w:t xml:space="preserve"> įmonėms</w:t>
            </w:r>
            <w:r w:rsidR="5A6CACF3" w:rsidRPr="35EB0CAB">
              <w:rPr>
                <w:rFonts w:ascii="Times New Roman" w:eastAsia="Times New Roman" w:hAnsi="Times New Roman" w:cs="Times New Roman"/>
                <w:sz w:val="24"/>
                <w:szCs w:val="24"/>
                <w:lang w:eastAsia="lt-LT"/>
              </w:rPr>
              <w:t xml:space="preserve"> </w:t>
            </w:r>
            <w:r w:rsidR="001E6CA1" w:rsidRPr="001E6CA1">
              <w:rPr>
                <w:rFonts w:ascii="Times New Roman" w:eastAsia="Times New Roman" w:hAnsi="Times New Roman" w:cs="Times New Roman"/>
                <w:sz w:val="24"/>
                <w:szCs w:val="24"/>
                <w:lang w:eastAsia="lt-LT"/>
              </w:rPr>
              <w:t xml:space="preserve">– </w:t>
            </w:r>
            <w:r w:rsidR="5A6CACF3" w:rsidRPr="35EB0CAB">
              <w:rPr>
                <w:rFonts w:ascii="Times New Roman" w:eastAsia="Times New Roman" w:hAnsi="Times New Roman" w:cs="Times New Roman"/>
                <w:sz w:val="24"/>
                <w:szCs w:val="24"/>
                <w:lang w:eastAsia="lt-LT"/>
              </w:rPr>
              <w:t xml:space="preserve"> bendra skirta suma</w:t>
            </w:r>
            <w:r w:rsidR="0058354F" w:rsidRPr="35EB0CAB">
              <w:rPr>
                <w:rFonts w:ascii="Times New Roman" w:eastAsia="Times New Roman" w:hAnsi="Times New Roman" w:cs="Times New Roman"/>
                <w:sz w:val="24"/>
                <w:szCs w:val="24"/>
                <w:lang w:eastAsia="lt-LT"/>
              </w:rPr>
              <w:t xml:space="preserve"> </w:t>
            </w:r>
            <w:r w:rsidR="3F89D43A" w:rsidRPr="35EB0CAB">
              <w:rPr>
                <w:rFonts w:ascii="Times New Roman" w:eastAsia="Times New Roman" w:hAnsi="Times New Roman" w:cs="Times New Roman"/>
                <w:sz w:val="24"/>
                <w:szCs w:val="24"/>
                <w:lang w:eastAsia="lt-LT"/>
              </w:rPr>
              <w:t>1</w:t>
            </w:r>
            <w:r w:rsidR="0058354F" w:rsidRPr="35EB0CAB">
              <w:rPr>
                <w:rFonts w:ascii="Times New Roman" w:eastAsia="Times New Roman" w:hAnsi="Times New Roman" w:cs="Times New Roman"/>
                <w:sz w:val="24"/>
                <w:szCs w:val="24"/>
                <w:lang w:eastAsia="lt-LT"/>
              </w:rPr>
              <w:t xml:space="preserve">0 mln. </w:t>
            </w:r>
            <w:proofErr w:type="spellStart"/>
            <w:r w:rsidR="0058354F" w:rsidRPr="35EB0CAB">
              <w:rPr>
                <w:rFonts w:ascii="Times New Roman" w:eastAsia="Times New Roman" w:hAnsi="Times New Roman" w:cs="Times New Roman"/>
                <w:sz w:val="24"/>
                <w:szCs w:val="24"/>
                <w:lang w:eastAsia="lt-LT"/>
              </w:rPr>
              <w:t>Eu</w:t>
            </w:r>
            <w:r w:rsidR="03E54E26" w:rsidRPr="35EB0CAB">
              <w:rPr>
                <w:rFonts w:ascii="Times New Roman" w:eastAsia="Times New Roman" w:hAnsi="Times New Roman" w:cs="Times New Roman"/>
                <w:sz w:val="24"/>
                <w:szCs w:val="24"/>
                <w:lang w:eastAsia="lt-LT"/>
              </w:rPr>
              <w:t>r</w:t>
            </w:r>
            <w:proofErr w:type="spellEnd"/>
            <w:r w:rsidRPr="35EB0CAB">
              <w:rPr>
                <w:rFonts w:ascii="Times New Roman" w:eastAsia="Times New Roman" w:hAnsi="Times New Roman" w:cs="Times New Roman"/>
                <w:sz w:val="24"/>
                <w:szCs w:val="24"/>
                <w:lang w:eastAsia="lt-LT"/>
              </w:rPr>
              <w:t>.</w:t>
            </w:r>
            <w:r w:rsidR="4DD88BE8" w:rsidRPr="35EB0CAB">
              <w:rPr>
                <w:rFonts w:ascii="Times New Roman" w:eastAsia="Times New Roman" w:hAnsi="Times New Roman" w:cs="Times New Roman"/>
                <w:sz w:val="24"/>
                <w:szCs w:val="24"/>
                <w:lang w:eastAsia="lt-LT"/>
              </w:rPr>
              <w:t xml:space="preserve"> Pažymime, kad</w:t>
            </w:r>
            <w:r w:rsidRPr="35EB0CAB">
              <w:rPr>
                <w:rFonts w:ascii="Times New Roman" w:eastAsia="Times New Roman" w:hAnsi="Times New Roman" w:cs="Times New Roman"/>
                <w:sz w:val="24"/>
                <w:szCs w:val="24"/>
                <w:lang w:eastAsia="lt-LT"/>
              </w:rPr>
              <w:t xml:space="preserve"> Energetikos ministerija yra suplanavusi finansavimą CŠT sektoriaus priemonėms iš </w:t>
            </w:r>
            <w:r w:rsidR="001D672C">
              <w:rPr>
                <w:rFonts w:ascii="Times New Roman" w:eastAsia="Times New Roman" w:hAnsi="Times New Roman" w:cs="Times New Roman"/>
                <w:sz w:val="24"/>
                <w:szCs w:val="24"/>
                <w:lang w:eastAsia="lt-LT"/>
              </w:rPr>
              <w:t>ES struktūrinių fondų 2021-2027 m. finansiniam laikotarpiui. Planuojama, kad šios priemonės CŠT sektoriui pradės veikti nuo 2022 m.</w:t>
            </w:r>
          </w:p>
        </w:tc>
      </w:tr>
      <w:tr w:rsidR="00D127CD" w:rsidRPr="00A97781" w14:paraId="267E0F1E" w14:textId="77777777" w:rsidTr="6BAC4A88">
        <w:tc>
          <w:tcPr>
            <w:tcW w:w="680" w:type="dxa"/>
          </w:tcPr>
          <w:p w14:paraId="4EC3A1EC" w14:textId="13C3D49D" w:rsidR="00D127CD" w:rsidRPr="00A97781" w:rsidRDefault="00D127CD" w:rsidP="00D87C2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843" w:type="dxa"/>
          </w:tcPr>
          <w:p w14:paraId="4227B061" w14:textId="792F4214" w:rsidR="00D127CD" w:rsidRPr="00683ED5" w:rsidRDefault="00D127CD" w:rsidP="00D87C28">
            <w:pPr>
              <w:pStyle w:val="Standard"/>
              <w:jc w:val="both"/>
              <w:rPr>
                <w:rFonts w:ascii="Times New Roman" w:hAnsi="Times New Roman" w:cs="Times New Roman"/>
              </w:rPr>
            </w:pPr>
            <w:r w:rsidRPr="00474CE4">
              <w:rPr>
                <w:rFonts w:ascii="Times New Roman" w:hAnsi="Times New Roman" w:cs="Times New Roman"/>
              </w:rPr>
              <w:t>Lietuvos šilumos tiekėjų asociacijos 2021 vasario 18 d. raštas Nr. 14</w:t>
            </w:r>
          </w:p>
        </w:tc>
        <w:tc>
          <w:tcPr>
            <w:tcW w:w="6379" w:type="dxa"/>
          </w:tcPr>
          <w:p w14:paraId="1370C406" w14:textId="77777777" w:rsidR="0058354F" w:rsidRDefault="0058354F" w:rsidP="00D87C28">
            <w:pPr>
              <w:pStyle w:val="Standard"/>
              <w:jc w:val="both"/>
              <w:rPr>
                <w:rFonts w:ascii="Times New Roman" w:hAnsi="Times New Roman" w:cs="Times New Roman"/>
              </w:rPr>
            </w:pPr>
            <w:r>
              <w:rPr>
                <w:rFonts w:ascii="Times New Roman" w:hAnsi="Times New Roman" w:cs="Times New Roman"/>
              </w:rPr>
              <w:t>Siūlymas įtraukti į projektą šias priemones:</w:t>
            </w:r>
          </w:p>
          <w:p w14:paraId="2506FFC4" w14:textId="135D47D8" w:rsidR="00D127CD" w:rsidRPr="00474CE4" w:rsidRDefault="0058354F" w:rsidP="00D87C28">
            <w:pPr>
              <w:pStyle w:val="Standard"/>
              <w:jc w:val="both"/>
              <w:rPr>
                <w:rFonts w:ascii="Times New Roman" w:hAnsi="Times New Roman" w:cs="Times New Roman"/>
              </w:rPr>
            </w:pPr>
            <w:r>
              <w:rPr>
                <w:rFonts w:ascii="Times New Roman" w:hAnsi="Times New Roman" w:cs="Times New Roman"/>
              </w:rPr>
              <w:t>1</w:t>
            </w:r>
            <w:r w:rsidR="00D127CD" w:rsidRPr="00474CE4">
              <w:rPr>
                <w:rFonts w:ascii="Times New Roman" w:hAnsi="Times New Roman" w:cs="Times New Roman"/>
              </w:rPr>
              <w:t>. Atsinaujinančių energijos išteklių (saulės, vėjo, geoterminės energijos, biokuro ar kitų) panaudojimas arba prijungimas prie CŠT sistemų visuomeninės ir gyvenamosios (įvairių socialinių grupių asmenims) paskirties pastatuose, kurie nuosavybės teise priklauso valstybei, savivaldybėms, tradicinėms religinėms bendruomenėms, religinėms bendrijoms ar centrams</w:t>
            </w:r>
            <w:r>
              <w:rPr>
                <w:rFonts w:ascii="Times New Roman" w:hAnsi="Times New Roman" w:cs="Times New Roman"/>
              </w:rPr>
              <w:t>;</w:t>
            </w:r>
          </w:p>
          <w:p w14:paraId="188EB77B" w14:textId="635A9BF8" w:rsidR="00D127CD" w:rsidRPr="00474CE4" w:rsidRDefault="0058354F" w:rsidP="00D87C28">
            <w:pPr>
              <w:pStyle w:val="Standard"/>
              <w:jc w:val="both"/>
              <w:rPr>
                <w:rFonts w:ascii="Times New Roman" w:hAnsi="Times New Roman" w:cs="Times New Roman"/>
              </w:rPr>
            </w:pPr>
            <w:r>
              <w:rPr>
                <w:rFonts w:ascii="Times New Roman" w:hAnsi="Times New Roman" w:cs="Times New Roman"/>
              </w:rPr>
              <w:t>2.</w:t>
            </w:r>
            <w:r w:rsidR="00D127CD" w:rsidRPr="00474CE4">
              <w:rPr>
                <w:rFonts w:ascii="Times New Roman" w:hAnsi="Times New Roman" w:cs="Times New Roman"/>
              </w:rPr>
              <w:t>.Atsinaujinančių energijos išteklių (saulės, vėjo, geoterminės energijos, biokuro ar kitų) panaudojimas arba prijungimas prie CŠT sistemų privačių juridinių asmenų visuomeninės, gamybinės paskirties pastatuose, kitos paskirties inžineriniuose statiniuose (sąvartynuose, nuotekų valyklų statiniuose), pakei</w:t>
            </w:r>
            <w:r>
              <w:rPr>
                <w:rFonts w:ascii="Times New Roman" w:hAnsi="Times New Roman" w:cs="Times New Roman"/>
              </w:rPr>
              <w:t>čiant iškastinio kuro naudojimą;</w:t>
            </w:r>
          </w:p>
          <w:p w14:paraId="07A64452" w14:textId="462EFAEE" w:rsidR="00D127CD" w:rsidRPr="00683ED5" w:rsidRDefault="0058354F" w:rsidP="00D87C28">
            <w:pPr>
              <w:pStyle w:val="Standard"/>
              <w:jc w:val="both"/>
              <w:rPr>
                <w:rFonts w:ascii="Times New Roman" w:hAnsi="Times New Roman" w:cs="Times New Roman"/>
              </w:rPr>
            </w:pPr>
            <w:r>
              <w:rPr>
                <w:rFonts w:ascii="Times New Roman" w:hAnsi="Times New Roman" w:cs="Times New Roman"/>
              </w:rPr>
              <w:t>3.</w:t>
            </w:r>
            <w:r w:rsidR="00D127CD" w:rsidRPr="00474CE4">
              <w:rPr>
                <w:rFonts w:ascii="Times New Roman" w:hAnsi="Times New Roman" w:cs="Times New Roman"/>
              </w:rPr>
              <w:t xml:space="preserve"> Atsinaujinančių energijos išteklių (t. y. šilumos siurblių: oras-vanduo, žemė-vanduo, vanduo-vanduo; biokuro katilų) panaudojimas arba prijungimas prie CŠT sistemų fizinių asmenų vieno ar dviejų butų gyvenamuose namuose, pakeičiant iškastinį kurą naudojančiu</w:t>
            </w:r>
            <w:r w:rsidR="00D127CD">
              <w:rPr>
                <w:rFonts w:ascii="Times New Roman" w:hAnsi="Times New Roman" w:cs="Times New Roman"/>
              </w:rPr>
              <w:t>s šilumos įrenginius.</w:t>
            </w:r>
          </w:p>
        </w:tc>
        <w:tc>
          <w:tcPr>
            <w:tcW w:w="6662" w:type="dxa"/>
          </w:tcPr>
          <w:p w14:paraId="436E95DE" w14:textId="77777777" w:rsidR="00D127CD" w:rsidRPr="008F5124" w:rsidRDefault="00D127CD" w:rsidP="00D87C28">
            <w:pPr>
              <w:spacing w:after="0" w:line="240" w:lineRule="auto"/>
              <w:jc w:val="both"/>
              <w:rPr>
                <w:rFonts w:ascii="Times New Roman" w:eastAsia="Times New Roman" w:hAnsi="Times New Roman" w:cs="Times New Roman"/>
                <w:b/>
                <w:sz w:val="24"/>
                <w:szCs w:val="24"/>
                <w:lang w:eastAsia="lt-LT"/>
              </w:rPr>
            </w:pPr>
            <w:r w:rsidRPr="008F5124">
              <w:rPr>
                <w:rFonts w:ascii="Times New Roman" w:eastAsia="Times New Roman" w:hAnsi="Times New Roman" w:cs="Times New Roman"/>
                <w:b/>
                <w:sz w:val="24"/>
                <w:szCs w:val="24"/>
                <w:lang w:eastAsia="lt-LT"/>
              </w:rPr>
              <w:t xml:space="preserve">Atsižvelgta iš dalies. </w:t>
            </w:r>
          </w:p>
          <w:p w14:paraId="1097B16B" w14:textId="2B7BB1A6" w:rsidR="00D127CD" w:rsidRPr="009C5A91" w:rsidRDefault="0058354F" w:rsidP="00D87C28">
            <w:pPr>
              <w:spacing w:after="0" w:line="240" w:lineRule="auto"/>
              <w:jc w:val="both"/>
              <w:rPr>
                <w:rFonts w:ascii="Times New Roman" w:eastAsia="Times New Roman" w:hAnsi="Times New Roman" w:cs="Times New Roman"/>
                <w:b/>
                <w:bCs/>
                <w:sz w:val="24"/>
                <w:szCs w:val="24"/>
                <w:lang w:eastAsia="lt-LT"/>
              </w:rPr>
            </w:pPr>
            <w:r w:rsidRPr="35EB0CAB">
              <w:rPr>
                <w:rFonts w:ascii="Times New Roman" w:eastAsia="Times New Roman" w:hAnsi="Times New Roman" w:cs="Times New Roman"/>
                <w:sz w:val="24"/>
                <w:szCs w:val="24"/>
                <w:lang w:eastAsia="lt-LT"/>
              </w:rPr>
              <w:t>Pažymėtina, kad į</w:t>
            </w:r>
            <w:r w:rsidR="77DFD29B" w:rsidRPr="35EB0CAB">
              <w:rPr>
                <w:rFonts w:ascii="Times New Roman" w:eastAsia="Times New Roman" w:hAnsi="Times New Roman" w:cs="Times New Roman"/>
                <w:sz w:val="24"/>
                <w:szCs w:val="24"/>
                <w:lang w:eastAsia="lt-LT"/>
              </w:rPr>
              <w:t xml:space="preserve"> patikslintą</w:t>
            </w:r>
            <w:r w:rsidRPr="35EB0CAB">
              <w:rPr>
                <w:rFonts w:ascii="Times New Roman" w:eastAsia="Times New Roman" w:hAnsi="Times New Roman" w:cs="Times New Roman"/>
                <w:sz w:val="24"/>
                <w:szCs w:val="24"/>
                <w:lang w:eastAsia="lt-LT"/>
              </w:rPr>
              <w:t xml:space="preserve"> </w:t>
            </w:r>
            <w:r w:rsidR="00D127CD" w:rsidRPr="35EB0CAB">
              <w:rPr>
                <w:rFonts w:ascii="Times New Roman" w:eastAsia="Times New Roman" w:hAnsi="Times New Roman" w:cs="Times New Roman"/>
                <w:sz w:val="24"/>
                <w:szCs w:val="24"/>
                <w:lang w:eastAsia="lt-LT"/>
              </w:rPr>
              <w:t>projektą įtraukta priemonė, kuria siekiama skatinti fizinius asmenis prisijungti prie centrali</w:t>
            </w:r>
            <w:r w:rsidRPr="35EB0CAB">
              <w:rPr>
                <w:rFonts w:ascii="Times New Roman" w:eastAsia="Times New Roman" w:hAnsi="Times New Roman" w:cs="Times New Roman"/>
                <w:sz w:val="24"/>
                <w:szCs w:val="24"/>
                <w:lang w:eastAsia="lt-LT"/>
              </w:rPr>
              <w:t xml:space="preserve">zuotos šilumos tiekimo sistemos. </w:t>
            </w:r>
            <w:r w:rsidR="00D127CD" w:rsidRPr="35EB0CAB">
              <w:rPr>
                <w:rFonts w:ascii="Times New Roman" w:eastAsia="Times New Roman" w:hAnsi="Times New Roman" w:cs="Times New Roman"/>
                <w:sz w:val="24"/>
                <w:szCs w:val="24"/>
                <w:lang w:eastAsia="lt-LT"/>
              </w:rPr>
              <w:t xml:space="preserve">Taip pat RRF plane suplanuota priemonė </w:t>
            </w:r>
            <w:r w:rsidRPr="35EB0CAB">
              <w:rPr>
                <w:rFonts w:ascii="Times New Roman" w:eastAsia="Times New Roman" w:hAnsi="Times New Roman" w:cs="Times New Roman"/>
                <w:sz w:val="24"/>
                <w:szCs w:val="24"/>
                <w:lang w:eastAsia="lt-LT"/>
              </w:rPr>
              <w:t>„</w:t>
            </w:r>
            <w:r w:rsidR="00D127CD" w:rsidRPr="35EB0CAB">
              <w:rPr>
                <w:rFonts w:ascii="Times New Roman" w:eastAsia="Times New Roman" w:hAnsi="Times New Roman" w:cs="Times New Roman"/>
                <w:sz w:val="24"/>
                <w:szCs w:val="24"/>
                <w:lang w:eastAsia="lt-LT"/>
              </w:rPr>
              <w:t>Katilų keitimas namų ūkiuose efektyvesnėmis AEI technologijomis (šilumos siurbliai, naujausios kartos biokuro katilai, prijungimas prie CŠT)</w:t>
            </w:r>
            <w:r w:rsidRPr="35EB0CAB">
              <w:rPr>
                <w:rFonts w:ascii="Times New Roman" w:eastAsia="Times New Roman" w:hAnsi="Times New Roman" w:cs="Times New Roman"/>
                <w:sz w:val="24"/>
                <w:szCs w:val="24"/>
                <w:lang w:eastAsia="lt-LT"/>
              </w:rPr>
              <w:t>“</w:t>
            </w:r>
            <w:r w:rsidR="00D127CD" w:rsidRPr="35EB0CAB">
              <w:rPr>
                <w:rFonts w:ascii="Times New Roman" w:eastAsia="Times New Roman" w:hAnsi="Times New Roman" w:cs="Times New Roman"/>
                <w:sz w:val="24"/>
                <w:szCs w:val="24"/>
                <w:lang w:eastAsia="lt-LT"/>
              </w:rPr>
              <w:t xml:space="preserve">. </w:t>
            </w:r>
            <w:r w:rsidRPr="35EB0CAB">
              <w:rPr>
                <w:rFonts w:ascii="Times New Roman" w:eastAsia="Times New Roman" w:hAnsi="Times New Roman" w:cs="Times New Roman"/>
                <w:sz w:val="24"/>
                <w:szCs w:val="24"/>
                <w:lang w:eastAsia="lt-LT"/>
              </w:rPr>
              <w:t>Minėtai priemonei s</w:t>
            </w:r>
            <w:r w:rsidR="00D127CD" w:rsidRPr="35EB0CAB">
              <w:rPr>
                <w:rFonts w:ascii="Times New Roman" w:eastAsia="Times New Roman" w:hAnsi="Times New Roman" w:cs="Times New Roman"/>
                <w:sz w:val="24"/>
                <w:szCs w:val="24"/>
                <w:lang w:eastAsia="lt-LT"/>
              </w:rPr>
              <w:t xml:space="preserve">uplanuoti 83 mln. </w:t>
            </w:r>
            <w:proofErr w:type="spellStart"/>
            <w:r w:rsidR="00D127CD" w:rsidRPr="35EB0CAB">
              <w:rPr>
                <w:rFonts w:ascii="Times New Roman" w:eastAsia="Times New Roman" w:hAnsi="Times New Roman" w:cs="Times New Roman"/>
                <w:sz w:val="24"/>
                <w:szCs w:val="24"/>
                <w:lang w:eastAsia="lt-LT"/>
              </w:rPr>
              <w:t>Eur</w:t>
            </w:r>
            <w:proofErr w:type="spellEnd"/>
            <w:r w:rsidR="00D127CD" w:rsidRPr="35EB0CAB">
              <w:rPr>
                <w:rFonts w:ascii="Times New Roman" w:eastAsia="Times New Roman" w:hAnsi="Times New Roman" w:cs="Times New Roman"/>
                <w:sz w:val="24"/>
                <w:szCs w:val="24"/>
                <w:lang w:eastAsia="lt-LT"/>
              </w:rPr>
              <w:t xml:space="preserve">.  </w:t>
            </w:r>
          </w:p>
        </w:tc>
      </w:tr>
      <w:tr w:rsidR="00D127CD" w:rsidRPr="00A97781" w14:paraId="17EC2843" w14:textId="77777777" w:rsidTr="6BAC4A88">
        <w:tc>
          <w:tcPr>
            <w:tcW w:w="680" w:type="dxa"/>
          </w:tcPr>
          <w:p w14:paraId="44268FE4" w14:textId="1AB829F3" w:rsidR="00D127CD" w:rsidRPr="00A97781" w:rsidRDefault="00D127CD" w:rsidP="00D87C28">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166B09EA" w14:textId="2403DE89" w:rsidR="00D127CD" w:rsidRPr="00403CA8" w:rsidRDefault="00D127CD" w:rsidP="00D87C28">
            <w:pPr>
              <w:pStyle w:val="Standard"/>
              <w:jc w:val="both"/>
              <w:rPr>
                <w:rFonts w:ascii="Times New Roman" w:hAnsi="Times New Roman" w:cs="Times New Roman"/>
              </w:rPr>
            </w:pPr>
            <w:r w:rsidRPr="00683ED5">
              <w:t>Lietuvos</w:t>
            </w:r>
            <w:r>
              <w:t xml:space="preserve"> saulės energetikos asociacijos ir Lietuvos vartotojų </w:t>
            </w:r>
            <w:r>
              <w:lastRenderedPageBreak/>
              <w:t xml:space="preserve">organizacijų aljanso </w:t>
            </w:r>
            <w:r w:rsidRPr="00683ED5">
              <w:t>2021 m. vasario 5 d. raštas</w:t>
            </w:r>
            <w:r>
              <w:t xml:space="preserve"> </w:t>
            </w:r>
          </w:p>
        </w:tc>
        <w:tc>
          <w:tcPr>
            <w:tcW w:w="6379" w:type="dxa"/>
          </w:tcPr>
          <w:p w14:paraId="23681D57" w14:textId="437CEE22" w:rsidR="00D127CD" w:rsidRPr="00403CA8" w:rsidRDefault="00D127CD" w:rsidP="00D87C28">
            <w:pPr>
              <w:pStyle w:val="Standard"/>
              <w:jc w:val="both"/>
              <w:rPr>
                <w:rFonts w:ascii="Times New Roman" w:hAnsi="Times New Roman" w:cs="Times New Roman"/>
              </w:rPr>
            </w:pPr>
            <w:r>
              <w:lastRenderedPageBreak/>
              <w:t>Siūlymas papildomas lėša</w:t>
            </w:r>
            <w:r w:rsidRPr="00683ED5">
              <w:t>s</w:t>
            </w:r>
            <w:r>
              <w:t xml:space="preserve"> skirti</w:t>
            </w:r>
            <w:r w:rsidRPr="00683ED5">
              <w:t xml:space="preserve"> Klimato kaitos programos naujų priemonių komunikacija</w:t>
            </w:r>
            <w:r>
              <w:t>i – į komunikaciją įeitų ir naujai siūlomos priemonės, ir kitos</w:t>
            </w:r>
            <w:r w:rsidRPr="00683ED5">
              <w:t xml:space="preserve"> sąmatos priemones, kurios nėra plačiai žinomos</w:t>
            </w:r>
            <w:r>
              <w:t xml:space="preserve"> tikslinėms auditorijoms. Siūlo</w:t>
            </w:r>
            <w:r w:rsidRPr="00683ED5">
              <w:t xml:space="preserve">, kad dalį komunikavimo veiklos populiarinant naujas priemones bei </w:t>
            </w:r>
            <w:r w:rsidRPr="00683ED5">
              <w:lastRenderedPageBreak/>
              <w:t>skatinant Klimato kaitos programos lėšų efektyvų panaudojimą gali atlikti nevyriausybinės organizacijos.</w:t>
            </w:r>
          </w:p>
        </w:tc>
        <w:tc>
          <w:tcPr>
            <w:tcW w:w="6662" w:type="dxa"/>
          </w:tcPr>
          <w:p w14:paraId="657D0F88" w14:textId="77777777" w:rsidR="00D127CD" w:rsidRDefault="00D127CD" w:rsidP="00D87C28">
            <w:pPr>
              <w:spacing w:after="0" w:line="240" w:lineRule="auto"/>
              <w:jc w:val="both"/>
              <w:rPr>
                <w:rFonts w:ascii="Times New Roman" w:eastAsia="Times New Roman" w:hAnsi="Times New Roman" w:cs="Times New Roman"/>
                <w:sz w:val="24"/>
                <w:szCs w:val="24"/>
                <w:lang w:eastAsia="lt-LT"/>
              </w:rPr>
            </w:pPr>
            <w:r w:rsidRPr="00474CE4">
              <w:rPr>
                <w:rFonts w:ascii="Times New Roman" w:eastAsia="Times New Roman" w:hAnsi="Times New Roman" w:cs="Times New Roman"/>
                <w:b/>
                <w:sz w:val="24"/>
                <w:szCs w:val="24"/>
                <w:lang w:eastAsia="lt-LT"/>
              </w:rPr>
              <w:lastRenderedPageBreak/>
              <w:t>Atsižvelgta iš dalies.</w:t>
            </w:r>
            <w:r w:rsidRPr="00683ED5">
              <w:rPr>
                <w:rFonts w:ascii="Times New Roman" w:eastAsia="Times New Roman" w:hAnsi="Times New Roman" w:cs="Times New Roman"/>
                <w:sz w:val="24"/>
                <w:szCs w:val="24"/>
                <w:lang w:eastAsia="lt-LT"/>
              </w:rPr>
              <w:t xml:space="preserve"> </w:t>
            </w:r>
          </w:p>
          <w:p w14:paraId="6C3A6972" w14:textId="68D0E0F9" w:rsidR="00D127CD" w:rsidRPr="006E7540" w:rsidRDefault="00D127CD" w:rsidP="002D5B9A">
            <w:pPr>
              <w:spacing w:after="0" w:line="240" w:lineRule="auto"/>
              <w:jc w:val="both"/>
              <w:rPr>
                <w:rFonts w:ascii="Times New Roman" w:eastAsia="Times New Roman" w:hAnsi="Times New Roman" w:cs="Times New Roman"/>
                <w:sz w:val="24"/>
                <w:szCs w:val="24"/>
                <w:lang w:eastAsia="lt-LT"/>
              </w:rPr>
            </w:pPr>
            <w:r w:rsidRPr="35EB0CAB">
              <w:rPr>
                <w:rFonts w:ascii="Times New Roman" w:eastAsia="Times New Roman" w:hAnsi="Times New Roman" w:cs="Times New Roman"/>
                <w:sz w:val="24"/>
                <w:szCs w:val="24"/>
                <w:lang w:eastAsia="lt-LT"/>
              </w:rPr>
              <w:t xml:space="preserve">Pažymime, kad iš naujos ES finansinės perspektyvos bus rengiami konkursai aplinkosaugos ir klimato kaitos klausimų viešinimui. Šiems tikslams yra suplanuota 1,76 mln. </w:t>
            </w:r>
            <w:proofErr w:type="spellStart"/>
            <w:r w:rsidRPr="35EB0CAB">
              <w:rPr>
                <w:rFonts w:ascii="Times New Roman" w:eastAsia="Times New Roman" w:hAnsi="Times New Roman" w:cs="Times New Roman"/>
                <w:sz w:val="24"/>
                <w:szCs w:val="24"/>
                <w:lang w:eastAsia="lt-LT"/>
              </w:rPr>
              <w:t>Eur</w:t>
            </w:r>
            <w:proofErr w:type="spellEnd"/>
            <w:r w:rsidRPr="35EB0CAB">
              <w:rPr>
                <w:rFonts w:ascii="Times New Roman" w:eastAsia="Times New Roman" w:hAnsi="Times New Roman" w:cs="Times New Roman"/>
                <w:sz w:val="24"/>
                <w:szCs w:val="24"/>
                <w:lang w:eastAsia="lt-LT"/>
              </w:rPr>
              <w:t xml:space="preserve"> iš ES finansinės perspektyvos lėšų. Kadangi dažniausiai užduodami klausimai </w:t>
            </w:r>
            <w:r w:rsidRPr="35EB0CAB">
              <w:rPr>
                <w:rFonts w:ascii="Times New Roman" w:eastAsia="Times New Roman" w:hAnsi="Times New Roman" w:cs="Times New Roman"/>
                <w:sz w:val="24"/>
                <w:szCs w:val="24"/>
                <w:lang w:eastAsia="lt-LT"/>
              </w:rPr>
              <w:lastRenderedPageBreak/>
              <w:t>susiję su paraiškų teikimu, reikalavimais, todėl  stiprinsime komunikaciją Aplinkos ministerij</w:t>
            </w:r>
            <w:r w:rsidR="002D5B9A">
              <w:rPr>
                <w:rFonts w:ascii="Times New Roman" w:eastAsia="Times New Roman" w:hAnsi="Times New Roman" w:cs="Times New Roman"/>
                <w:sz w:val="24"/>
                <w:szCs w:val="24"/>
                <w:lang w:eastAsia="lt-LT"/>
              </w:rPr>
              <w:t>ai</w:t>
            </w:r>
            <w:r w:rsidRPr="35EB0CAB">
              <w:rPr>
                <w:rFonts w:ascii="Times New Roman" w:eastAsia="Times New Roman" w:hAnsi="Times New Roman" w:cs="Times New Roman"/>
                <w:sz w:val="24"/>
                <w:szCs w:val="24"/>
                <w:lang w:eastAsia="lt-LT"/>
              </w:rPr>
              <w:t xml:space="preserve"> (toliau – AM) pavaldžiose  agentūrose (BETA, APVA).  Pažymime, kad AM šiuo metu skiria daug dėmesio komunikacijai –  kartą per mėnesį organizuoja socialinių partnerių penktadienius, kasmet organizuoja Klimato kaitos savait</w:t>
            </w:r>
            <w:r w:rsidR="1D646D57" w:rsidRPr="35EB0CAB">
              <w:rPr>
                <w:rFonts w:ascii="Times New Roman" w:eastAsia="Times New Roman" w:hAnsi="Times New Roman" w:cs="Times New Roman"/>
                <w:sz w:val="24"/>
                <w:szCs w:val="24"/>
                <w:lang w:eastAsia="lt-LT"/>
              </w:rPr>
              <w:t>ę.</w:t>
            </w:r>
          </w:p>
        </w:tc>
      </w:tr>
      <w:tr w:rsidR="00D127CD" w:rsidRPr="00A97781" w14:paraId="1EB7F0FC" w14:textId="77777777" w:rsidTr="6BAC4A88">
        <w:tc>
          <w:tcPr>
            <w:tcW w:w="680" w:type="dxa"/>
          </w:tcPr>
          <w:p w14:paraId="74B3E25E" w14:textId="4D496200" w:rsidR="00D127CD" w:rsidRDefault="00D127CD" w:rsidP="00D87C2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1843" w:type="dxa"/>
          </w:tcPr>
          <w:p w14:paraId="340033F3" w14:textId="591A220B" w:rsidR="00D127CD" w:rsidRPr="00403CA8" w:rsidRDefault="00D127CD" w:rsidP="00D87C28">
            <w:pPr>
              <w:pStyle w:val="Standard"/>
              <w:jc w:val="both"/>
              <w:rPr>
                <w:rFonts w:ascii="Times New Roman" w:hAnsi="Times New Roman" w:cs="Times New Roman"/>
              </w:rPr>
            </w:pPr>
            <w:r w:rsidRPr="00AB13EC">
              <w:rPr>
                <w:rFonts w:ascii="Times New Roman" w:hAnsi="Times New Roman" w:cs="Times New Roman"/>
              </w:rPr>
              <w:t xml:space="preserve">Lietuvos miško ir žemės savininkų asociacijos </w:t>
            </w:r>
            <w:r>
              <w:rPr>
                <w:rFonts w:ascii="Times New Roman" w:hAnsi="Times New Roman" w:cs="Times New Roman"/>
              </w:rPr>
              <w:t xml:space="preserve">2021 m. vasario 12 d. </w:t>
            </w:r>
            <w:r w:rsidRPr="00AB13EC">
              <w:rPr>
                <w:rFonts w:ascii="Times New Roman" w:hAnsi="Times New Roman" w:cs="Times New Roman"/>
              </w:rPr>
              <w:t>el.</w:t>
            </w:r>
            <w:r>
              <w:rPr>
                <w:rFonts w:ascii="Times New Roman" w:hAnsi="Times New Roman" w:cs="Times New Roman"/>
              </w:rPr>
              <w:t xml:space="preserve"> </w:t>
            </w:r>
            <w:r w:rsidRPr="00AB13EC">
              <w:rPr>
                <w:rFonts w:ascii="Times New Roman" w:hAnsi="Times New Roman" w:cs="Times New Roman"/>
              </w:rPr>
              <w:t xml:space="preserve">laiškas </w:t>
            </w:r>
          </w:p>
        </w:tc>
        <w:tc>
          <w:tcPr>
            <w:tcW w:w="6379" w:type="dxa"/>
          </w:tcPr>
          <w:p w14:paraId="06D5B83D" w14:textId="02EE2D45" w:rsidR="00D127CD" w:rsidRPr="00403CA8" w:rsidRDefault="00D127CD" w:rsidP="00D87C28">
            <w:pPr>
              <w:pStyle w:val="Standard"/>
              <w:jc w:val="both"/>
              <w:rPr>
                <w:rFonts w:ascii="Times New Roman" w:hAnsi="Times New Roman" w:cs="Times New Roman"/>
              </w:rPr>
            </w:pPr>
            <w:r w:rsidRPr="00AB13EC">
              <w:rPr>
                <w:rFonts w:ascii="Times New Roman" w:hAnsi="Times New Roman" w:cs="Times New Roman"/>
              </w:rPr>
              <w:t>Siūl</w:t>
            </w:r>
            <w:r w:rsidR="0058354F">
              <w:rPr>
                <w:rFonts w:ascii="Times New Roman" w:hAnsi="Times New Roman" w:cs="Times New Roman"/>
              </w:rPr>
              <w:t xml:space="preserve">ymas  įtraukti į projektą </w:t>
            </w:r>
            <w:r w:rsidRPr="00AB13EC">
              <w:rPr>
                <w:rFonts w:ascii="Times New Roman" w:hAnsi="Times New Roman" w:cs="Times New Roman"/>
              </w:rPr>
              <w:t>ir CO2 absorbcinį po</w:t>
            </w:r>
            <w:r>
              <w:rPr>
                <w:rFonts w:ascii="Times New Roman" w:hAnsi="Times New Roman" w:cs="Times New Roman"/>
              </w:rPr>
              <w:t xml:space="preserve">tencialą didinančias priemones: </w:t>
            </w:r>
            <w:r w:rsidRPr="00AB13EC">
              <w:rPr>
                <w:rFonts w:ascii="Times New Roman" w:hAnsi="Times New Roman" w:cs="Times New Roman"/>
              </w:rPr>
              <w:t>naujų želdinių įveisimą, medynų produktyvumo didinimą ir skatinimo priemonę, nus</w:t>
            </w:r>
            <w:r>
              <w:rPr>
                <w:rFonts w:ascii="Times New Roman" w:hAnsi="Times New Roman" w:cs="Times New Roman"/>
              </w:rPr>
              <w:t>tatant atlygį miško savininkams ar valdytojams už CO2 absorbcijas.</w:t>
            </w:r>
          </w:p>
        </w:tc>
        <w:tc>
          <w:tcPr>
            <w:tcW w:w="6662" w:type="dxa"/>
          </w:tcPr>
          <w:p w14:paraId="3474A850" w14:textId="77777777" w:rsidR="00D127CD" w:rsidRDefault="00D127CD" w:rsidP="00D87C28">
            <w:pPr>
              <w:spacing w:after="0" w:line="240" w:lineRule="auto"/>
              <w:jc w:val="both"/>
              <w:rPr>
                <w:rFonts w:ascii="Times New Roman" w:eastAsia="Times New Roman" w:hAnsi="Times New Roman" w:cs="Times New Roman"/>
                <w:b/>
                <w:sz w:val="24"/>
                <w:szCs w:val="24"/>
                <w:lang w:eastAsia="lt-LT"/>
              </w:rPr>
            </w:pPr>
            <w:r w:rsidRPr="00474CE4">
              <w:rPr>
                <w:rFonts w:ascii="Times New Roman" w:eastAsia="Times New Roman" w:hAnsi="Times New Roman" w:cs="Times New Roman"/>
                <w:b/>
                <w:sz w:val="24"/>
                <w:szCs w:val="24"/>
                <w:lang w:eastAsia="lt-LT"/>
              </w:rPr>
              <w:t xml:space="preserve">Neatsižvelgta. </w:t>
            </w:r>
          </w:p>
          <w:p w14:paraId="5009B029" w14:textId="3E49C1DD" w:rsidR="00D127CD" w:rsidRPr="00A97781" w:rsidRDefault="302D3407" w:rsidP="00502A7F">
            <w:pPr>
              <w:spacing w:after="0" w:line="240" w:lineRule="auto"/>
              <w:jc w:val="both"/>
              <w:rPr>
                <w:rFonts w:ascii="Times New Roman" w:eastAsia="Times New Roman" w:hAnsi="Times New Roman" w:cs="Times New Roman"/>
                <w:b/>
                <w:bCs/>
                <w:sz w:val="24"/>
                <w:szCs w:val="24"/>
                <w:lang w:eastAsia="lt-LT"/>
              </w:rPr>
            </w:pPr>
            <w:r w:rsidRPr="044A5AAC">
              <w:rPr>
                <w:rFonts w:ascii="Times New Roman" w:eastAsia="Times New Roman" w:hAnsi="Times New Roman" w:cs="Times New Roman"/>
                <w:sz w:val="24"/>
                <w:szCs w:val="24"/>
                <w:lang w:eastAsia="lt-LT"/>
              </w:rPr>
              <w:t>Manome, kad CO</w:t>
            </w:r>
            <w:r w:rsidRPr="044A5AAC">
              <w:rPr>
                <w:rFonts w:ascii="Times New Roman" w:eastAsia="Times New Roman" w:hAnsi="Times New Roman" w:cs="Times New Roman"/>
                <w:sz w:val="24"/>
                <w:szCs w:val="24"/>
                <w:vertAlign w:val="subscript"/>
                <w:lang w:eastAsia="lt-LT"/>
              </w:rPr>
              <w:t>2</w:t>
            </w:r>
            <w:r w:rsidRPr="044A5AAC">
              <w:rPr>
                <w:rFonts w:ascii="Times New Roman" w:eastAsia="Times New Roman" w:hAnsi="Times New Roman" w:cs="Times New Roman"/>
                <w:sz w:val="24"/>
                <w:szCs w:val="24"/>
                <w:lang w:eastAsia="lt-LT"/>
              </w:rPr>
              <w:t xml:space="preserve"> absorbcinį potencialą didinančios priemonės yra svarbios, tačiau nacionaliniu lygiu reikia daugiau diskusijų dėl jų įgyvendinimo mechanizmo,</w:t>
            </w:r>
            <w:r w:rsidR="53E7DCDE" w:rsidRPr="044A5AAC">
              <w:rPr>
                <w:rFonts w:ascii="Times New Roman" w:eastAsia="Times New Roman" w:hAnsi="Times New Roman" w:cs="Times New Roman"/>
                <w:sz w:val="24"/>
                <w:szCs w:val="24"/>
                <w:lang w:eastAsia="lt-LT"/>
              </w:rPr>
              <w:t xml:space="preserve"> šiuo metu </w:t>
            </w:r>
            <w:r w:rsidRPr="044A5AAC">
              <w:rPr>
                <w:rFonts w:ascii="Times New Roman" w:eastAsia="Times New Roman" w:hAnsi="Times New Roman" w:cs="Times New Roman"/>
                <w:sz w:val="24"/>
                <w:szCs w:val="24"/>
                <w:lang w:eastAsia="lt-LT"/>
              </w:rPr>
              <w:t xml:space="preserve"> jų finansavimas galėtų būti svarstomas ir iš kitų programų –  BMŪRFP, </w:t>
            </w:r>
            <w:r w:rsidR="49A1CA89" w:rsidRPr="044A5AAC">
              <w:rPr>
                <w:rFonts w:ascii="Times New Roman" w:eastAsia="Times New Roman" w:hAnsi="Times New Roman" w:cs="Times New Roman"/>
                <w:sz w:val="24"/>
                <w:szCs w:val="24"/>
                <w:lang w:eastAsia="lt-LT"/>
              </w:rPr>
              <w:t>pagal kurios priemones</w:t>
            </w:r>
            <w:r w:rsidRPr="044A5AAC">
              <w:rPr>
                <w:rFonts w:ascii="Times New Roman" w:eastAsia="Times New Roman" w:hAnsi="Times New Roman" w:cs="Times New Roman"/>
                <w:sz w:val="24"/>
                <w:szCs w:val="24"/>
                <w:lang w:eastAsia="lt-LT"/>
              </w:rPr>
              <w:t xml:space="preserve"> finansuojamas miškų įveisimas</w:t>
            </w:r>
            <w:r w:rsidR="00B838A5">
              <w:rPr>
                <w:rFonts w:ascii="Times New Roman" w:eastAsia="Times New Roman" w:hAnsi="Times New Roman" w:cs="Times New Roman"/>
                <w:sz w:val="24"/>
                <w:szCs w:val="24"/>
                <w:lang w:eastAsia="lt-LT"/>
              </w:rPr>
              <w:t>,</w:t>
            </w:r>
            <w:r w:rsidRPr="044A5AAC">
              <w:rPr>
                <w:rFonts w:ascii="Times New Roman" w:eastAsia="Times New Roman" w:hAnsi="Times New Roman" w:cs="Times New Roman"/>
                <w:sz w:val="24"/>
                <w:szCs w:val="24"/>
                <w:lang w:eastAsia="lt-LT"/>
              </w:rPr>
              <w:t xml:space="preserve"> ir Kaimo plėtros programos bei ES LIFE programos</w:t>
            </w:r>
            <w:r w:rsidR="589FC359" w:rsidRPr="044A5AAC">
              <w:rPr>
                <w:rFonts w:ascii="Times New Roman" w:eastAsia="Times New Roman" w:hAnsi="Times New Roman" w:cs="Times New Roman"/>
                <w:sz w:val="24"/>
                <w:szCs w:val="24"/>
                <w:lang w:eastAsia="lt-LT"/>
              </w:rPr>
              <w:t>, kur numatomos galimybės finansuoti CO2 absorbcinį  potencialą didinančias veiklas</w:t>
            </w:r>
            <w:r w:rsidRPr="044A5AAC">
              <w:rPr>
                <w:rFonts w:ascii="Times New Roman" w:eastAsia="Times New Roman" w:hAnsi="Times New Roman" w:cs="Times New Roman"/>
                <w:sz w:val="24"/>
                <w:szCs w:val="24"/>
                <w:lang w:eastAsia="lt-LT"/>
              </w:rPr>
              <w:t>.</w:t>
            </w:r>
          </w:p>
        </w:tc>
      </w:tr>
      <w:tr w:rsidR="0002641E" w:rsidRPr="00A97781" w14:paraId="639C3291" w14:textId="77777777" w:rsidTr="6BAC4A88">
        <w:tc>
          <w:tcPr>
            <w:tcW w:w="680" w:type="dxa"/>
          </w:tcPr>
          <w:p w14:paraId="2B8092D7" w14:textId="7A4CE2A1" w:rsidR="0002641E" w:rsidRDefault="0002641E" w:rsidP="00D87C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
        </w:tc>
        <w:tc>
          <w:tcPr>
            <w:tcW w:w="1843" w:type="dxa"/>
          </w:tcPr>
          <w:p w14:paraId="7E8E0E74" w14:textId="6EA5D389" w:rsidR="0002641E" w:rsidRPr="00474CE4" w:rsidDel="0002641E" w:rsidRDefault="0002641E" w:rsidP="00FF5907">
            <w:pPr>
              <w:pStyle w:val="Standard"/>
              <w:jc w:val="both"/>
              <w:rPr>
                <w:rFonts w:ascii="Times New Roman" w:hAnsi="Times New Roman" w:cs="Times New Roman"/>
              </w:rPr>
            </w:pPr>
            <w:r>
              <w:rPr>
                <w:rFonts w:ascii="Times New Roman" w:hAnsi="Times New Roman" w:cs="Times New Roman"/>
              </w:rPr>
              <w:t xml:space="preserve">Lietuvos Respublikos kanceliarijos </w:t>
            </w:r>
            <w:r w:rsidR="00FF5907">
              <w:rPr>
                <w:rFonts w:ascii="Times New Roman" w:hAnsi="Times New Roman" w:cs="Times New Roman"/>
              </w:rPr>
              <w:t>T</w:t>
            </w:r>
            <w:r>
              <w:rPr>
                <w:rFonts w:ascii="Times New Roman" w:hAnsi="Times New Roman" w:cs="Times New Roman"/>
              </w:rPr>
              <w:t>eisės grupės 2021 m. kovo 29 d. išvada Nr. NV-577</w:t>
            </w:r>
          </w:p>
        </w:tc>
        <w:tc>
          <w:tcPr>
            <w:tcW w:w="6379" w:type="dxa"/>
          </w:tcPr>
          <w:p w14:paraId="2ACD7BDE" w14:textId="28A37773" w:rsidR="0002641E" w:rsidDel="0002641E" w:rsidRDefault="00145A1A" w:rsidP="00D87C28">
            <w:pPr>
              <w:pStyle w:val="Standard"/>
              <w:jc w:val="both"/>
              <w:rPr>
                <w:rFonts w:ascii="Times New Roman" w:hAnsi="Times New Roman" w:cs="Times New Roman"/>
              </w:rPr>
            </w:pPr>
            <w:r>
              <w:rPr>
                <w:rFonts w:ascii="Times New Roman" w:hAnsi="Times New Roman" w:cs="Times New Roman"/>
              </w:rPr>
              <w:t>Teikiamoje</w:t>
            </w:r>
            <w:r w:rsidR="0002641E">
              <w:rPr>
                <w:rFonts w:ascii="Times New Roman" w:hAnsi="Times New Roman" w:cs="Times New Roman"/>
              </w:rPr>
              <w:t xml:space="preserve"> </w:t>
            </w:r>
            <w:r w:rsidR="0034336E">
              <w:rPr>
                <w:rFonts w:ascii="Times New Roman" w:hAnsi="Times New Roman" w:cs="Times New Roman"/>
              </w:rPr>
              <w:t>išvadoje</w:t>
            </w:r>
            <w:r>
              <w:rPr>
                <w:rFonts w:ascii="Times New Roman" w:hAnsi="Times New Roman" w:cs="Times New Roman"/>
              </w:rPr>
              <w:t xml:space="preserve"> siūloma</w:t>
            </w:r>
            <w:r w:rsidR="0002641E">
              <w:rPr>
                <w:rFonts w:ascii="Times New Roman" w:hAnsi="Times New Roman" w:cs="Times New Roman"/>
              </w:rPr>
              <w:t xml:space="preserve"> tvirtinti 2021 m. metines Klimato kaitos programos sąmatas ir ataskaitas aplinkos ministro įsakymu, o ne LR Vyriausybės nutarimu. Ta</w:t>
            </w:r>
            <w:r>
              <w:rPr>
                <w:rFonts w:ascii="Times New Roman" w:hAnsi="Times New Roman" w:cs="Times New Roman"/>
              </w:rPr>
              <w:t>ip pat siūloma, kad Vyriausybė nutarimu turi tvirtinti detalias priemones sąmato</w:t>
            </w:r>
            <w:r w:rsidR="0034336E">
              <w:rPr>
                <w:rFonts w:ascii="Times New Roman" w:hAnsi="Times New Roman" w:cs="Times New Roman"/>
              </w:rPr>
              <w:t xml:space="preserve">je, o ne stambesnes </w:t>
            </w:r>
            <w:r w:rsidR="00302107">
              <w:rPr>
                <w:rFonts w:ascii="Times New Roman" w:hAnsi="Times New Roman" w:cs="Times New Roman"/>
              </w:rPr>
              <w:t>lėšų panaudojimo</w:t>
            </w:r>
            <w:r w:rsidR="0034336E">
              <w:rPr>
                <w:rFonts w:ascii="Times New Roman" w:hAnsi="Times New Roman" w:cs="Times New Roman"/>
              </w:rPr>
              <w:t xml:space="preserve"> </w:t>
            </w:r>
            <w:r w:rsidR="00302107">
              <w:rPr>
                <w:rFonts w:ascii="Times New Roman" w:hAnsi="Times New Roman" w:cs="Times New Roman"/>
              </w:rPr>
              <w:t>sritis</w:t>
            </w:r>
            <w:r>
              <w:rPr>
                <w:rFonts w:ascii="Times New Roman" w:hAnsi="Times New Roman" w:cs="Times New Roman"/>
              </w:rPr>
              <w:t>, kadangi aplinkos ministras neturi teisinių įgaliojimų tvirtinti įsakymu detalesnių finansavimo priemonių</w:t>
            </w:r>
            <w:r w:rsidR="0034336E">
              <w:rPr>
                <w:rFonts w:ascii="Times New Roman" w:hAnsi="Times New Roman" w:cs="Times New Roman"/>
              </w:rPr>
              <w:t xml:space="preserve"> ir finansavimo sąlygų.</w:t>
            </w:r>
          </w:p>
        </w:tc>
        <w:tc>
          <w:tcPr>
            <w:tcW w:w="6662" w:type="dxa"/>
          </w:tcPr>
          <w:p w14:paraId="688B9A76" w14:textId="77777777" w:rsidR="0002641E" w:rsidRDefault="0002641E" w:rsidP="00D87C28">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Iš dalies atsižvelgta.</w:t>
            </w:r>
          </w:p>
          <w:p w14:paraId="43D0F24F" w14:textId="6BEB5F7B" w:rsidR="0002641E" w:rsidRDefault="0002641E" w:rsidP="00D87C28">
            <w:pPr>
              <w:spacing w:after="0" w:line="240" w:lineRule="auto"/>
              <w:jc w:val="both"/>
              <w:rPr>
                <w:rFonts w:ascii="Times New Roman" w:eastAsia="Times New Roman" w:hAnsi="Times New Roman" w:cs="Times New Roman"/>
                <w:sz w:val="24"/>
                <w:szCs w:val="24"/>
                <w:lang w:eastAsia="lt-LT"/>
              </w:rPr>
            </w:pPr>
            <w:r w:rsidRPr="66305DF1">
              <w:rPr>
                <w:rFonts w:ascii="Times New Roman" w:eastAsia="Times New Roman" w:hAnsi="Times New Roman" w:cs="Times New Roman"/>
                <w:sz w:val="24"/>
                <w:szCs w:val="24"/>
                <w:lang w:eastAsia="lt-LT"/>
              </w:rPr>
              <w:t>Aplinkos ministerija šiuo metu rengia Klimato kaitos valdymo finansinių instrumentų įstatymo 10 str. 4 dalies</w:t>
            </w:r>
            <w:r w:rsidR="3C6B6BE3" w:rsidRPr="66305DF1">
              <w:rPr>
                <w:rFonts w:ascii="Times New Roman" w:eastAsia="Times New Roman" w:hAnsi="Times New Roman" w:cs="Times New Roman"/>
                <w:sz w:val="24"/>
                <w:szCs w:val="24"/>
                <w:lang w:eastAsia="lt-LT"/>
              </w:rPr>
              <w:t xml:space="preserve"> nuostatų</w:t>
            </w:r>
            <w:r w:rsidRPr="66305DF1">
              <w:rPr>
                <w:rFonts w:ascii="Times New Roman" w:eastAsia="Times New Roman" w:hAnsi="Times New Roman" w:cs="Times New Roman"/>
                <w:sz w:val="24"/>
                <w:szCs w:val="24"/>
                <w:lang w:eastAsia="lt-LT"/>
              </w:rPr>
              <w:t xml:space="preserve"> keitimo projektą, kuriame bus numatomas kitoks Klimato kaitos programos</w:t>
            </w:r>
            <w:r w:rsidR="009D5AF3" w:rsidRPr="66305DF1">
              <w:rPr>
                <w:rFonts w:ascii="Times New Roman" w:eastAsia="Times New Roman" w:hAnsi="Times New Roman" w:cs="Times New Roman"/>
                <w:sz w:val="24"/>
                <w:szCs w:val="24"/>
                <w:lang w:eastAsia="lt-LT"/>
              </w:rPr>
              <w:t xml:space="preserve"> sąmatų</w:t>
            </w:r>
            <w:r w:rsidRPr="66305DF1">
              <w:rPr>
                <w:rFonts w:ascii="Times New Roman" w:eastAsia="Times New Roman" w:hAnsi="Times New Roman" w:cs="Times New Roman"/>
                <w:sz w:val="24"/>
                <w:szCs w:val="24"/>
                <w:lang w:eastAsia="lt-LT"/>
              </w:rPr>
              <w:t xml:space="preserve"> rengimo ir tvirtinimo procesas. Siūlysime optimizuoti procesą, taip sumažinant teikiamų tv</w:t>
            </w:r>
            <w:r w:rsidR="00145A1A" w:rsidRPr="66305DF1">
              <w:rPr>
                <w:rFonts w:ascii="Times New Roman" w:eastAsia="Times New Roman" w:hAnsi="Times New Roman" w:cs="Times New Roman"/>
                <w:sz w:val="24"/>
                <w:szCs w:val="24"/>
                <w:lang w:eastAsia="lt-LT"/>
              </w:rPr>
              <w:t>i</w:t>
            </w:r>
            <w:r w:rsidRPr="66305DF1">
              <w:rPr>
                <w:rFonts w:ascii="Times New Roman" w:eastAsia="Times New Roman" w:hAnsi="Times New Roman" w:cs="Times New Roman"/>
                <w:sz w:val="24"/>
                <w:szCs w:val="24"/>
                <w:lang w:eastAsia="lt-LT"/>
              </w:rPr>
              <w:t>rtinimui dokumentų LR Vyria</w:t>
            </w:r>
            <w:r w:rsidR="00E26C3F" w:rsidRPr="66305DF1">
              <w:rPr>
                <w:rFonts w:ascii="Times New Roman" w:eastAsia="Times New Roman" w:hAnsi="Times New Roman" w:cs="Times New Roman"/>
                <w:sz w:val="24"/>
                <w:szCs w:val="24"/>
                <w:lang w:eastAsia="lt-LT"/>
              </w:rPr>
              <w:t>usybei</w:t>
            </w:r>
            <w:r w:rsidRPr="66305DF1">
              <w:rPr>
                <w:rFonts w:ascii="Times New Roman" w:eastAsia="Times New Roman" w:hAnsi="Times New Roman" w:cs="Times New Roman"/>
                <w:sz w:val="24"/>
                <w:szCs w:val="24"/>
                <w:lang w:eastAsia="lt-LT"/>
              </w:rPr>
              <w:t xml:space="preserve"> kiekį.</w:t>
            </w:r>
          </w:p>
          <w:p w14:paraId="2C1333BA" w14:textId="0DE64A12" w:rsidR="00145A1A" w:rsidRPr="0034336E" w:rsidRDefault="00145A1A" w:rsidP="00D87C28">
            <w:pPr>
              <w:spacing w:after="0" w:line="240" w:lineRule="auto"/>
              <w:jc w:val="both"/>
              <w:rPr>
                <w:rFonts w:ascii="Times New Roman" w:eastAsia="Times New Roman" w:hAnsi="Times New Roman" w:cs="Times New Roman"/>
                <w:sz w:val="24"/>
                <w:szCs w:val="24"/>
                <w:lang w:eastAsia="lt-LT"/>
              </w:rPr>
            </w:pPr>
            <w:r w:rsidRPr="66305DF1">
              <w:rPr>
                <w:rFonts w:ascii="Times New Roman" w:eastAsia="Times New Roman" w:hAnsi="Times New Roman" w:cs="Times New Roman"/>
                <w:sz w:val="24"/>
                <w:szCs w:val="24"/>
                <w:lang w:eastAsia="lt-LT"/>
              </w:rPr>
              <w:t>Aplinkos ministras</w:t>
            </w:r>
            <w:r w:rsidR="004F32D6">
              <w:rPr>
                <w:rFonts w:ascii="Times New Roman" w:eastAsia="Times New Roman" w:hAnsi="Times New Roman" w:cs="Times New Roman"/>
                <w:sz w:val="24"/>
                <w:szCs w:val="24"/>
                <w:lang w:eastAsia="lt-LT"/>
              </w:rPr>
              <w:t>,</w:t>
            </w:r>
            <w:r w:rsidRPr="66305DF1">
              <w:rPr>
                <w:rFonts w:ascii="Times New Roman" w:eastAsia="Times New Roman" w:hAnsi="Times New Roman" w:cs="Times New Roman"/>
                <w:sz w:val="24"/>
                <w:szCs w:val="24"/>
                <w:lang w:eastAsia="lt-LT"/>
              </w:rPr>
              <w:t xml:space="preserve"> </w:t>
            </w:r>
            <w:r w:rsidR="004D34CE">
              <w:rPr>
                <w:rFonts w:ascii="Times New Roman" w:eastAsia="Times New Roman" w:hAnsi="Times New Roman" w:cs="Times New Roman"/>
                <w:sz w:val="24"/>
                <w:szCs w:val="24"/>
                <w:lang w:eastAsia="lt-LT"/>
              </w:rPr>
              <w:t xml:space="preserve">kaip asignavimų valdytojas, </w:t>
            </w:r>
            <w:r w:rsidRPr="66305DF1">
              <w:rPr>
                <w:rFonts w:ascii="Times New Roman" w:eastAsia="Times New Roman" w:hAnsi="Times New Roman" w:cs="Times New Roman"/>
                <w:sz w:val="24"/>
                <w:szCs w:val="24"/>
                <w:lang w:eastAsia="lt-LT"/>
              </w:rPr>
              <w:t xml:space="preserve">savo įsakymu tvirtindamas detalesnes </w:t>
            </w:r>
            <w:r w:rsidR="4D9596E5" w:rsidRPr="66305DF1">
              <w:rPr>
                <w:rFonts w:ascii="Times New Roman" w:eastAsia="Times New Roman" w:hAnsi="Times New Roman" w:cs="Times New Roman"/>
                <w:sz w:val="24"/>
                <w:szCs w:val="24"/>
                <w:lang w:eastAsia="lt-LT"/>
              </w:rPr>
              <w:t xml:space="preserve">sąmatos </w:t>
            </w:r>
            <w:r w:rsidRPr="66305DF1">
              <w:rPr>
                <w:rFonts w:ascii="Times New Roman" w:eastAsia="Times New Roman" w:hAnsi="Times New Roman" w:cs="Times New Roman"/>
                <w:sz w:val="24"/>
                <w:szCs w:val="24"/>
                <w:lang w:eastAsia="lt-LT"/>
              </w:rPr>
              <w:t>priemones su konkretizuotomis finansavimo sąlygomi</w:t>
            </w:r>
            <w:r w:rsidR="004D34CE">
              <w:rPr>
                <w:rFonts w:ascii="Times New Roman" w:eastAsia="Times New Roman" w:hAnsi="Times New Roman" w:cs="Times New Roman"/>
                <w:sz w:val="24"/>
                <w:szCs w:val="24"/>
                <w:lang w:eastAsia="lt-LT"/>
              </w:rPr>
              <w:t xml:space="preserve">s ir kvietimų grafiku neviršytų </w:t>
            </w:r>
            <w:bookmarkStart w:id="0" w:name="_GoBack"/>
            <w:bookmarkEnd w:id="0"/>
            <w:r w:rsidRPr="66305DF1">
              <w:rPr>
                <w:rFonts w:ascii="Times New Roman" w:eastAsia="Times New Roman" w:hAnsi="Times New Roman" w:cs="Times New Roman"/>
                <w:sz w:val="24"/>
                <w:szCs w:val="24"/>
                <w:lang w:eastAsia="lt-LT"/>
              </w:rPr>
              <w:t xml:space="preserve">savo įgaliojimų, nes detalesnės priemonės savo esme ir tikslu atitiktų LR Vyriausybės tvirtinamas stambesnes </w:t>
            </w:r>
            <w:r w:rsidR="00A87E48">
              <w:rPr>
                <w:rFonts w:ascii="Times New Roman" w:eastAsia="Times New Roman" w:hAnsi="Times New Roman" w:cs="Times New Roman"/>
                <w:sz w:val="24"/>
                <w:szCs w:val="24"/>
                <w:lang w:eastAsia="lt-LT"/>
              </w:rPr>
              <w:t>lėšų panaudojimo sritis</w:t>
            </w:r>
            <w:r w:rsidRPr="66305DF1">
              <w:rPr>
                <w:rFonts w:ascii="Times New Roman" w:eastAsia="Times New Roman" w:hAnsi="Times New Roman" w:cs="Times New Roman"/>
                <w:sz w:val="24"/>
                <w:szCs w:val="24"/>
                <w:lang w:eastAsia="lt-LT"/>
              </w:rPr>
              <w:t>.</w:t>
            </w:r>
          </w:p>
          <w:p w14:paraId="2815B3B7" w14:textId="4D4198B1" w:rsidR="0002641E" w:rsidRPr="00474CE4" w:rsidDel="0002641E" w:rsidRDefault="0002641E" w:rsidP="00D87C28">
            <w:pPr>
              <w:spacing w:after="0" w:line="240" w:lineRule="auto"/>
              <w:jc w:val="both"/>
              <w:rPr>
                <w:rFonts w:ascii="Times New Roman" w:eastAsia="Times New Roman" w:hAnsi="Times New Roman" w:cs="Times New Roman"/>
                <w:b/>
                <w:sz w:val="24"/>
                <w:szCs w:val="24"/>
                <w:lang w:eastAsia="lt-LT"/>
              </w:rPr>
            </w:pPr>
          </w:p>
        </w:tc>
      </w:tr>
      <w:tr w:rsidR="0002641E" w:rsidRPr="00A97781" w14:paraId="3FAA93C2" w14:textId="77777777" w:rsidTr="6BAC4A88">
        <w:tc>
          <w:tcPr>
            <w:tcW w:w="680" w:type="dxa"/>
          </w:tcPr>
          <w:p w14:paraId="3B04883F" w14:textId="4B262913" w:rsidR="0002641E" w:rsidRDefault="4E051698" w:rsidP="00D87C28">
            <w:pPr>
              <w:spacing w:line="240" w:lineRule="auto"/>
              <w:jc w:val="both"/>
              <w:rPr>
                <w:rFonts w:ascii="Times New Roman" w:hAnsi="Times New Roman" w:cs="Times New Roman"/>
                <w:sz w:val="24"/>
                <w:szCs w:val="24"/>
              </w:rPr>
            </w:pPr>
            <w:r w:rsidRPr="6BAC4A88">
              <w:rPr>
                <w:rFonts w:ascii="Times New Roman" w:hAnsi="Times New Roman" w:cs="Times New Roman"/>
                <w:sz w:val="24"/>
                <w:szCs w:val="24"/>
              </w:rPr>
              <w:t>7.</w:t>
            </w:r>
          </w:p>
        </w:tc>
        <w:tc>
          <w:tcPr>
            <w:tcW w:w="1843" w:type="dxa"/>
          </w:tcPr>
          <w:p w14:paraId="37EBB0B4" w14:textId="59C0AFEF" w:rsidR="0002641E" w:rsidRDefault="0002641E" w:rsidP="00960C84">
            <w:pPr>
              <w:pStyle w:val="Standard"/>
              <w:jc w:val="both"/>
              <w:rPr>
                <w:rFonts w:ascii="Times New Roman" w:hAnsi="Times New Roman" w:cs="Times New Roman"/>
              </w:rPr>
            </w:pPr>
            <w:r>
              <w:rPr>
                <w:rFonts w:ascii="Times New Roman" w:hAnsi="Times New Roman" w:cs="Times New Roman"/>
              </w:rPr>
              <w:t xml:space="preserve">Lietuvos Respublikos kanceliarijos </w:t>
            </w:r>
            <w:r w:rsidR="00960C84">
              <w:rPr>
                <w:rFonts w:ascii="Times New Roman" w:hAnsi="Times New Roman" w:cs="Times New Roman"/>
              </w:rPr>
              <w:t>T</w:t>
            </w:r>
            <w:r>
              <w:rPr>
                <w:rFonts w:ascii="Times New Roman" w:hAnsi="Times New Roman" w:cs="Times New Roman"/>
              </w:rPr>
              <w:t xml:space="preserve">eisės grupės 2021 m. kovo 29 </w:t>
            </w:r>
            <w:r>
              <w:rPr>
                <w:rFonts w:ascii="Times New Roman" w:hAnsi="Times New Roman" w:cs="Times New Roman"/>
              </w:rPr>
              <w:lastRenderedPageBreak/>
              <w:t>d. išvada Nr. NV-577</w:t>
            </w:r>
          </w:p>
        </w:tc>
        <w:tc>
          <w:tcPr>
            <w:tcW w:w="6379" w:type="dxa"/>
          </w:tcPr>
          <w:p w14:paraId="67E6BEBB" w14:textId="01959FDC" w:rsidR="0002641E" w:rsidRDefault="00145A1A" w:rsidP="00D87C28">
            <w:pPr>
              <w:pStyle w:val="Standard"/>
              <w:jc w:val="both"/>
              <w:rPr>
                <w:rFonts w:ascii="Times New Roman" w:hAnsi="Times New Roman" w:cs="Times New Roman"/>
              </w:rPr>
            </w:pPr>
            <w:r>
              <w:lastRenderedPageBreak/>
              <w:t xml:space="preserve">Projektu tvirtinamos Klimato kaitos programos lėšų naudojimo 2021 m. sąmatą, pažymėtina, kad kam galėtų būti panaudotos programos lėšos yra įtvirtinta Klimato kaitos valdymo finansinių instrumentų įstatymo 10 straipsnio 3 dalyje. Atsižvelgiant į tai, svarstytina, ar nurodyto įstatymo 10 </w:t>
            </w:r>
            <w:r>
              <w:lastRenderedPageBreak/>
              <w:t>straipsnio 3 dalies 1 punkte apibrėžta lėšų panaudojimo paskirtis dera su Projekte siekiama nustatyti lėšų panaudojimo paskirtimi, pvz. juridinių asmenų pastatų atnaujinimas (modernizavimas), kas suponuoja šios priemonės finansavimą visiems juridiniams asmenims, kas atitinkamai nebūtų tikslu pagal nurodyto įstatymo papunktį, t. y. nustatantį, kad programos lėšos naudojamos „energijos vartojimo ir gamybos efektyvumo didinimo projektams: gyvenamiesiems namams ir visuomeninės paskirties pastatams modernizuoti, kitiems projektams, kurie leidžia efektyviausiai sumažinti išmetamų šiltnamio efektą sukeliančių dujų kiekį energetikos, pramonės, statybos, transporto, žemės ūkio, atliekų tvarkymo ir kitose srityse, įgyvendinti“ – t. y. įstatymas 3 akcentuoja objektus ir siekiamą rezultatą, bet ne subjektus. Analogiškai turėtų būti įvertinta sąmatos priemonė, nurodyta 1.2.5. papunktyje ir jos apribojimas (juridiniai asmenys).</w:t>
            </w:r>
          </w:p>
        </w:tc>
        <w:tc>
          <w:tcPr>
            <w:tcW w:w="6662" w:type="dxa"/>
          </w:tcPr>
          <w:p w14:paraId="3D337DC3" w14:textId="77777777" w:rsidR="0002641E" w:rsidRDefault="00145A1A" w:rsidP="00D87C28">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Iš dalies atsižvelgta.</w:t>
            </w:r>
          </w:p>
          <w:p w14:paraId="5393996D" w14:textId="0CB2F64A" w:rsidR="000E0ACF" w:rsidRPr="009D5AF3" w:rsidRDefault="00106E8E" w:rsidP="00D87C28">
            <w:pPr>
              <w:spacing w:after="0" w:line="240" w:lineRule="auto"/>
              <w:jc w:val="both"/>
              <w:rPr>
                <w:rFonts w:ascii="Times New Roman" w:eastAsia="Times New Roman" w:hAnsi="Times New Roman" w:cs="Times New Roman"/>
                <w:sz w:val="24"/>
                <w:szCs w:val="24"/>
                <w:lang w:eastAsia="lt-LT"/>
              </w:rPr>
            </w:pPr>
            <w:r w:rsidRPr="66305DF1">
              <w:rPr>
                <w:rFonts w:ascii="Times New Roman" w:eastAsia="Times New Roman" w:hAnsi="Times New Roman" w:cs="Times New Roman"/>
                <w:sz w:val="24"/>
                <w:szCs w:val="24"/>
                <w:lang w:eastAsia="lt-LT"/>
              </w:rPr>
              <w:t xml:space="preserve">Projektu tvirtinamoje sąmatoje nurodytos priemonės savo esme ir </w:t>
            </w:r>
            <w:r w:rsidR="62FB5D8C" w:rsidRPr="66305DF1">
              <w:rPr>
                <w:rFonts w:ascii="Times New Roman" w:eastAsia="Times New Roman" w:hAnsi="Times New Roman" w:cs="Times New Roman"/>
                <w:sz w:val="24"/>
                <w:szCs w:val="24"/>
                <w:lang w:eastAsia="lt-LT"/>
              </w:rPr>
              <w:t xml:space="preserve">siektinais </w:t>
            </w:r>
            <w:r w:rsidRPr="66305DF1">
              <w:rPr>
                <w:rFonts w:ascii="Times New Roman" w:eastAsia="Times New Roman" w:hAnsi="Times New Roman" w:cs="Times New Roman"/>
                <w:sz w:val="24"/>
                <w:szCs w:val="24"/>
                <w:lang w:eastAsia="lt-LT"/>
              </w:rPr>
              <w:t>rezultatais atitinka įstatymo 10 st</w:t>
            </w:r>
            <w:r w:rsidR="00E26C3F" w:rsidRPr="66305DF1">
              <w:rPr>
                <w:rFonts w:ascii="Times New Roman" w:eastAsia="Times New Roman" w:hAnsi="Times New Roman" w:cs="Times New Roman"/>
                <w:sz w:val="24"/>
                <w:szCs w:val="24"/>
                <w:lang w:eastAsia="lt-LT"/>
              </w:rPr>
              <w:t>raipsnio</w:t>
            </w:r>
            <w:r w:rsidRPr="66305DF1">
              <w:rPr>
                <w:rFonts w:ascii="Times New Roman" w:eastAsia="Times New Roman" w:hAnsi="Times New Roman" w:cs="Times New Roman"/>
                <w:sz w:val="24"/>
                <w:szCs w:val="24"/>
                <w:lang w:eastAsia="lt-LT"/>
              </w:rPr>
              <w:t xml:space="preserve"> 3 dalyje nurodytas lėšų panaudojimo sritis. Planuojamos priemonės ir joms skiriamas finansavimas bus nukreiptas į įstatyme nurodytų </w:t>
            </w:r>
            <w:r w:rsidR="00302107">
              <w:rPr>
                <w:rFonts w:ascii="Times New Roman" w:eastAsia="Times New Roman" w:hAnsi="Times New Roman" w:cs="Times New Roman"/>
                <w:sz w:val="24"/>
                <w:szCs w:val="24"/>
                <w:lang w:eastAsia="lt-LT"/>
              </w:rPr>
              <w:lastRenderedPageBreak/>
              <w:t>sektorių ir objektų</w:t>
            </w:r>
            <w:r w:rsidR="1B39AC5A" w:rsidRPr="66305DF1">
              <w:rPr>
                <w:rFonts w:ascii="Times New Roman" w:eastAsia="Times New Roman" w:hAnsi="Times New Roman" w:cs="Times New Roman"/>
                <w:sz w:val="24"/>
                <w:szCs w:val="24"/>
                <w:lang w:eastAsia="lt-LT"/>
              </w:rPr>
              <w:t xml:space="preserve"> tobulinimą</w:t>
            </w:r>
            <w:r w:rsidRPr="66305DF1">
              <w:rPr>
                <w:rFonts w:ascii="Times New Roman" w:eastAsia="Times New Roman" w:hAnsi="Times New Roman" w:cs="Times New Roman"/>
                <w:sz w:val="24"/>
                <w:szCs w:val="24"/>
                <w:lang w:eastAsia="lt-LT"/>
              </w:rPr>
              <w:t xml:space="preserve"> ir </w:t>
            </w:r>
            <w:r w:rsidR="009D5AF3" w:rsidRPr="66305DF1">
              <w:rPr>
                <w:rFonts w:ascii="Times New Roman" w:eastAsia="Times New Roman" w:hAnsi="Times New Roman" w:cs="Times New Roman"/>
                <w:sz w:val="24"/>
                <w:szCs w:val="24"/>
                <w:lang w:eastAsia="lt-LT"/>
              </w:rPr>
              <w:t xml:space="preserve">klimato kaitos </w:t>
            </w:r>
            <w:r w:rsidRPr="66305DF1">
              <w:rPr>
                <w:rFonts w:ascii="Times New Roman" w:eastAsia="Times New Roman" w:hAnsi="Times New Roman" w:cs="Times New Roman"/>
                <w:sz w:val="24"/>
                <w:szCs w:val="24"/>
                <w:lang w:eastAsia="lt-LT"/>
              </w:rPr>
              <w:t>poveikio jose mažinimą. Siūlomų priemonių išskyrimas į subjektus, o ne objektus yra svarbus, kadangi finansavimo sąlygos ir kriterijai</w:t>
            </w:r>
            <w:r w:rsidR="009D5AF3" w:rsidRPr="66305DF1">
              <w:rPr>
                <w:rFonts w:ascii="Times New Roman" w:eastAsia="Times New Roman" w:hAnsi="Times New Roman" w:cs="Times New Roman"/>
                <w:sz w:val="24"/>
                <w:szCs w:val="24"/>
                <w:lang w:eastAsia="lt-LT"/>
              </w:rPr>
              <w:t>, paramos intensyvumas</w:t>
            </w:r>
            <w:r w:rsidRPr="66305DF1">
              <w:rPr>
                <w:rFonts w:ascii="Times New Roman" w:eastAsia="Times New Roman" w:hAnsi="Times New Roman" w:cs="Times New Roman"/>
                <w:sz w:val="24"/>
                <w:szCs w:val="24"/>
                <w:lang w:eastAsia="lt-LT"/>
              </w:rPr>
              <w:t xml:space="preserve"> yra skirtingi juridiniams ir fiziniams asmenims.</w:t>
            </w:r>
          </w:p>
          <w:p w14:paraId="1A3007DE" w14:textId="3CD7C87F" w:rsidR="00145A1A" w:rsidRDefault="00145A1A" w:rsidP="00D87C28">
            <w:pPr>
              <w:spacing w:after="0" w:line="240" w:lineRule="auto"/>
              <w:jc w:val="both"/>
              <w:rPr>
                <w:rFonts w:ascii="Times New Roman" w:eastAsia="Times New Roman" w:hAnsi="Times New Roman" w:cs="Times New Roman"/>
                <w:b/>
                <w:sz w:val="24"/>
                <w:szCs w:val="24"/>
                <w:lang w:eastAsia="lt-LT"/>
              </w:rPr>
            </w:pPr>
          </w:p>
        </w:tc>
      </w:tr>
      <w:tr w:rsidR="0002641E" w:rsidRPr="00A97781" w14:paraId="3536ACEB" w14:textId="77777777" w:rsidTr="6BAC4A88">
        <w:tc>
          <w:tcPr>
            <w:tcW w:w="680" w:type="dxa"/>
          </w:tcPr>
          <w:p w14:paraId="0EF0DEDD" w14:textId="4E417C29" w:rsidR="0002641E" w:rsidRDefault="0DF58E7E" w:rsidP="00D87C28">
            <w:pPr>
              <w:spacing w:line="240" w:lineRule="auto"/>
              <w:jc w:val="both"/>
              <w:rPr>
                <w:rFonts w:ascii="Times New Roman" w:hAnsi="Times New Roman" w:cs="Times New Roman"/>
                <w:sz w:val="24"/>
                <w:szCs w:val="24"/>
              </w:rPr>
            </w:pPr>
            <w:r w:rsidRPr="6BAC4A88">
              <w:rPr>
                <w:rFonts w:ascii="Times New Roman" w:hAnsi="Times New Roman" w:cs="Times New Roman"/>
                <w:sz w:val="24"/>
                <w:szCs w:val="24"/>
              </w:rPr>
              <w:lastRenderedPageBreak/>
              <w:t>8.</w:t>
            </w:r>
          </w:p>
        </w:tc>
        <w:tc>
          <w:tcPr>
            <w:tcW w:w="1843" w:type="dxa"/>
          </w:tcPr>
          <w:p w14:paraId="49A278A9" w14:textId="5707B166" w:rsidR="0002641E" w:rsidRDefault="0002641E" w:rsidP="00C8516F">
            <w:pPr>
              <w:pStyle w:val="Standard"/>
              <w:jc w:val="both"/>
              <w:rPr>
                <w:rFonts w:ascii="Times New Roman" w:hAnsi="Times New Roman" w:cs="Times New Roman"/>
              </w:rPr>
            </w:pPr>
            <w:r>
              <w:rPr>
                <w:rFonts w:ascii="Times New Roman" w:hAnsi="Times New Roman" w:cs="Times New Roman"/>
              </w:rPr>
              <w:t xml:space="preserve">Lietuvos Respublikos kanceliarijos </w:t>
            </w:r>
            <w:r w:rsidR="00C8516F">
              <w:rPr>
                <w:rFonts w:ascii="Times New Roman" w:hAnsi="Times New Roman" w:cs="Times New Roman"/>
              </w:rPr>
              <w:t>T</w:t>
            </w:r>
            <w:r>
              <w:rPr>
                <w:rFonts w:ascii="Times New Roman" w:hAnsi="Times New Roman" w:cs="Times New Roman"/>
              </w:rPr>
              <w:t>eisės grupės 2021 m. kovo 29 d. išvada Nr. NV-577</w:t>
            </w:r>
          </w:p>
        </w:tc>
        <w:tc>
          <w:tcPr>
            <w:tcW w:w="6379" w:type="dxa"/>
          </w:tcPr>
          <w:p w14:paraId="78FBC3F5" w14:textId="4A8C2155" w:rsidR="0002641E" w:rsidRDefault="00145A1A" w:rsidP="00D87C28">
            <w:pPr>
              <w:pStyle w:val="Standard"/>
              <w:jc w:val="both"/>
              <w:rPr>
                <w:rFonts w:ascii="Times New Roman" w:hAnsi="Times New Roman" w:cs="Times New Roman"/>
              </w:rPr>
            </w:pPr>
            <w:r w:rsidRPr="00145A1A">
              <w:rPr>
                <w:rFonts w:ascii="Times New Roman" w:hAnsi="Times New Roman" w:cs="Times New Roman"/>
              </w:rPr>
              <w:t>Svarstytina, ar neturėtų būti aiškiau įvardytos sąmatos 2.1 papunktyje nurodytos „kitos priemonės“ arba pateiktas (nurodytas) jų baigtinis sąrašas.</w:t>
            </w:r>
          </w:p>
        </w:tc>
        <w:tc>
          <w:tcPr>
            <w:tcW w:w="6662" w:type="dxa"/>
          </w:tcPr>
          <w:p w14:paraId="1605C715" w14:textId="77777777" w:rsidR="0002641E" w:rsidRDefault="000E0ACF" w:rsidP="00D87C28">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Neatsižvelgta.</w:t>
            </w:r>
          </w:p>
          <w:p w14:paraId="34A4A96D" w14:textId="3A114FAB" w:rsidR="00106E8E" w:rsidRPr="0034336E" w:rsidRDefault="00106E8E" w:rsidP="00D87C28">
            <w:pPr>
              <w:spacing w:after="0" w:line="240" w:lineRule="auto"/>
              <w:jc w:val="both"/>
              <w:rPr>
                <w:rFonts w:ascii="Times New Roman" w:eastAsia="Times New Roman" w:hAnsi="Times New Roman" w:cs="Times New Roman"/>
                <w:sz w:val="24"/>
                <w:szCs w:val="24"/>
                <w:lang w:eastAsia="lt-LT"/>
              </w:rPr>
            </w:pPr>
            <w:r w:rsidRPr="66305DF1">
              <w:rPr>
                <w:rFonts w:ascii="Times New Roman" w:eastAsia="Times New Roman" w:hAnsi="Times New Roman" w:cs="Times New Roman"/>
                <w:sz w:val="24"/>
                <w:szCs w:val="24"/>
                <w:lang w:eastAsia="lt-LT"/>
              </w:rPr>
              <w:t xml:space="preserve">Manome, kad šių priemonių detalizavimas būtų perteklinis ir per daug </w:t>
            </w:r>
            <w:r w:rsidR="009D5AF3" w:rsidRPr="66305DF1">
              <w:rPr>
                <w:rFonts w:ascii="Times New Roman" w:eastAsia="Times New Roman" w:hAnsi="Times New Roman" w:cs="Times New Roman"/>
                <w:sz w:val="24"/>
                <w:szCs w:val="24"/>
                <w:lang w:eastAsia="lt-LT"/>
              </w:rPr>
              <w:t xml:space="preserve">techninio ir </w:t>
            </w:r>
            <w:r w:rsidRPr="66305DF1">
              <w:rPr>
                <w:rFonts w:ascii="Times New Roman" w:eastAsia="Times New Roman" w:hAnsi="Times New Roman" w:cs="Times New Roman"/>
                <w:sz w:val="24"/>
                <w:szCs w:val="24"/>
                <w:lang w:eastAsia="lt-LT"/>
              </w:rPr>
              <w:t xml:space="preserve">administracinio pobūdžio, kadangi šioje priemonėje finansuojamos programos administravimo išlaidos (atlyginimai, </w:t>
            </w:r>
            <w:r w:rsidR="3B787117" w:rsidRPr="66305DF1">
              <w:rPr>
                <w:rFonts w:ascii="Times New Roman" w:eastAsia="Times New Roman" w:hAnsi="Times New Roman" w:cs="Times New Roman"/>
                <w:sz w:val="24"/>
                <w:szCs w:val="24"/>
                <w:lang w:eastAsia="lt-LT"/>
              </w:rPr>
              <w:t xml:space="preserve">analizių rengimas, </w:t>
            </w:r>
            <w:r w:rsidRPr="66305DF1">
              <w:rPr>
                <w:rFonts w:ascii="Times New Roman" w:eastAsia="Times New Roman" w:hAnsi="Times New Roman" w:cs="Times New Roman"/>
                <w:sz w:val="24"/>
                <w:szCs w:val="24"/>
                <w:lang w:eastAsia="lt-LT"/>
              </w:rPr>
              <w:t>kitos administravimo išlaidos)</w:t>
            </w:r>
            <w:r w:rsidR="143EBB34" w:rsidRPr="66305DF1">
              <w:rPr>
                <w:rFonts w:ascii="Times New Roman" w:eastAsia="Times New Roman" w:hAnsi="Times New Roman" w:cs="Times New Roman"/>
                <w:sz w:val="24"/>
                <w:szCs w:val="24"/>
                <w:lang w:eastAsia="lt-LT"/>
              </w:rPr>
              <w:t>.</w:t>
            </w:r>
          </w:p>
          <w:p w14:paraId="6D9982AA" w14:textId="63FA57C3" w:rsidR="000E0ACF" w:rsidRDefault="000E0ACF" w:rsidP="00D87C28">
            <w:pPr>
              <w:spacing w:after="0" w:line="240" w:lineRule="auto"/>
              <w:jc w:val="both"/>
              <w:rPr>
                <w:rFonts w:ascii="Times New Roman" w:eastAsia="Times New Roman" w:hAnsi="Times New Roman" w:cs="Times New Roman"/>
                <w:b/>
                <w:sz w:val="24"/>
                <w:szCs w:val="24"/>
                <w:lang w:eastAsia="lt-LT"/>
              </w:rPr>
            </w:pPr>
          </w:p>
        </w:tc>
      </w:tr>
    </w:tbl>
    <w:p w14:paraId="762CBD44" w14:textId="76B3320A" w:rsidR="003B208D" w:rsidRPr="00A97781" w:rsidRDefault="003B208D" w:rsidP="00D87C28">
      <w:pPr>
        <w:tabs>
          <w:tab w:val="left" w:pos="8222"/>
        </w:tabs>
        <w:spacing w:line="240" w:lineRule="auto"/>
        <w:ind w:right="425"/>
        <w:rPr>
          <w:rFonts w:ascii="Times New Roman" w:eastAsia="Calibri" w:hAnsi="Times New Roman" w:cs="Times New Roman"/>
          <w:sz w:val="24"/>
          <w:szCs w:val="24"/>
        </w:rPr>
      </w:pPr>
    </w:p>
    <w:sectPr w:rsidR="003B208D" w:rsidRPr="00A97781" w:rsidSect="00933E5B">
      <w:headerReference w:type="default" r:id="rId12"/>
      <w:footerReference w:type="default" r:id="rId13"/>
      <w:pgSz w:w="16838" w:h="11906" w:orient="landscape"/>
      <w:pgMar w:top="1701" w:right="395" w:bottom="567" w:left="1134"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2DA2C" w14:textId="77777777" w:rsidR="005A3AB3" w:rsidRDefault="005A3AB3" w:rsidP="00CE0B5F">
      <w:pPr>
        <w:spacing w:after="0" w:line="240" w:lineRule="auto"/>
      </w:pPr>
      <w:r>
        <w:separator/>
      </w:r>
    </w:p>
  </w:endnote>
  <w:endnote w:type="continuationSeparator" w:id="0">
    <w:p w14:paraId="77E379A1" w14:textId="77777777" w:rsidR="005A3AB3" w:rsidRDefault="005A3AB3" w:rsidP="00CE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7B433" w14:textId="77777777" w:rsidR="001D1A1F" w:rsidRDefault="001D1A1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4D34CE">
      <w:rPr>
        <w:caps/>
        <w:noProof/>
        <w:color w:val="4472C4" w:themeColor="accent1"/>
      </w:rPr>
      <w:t>3</w:t>
    </w:r>
    <w:r>
      <w:rPr>
        <w:caps/>
        <w:noProof/>
        <w:color w:val="4472C4" w:themeColor="accent1"/>
      </w:rPr>
      <w:fldChar w:fldCharType="end"/>
    </w:r>
  </w:p>
  <w:p w14:paraId="144B60D4" w14:textId="77777777" w:rsidR="001D1A1F" w:rsidRDefault="001D1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DA8D0" w14:textId="77777777" w:rsidR="005A3AB3" w:rsidRDefault="005A3AB3" w:rsidP="00CE0B5F">
      <w:pPr>
        <w:spacing w:after="0" w:line="240" w:lineRule="auto"/>
      </w:pPr>
      <w:r>
        <w:separator/>
      </w:r>
    </w:p>
  </w:footnote>
  <w:footnote w:type="continuationSeparator" w:id="0">
    <w:p w14:paraId="29ED4AD9" w14:textId="77777777" w:rsidR="005A3AB3" w:rsidRDefault="005A3AB3" w:rsidP="00CE0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9B7E1" w14:textId="11D44B4D" w:rsidR="00CE0B5F" w:rsidRPr="007358FC" w:rsidRDefault="00CE0B5F" w:rsidP="00CE0B5F">
    <w:pPr>
      <w:jc w:val="center"/>
      <w:rPr>
        <w:rFonts w:ascii="Times New Roman" w:hAnsi="Times New Roman" w:cs="Times New Roman"/>
        <w:b/>
        <w:bCs/>
        <w:sz w:val="24"/>
        <w:szCs w:val="24"/>
        <w:shd w:val="clear" w:color="auto" w:fill="FFFFFF"/>
      </w:rPr>
    </w:pPr>
    <w:r w:rsidRPr="007358FC">
      <w:rPr>
        <w:rFonts w:ascii="Times New Roman" w:eastAsia="Times New Roman" w:hAnsi="Times New Roman" w:cs="Times New Roman"/>
        <w:b/>
        <w:sz w:val="24"/>
        <w:szCs w:val="24"/>
      </w:rPr>
      <w:t>LIETUVOS RESPUBLIKOS</w:t>
    </w:r>
    <w:r w:rsidR="000E34CB">
      <w:rPr>
        <w:rFonts w:ascii="Times New Roman" w:eastAsia="Times New Roman" w:hAnsi="Times New Roman" w:cs="Times New Roman"/>
        <w:b/>
        <w:sz w:val="24"/>
        <w:szCs w:val="24"/>
      </w:rPr>
      <w:t xml:space="preserve"> VYRIAUSYBĖS NUTARIMO </w:t>
    </w:r>
    <w:r w:rsidR="00A81504">
      <w:rPr>
        <w:rFonts w:ascii="Times New Roman" w:eastAsia="Times New Roman" w:hAnsi="Times New Roman" w:cs="Times New Roman"/>
        <w:b/>
        <w:sz w:val="24"/>
        <w:szCs w:val="24"/>
      </w:rPr>
      <w:t xml:space="preserve">„DĖL KLIMATO KAITOS PROGRAMOS LĖŠŲ NAUDOJIMO 2021 M. SĄMATOS PATVIRTINIMO“ </w:t>
    </w:r>
    <w:r w:rsidRPr="007358FC">
      <w:rPr>
        <w:rFonts w:ascii="Times New Roman" w:eastAsia="Times New Roman" w:hAnsi="Times New Roman" w:cs="Times New Roman"/>
        <w:b/>
        <w:sz w:val="24"/>
        <w:szCs w:val="24"/>
      </w:rPr>
      <w:t xml:space="preserve">PROJEKTO </w:t>
    </w:r>
    <w:r w:rsidRPr="007358FC">
      <w:rPr>
        <w:rFonts w:ascii="Times New Roman" w:eastAsia="Calibri" w:hAnsi="Times New Roman" w:cs="Times New Roman"/>
        <w:b/>
        <w:sz w:val="24"/>
        <w:szCs w:val="24"/>
      </w:rPr>
      <w:t>DERINIMO PAŽYMA</w:t>
    </w:r>
  </w:p>
  <w:p w14:paraId="56E10E7C" w14:textId="77777777" w:rsidR="00CE0B5F" w:rsidRDefault="00CE0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24FCA"/>
    <w:multiLevelType w:val="hybridMultilevel"/>
    <w:tmpl w:val="9198D7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3B828A8"/>
    <w:multiLevelType w:val="hybridMultilevel"/>
    <w:tmpl w:val="A00EE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F1133A"/>
    <w:multiLevelType w:val="hybridMultilevel"/>
    <w:tmpl w:val="1EF86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C97376"/>
    <w:multiLevelType w:val="hybridMultilevel"/>
    <w:tmpl w:val="894485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people.xml><?xml version="1.0" encoding="utf-8"?>
<w15:people xmlns:mc="http://schemas.openxmlformats.org/markup-compatibility/2006" xmlns:w15="http://schemas.microsoft.com/office/word/2012/wordml" mc:Ignorable="w15">
  <w15:person w15:author="Lina Čeičytė">
    <w15:presenceInfo w15:providerId="AD" w15:userId="S::lina.ceicyte@am.lt::87d5a1f3-ce8e-4fdc-96a1-fa94cad8c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FC"/>
    <w:rsid w:val="0002641E"/>
    <w:rsid w:val="00033F3A"/>
    <w:rsid w:val="0005281F"/>
    <w:rsid w:val="0007567F"/>
    <w:rsid w:val="000921BF"/>
    <w:rsid w:val="000C3322"/>
    <w:rsid w:val="000C63F9"/>
    <w:rsid w:val="000E0ACF"/>
    <w:rsid w:val="000E2C78"/>
    <w:rsid w:val="000E34CB"/>
    <w:rsid w:val="00106E8E"/>
    <w:rsid w:val="00116C9A"/>
    <w:rsid w:val="001171BE"/>
    <w:rsid w:val="0012160C"/>
    <w:rsid w:val="00144F20"/>
    <w:rsid w:val="00145A1A"/>
    <w:rsid w:val="001632E9"/>
    <w:rsid w:val="001713BD"/>
    <w:rsid w:val="00176C36"/>
    <w:rsid w:val="00181048"/>
    <w:rsid w:val="001B4072"/>
    <w:rsid w:val="001C3BA8"/>
    <w:rsid w:val="001D1A1F"/>
    <w:rsid w:val="001D672C"/>
    <w:rsid w:val="001E41B4"/>
    <w:rsid w:val="001E6CA1"/>
    <w:rsid w:val="001F07F1"/>
    <w:rsid w:val="001F48A4"/>
    <w:rsid w:val="0020751D"/>
    <w:rsid w:val="00211430"/>
    <w:rsid w:val="0022229C"/>
    <w:rsid w:val="00263798"/>
    <w:rsid w:val="00273A9B"/>
    <w:rsid w:val="002D5B9A"/>
    <w:rsid w:val="002D639D"/>
    <w:rsid w:val="002E04FA"/>
    <w:rsid w:val="002E2CC5"/>
    <w:rsid w:val="002E4C7E"/>
    <w:rsid w:val="0030064B"/>
    <w:rsid w:val="00302107"/>
    <w:rsid w:val="00312EA4"/>
    <w:rsid w:val="00313D51"/>
    <w:rsid w:val="003431D1"/>
    <w:rsid w:val="0034336E"/>
    <w:rsid w:val="0039074F"/>
    <w:rsid w:val="003B208D"/>
    <w:rsid w:val="003B724D"/>
    <w:rsid w:val="003F2AED"/>
    <w:rsid w:val="00403BDC"/>
    <w:rsid w:val="00403CA8"/>
    <w:rsid w:val="00407544"/>
    <w:rsid w:val="00444E5E"/>
    <w:rsid w:val="004467D3"/>
    <w:rsid w:val="00473B8C"/>
    <w:rsid w:val="00474CE4"/>
    <w:rsid w:val="0048780F"/>
    <w:rsid w:val="004C626C"/>
    <w:rsid w:val="004D34CE"/>
    <w:rsid w:val="004D52D9"/>
    <w:rsid w:val="004F32D6"/>
    <w:rsid w:val="00502A7F"/>
    <w:rsid w:val="005135A3"/>
    <w:rsid w:val="005158A6"/>
    <w:rsid w:val="00521CDB"/>
    <w:rsid w:val="00531E2D"/>
    <w:rsid w:val="005330E7"/>
    <w:rsid w:val="00535036"/>
    <w:rsid w:val="00561538"/>
    <w:rsid w:val="0057115C"/>
    <w:rsid w:val="0058354F"/>
    <w:rsid w:val="00595B0B"/>
    <w:rsid w:val="005A3AB3"/>
    <w:rsid w:val="005B4CCA"/>
    <w:rsid w:val="005D5EB0"/>
    <w:rsid w:val="00600BCA"/>
    <w:rsid w:val="00604D20"/>
    <w:rsid w:val="0061679C"/>
    <w:rsid w:val="00636E7D"/>
    <w:rsid w:val="0065026A"/>
    <w:rsid w:val="00654C56"/>
    <w:rsid w:val="0065634A"/>
    <w:rsid w:val="00677C6E"/>
    <w:rsid w:val="00683ED5"/>
    <w:rsid w:val="0068505F"/>
    <w:rsid w:val="006B517A"/>
    <w:rsid w:val="006C25B1"/>
    <w:rsid w:val="006C2DD5"/>
    <w:rsid w:val="006C76A0"/>
    <w:rsid w:val="006D0EC6"/>
    <w:rsid w:val="006D233B"/>
    <w:rsid w:val="006E4C9E"/>
    <w:rsid w:val="006E7540"/>
    <w:rsid w:val="007038AD"/>
    <w:rsid w:val="007205CC"/>
    <w:rsid w:val="00721ECE"/>
    <w:rsid w:val="007358FC"/>
    <w:rsid w:val="007563F3"/>
    <w:rsid w:val="007641EB"/>
    <w:rsid w:val="00782294"/>
    <w:rsid w:val="0078266B"/>
    <w:rsid w:val="007A6F37"/>
    <w:rsid w:val="007B7DA3"/>
    <w:rsid w:val="007C1CFA"/>
    <w:rsid w:val="007F181F"/>
    <w:rsid w:val="00824A2B"/>
    <w:rsid w:val="00836FF0"/>
    <w:rsid w:val="008430A1"/>
    <w:rsid w:val="00843D9F"/>
    <w:rsid w:val="0086292F"/>
    <w:rsid w:val="00884D28"/>
    <w:rsid w:val="00896958"/>
    <w:rsid w:val="008A1B2A"/>
    <w:rsid w:val="008A1EE5"/>
    <w:rsid w:val="008F5124"/>
    <w:rsid w:val="00913EE0"/>
    <w:rsid w:val="00917AA6"/>
    <w:rsid w:val="00921621"/>
    <w:rsid w:val="00933E5B"/>
    <w:rsid w:val="00934139"/>
    <w:rsid w:val="00944463"/>
    <w:rsid w:val="00960C84"/>
    <w:rsid w:val="00983EC5"/>
    <w:rsid w:val="009A0388"/>
    <w:rsid w:val="009A0615"/>
    <w:rsid w:val="009C5A91"/>
    <w:rsid w:val="009D1214"/>
    <w:rsid w:val="009D5AF3"/>
    <w:rsid w:val="00A03FD2"/>
    <w:rsid w:val="00A41BD8"/>
    <w:rsid w:val="00A77A95"/>
    <w:rsid w:val="00A81504"/>
    <w:rsid w:val="00A8226C"/>
    <w:rsid w:val="00A87E48"/>
    <w:rsid w:val="00A97781"/>
    <w:rsid w:val="00AB13EC"/>
    <w:rsid w:val="00AB3693"/>
    <w:rsid w:val="00AB7674"/>
    <w:rsid w:val="00AD2451"/>
    <w:rsid w:val="00AE2491"/>
    <w:rsid w:val="00AF71B1"/>
    <w:rsid w:val="00B45F01"/>
    <w:rsid w:val="00B53BAC"/>
    <w:rsid w:val="00B81AE3"/>
    <w:rsid w:val="00B838A5"/>
    <w:rsid w:val="00B87447"/>
    <w:rsid w:val="00B92CCE"/>
    <w:rsid w:val="00B93108"/>
    <w:rsid w:val="00BB6303"/>
    <w:rsid w:val="00BC69D7"/>
    <w:rsid w:val="00BF5C84"/>
    <w:rsid w:val="00C01F06"/>
    <w:rsid w:val="00C248A9"/>
    <w:rsid w:val="00C43672"/>
    <w:rsid w:val="00C616FA"/>
    <w:rsid w:val="00C664EB"/>
    <w:rsid w:val="00C8516F"/>
    <w:rsid w:val="00C92955"/>
    <w:rsid w:val="00CB035B"/>
    <w:rsid w:val="00CC1C12"/>
    <w:rsid w:val="00CE0B5F"/>
    <w:rsid w:val="00CF3417"/>
    <w:rsid w:val="00D034C9"/>
    <w:rsid w:val="00D127CD"/>
    <w:rsid w:val="00D21353"/>
    <w:rsid w:val="00D35B74"/>
    <w:rsid w:val="00D45CE4"/>
    <w:rsid w:val="00D515F0"/>
    <w:rsid w:val="00D520EA"/>
    <w:rsid w:val="00D81382"/>
    <w:rsid w:val="00D87C28"/>
    <w:rsid w:val="00DA6486"/>
    <w:rsid w:val="00DB3656"/>
    <w:rsid w:val="00DC69A2"/>
    <w:rsid w:val="00DF4250"/>
    <w:rsid w:val="00E12550"/>
    <w:rsid w:val="00E1444A"/>
    <w:rsid w:val="00E2352B"/>
    <w:rsid w:val="00E266A7"/>
    <w:rsid w:val="00E26C3F"/>
    <w:rsid w:val="00E31D36"/>
    <w:rsid w:val="00E4427B"/>
    <w:rsid w:val="00E631BE"/>
    <w:rsid w:val="00E87A04"/>
    <w:rsid w:val="00E9683F"/>
    <w:rsid w:val="00EA31C1"/>
    <w:rsid w:val="00EA4EFC"/>
    <w:rsid w:val="00EB4FA7"/>
    <w:rsid w:val="00ED5986"/>
    <w:rsid w:val="00F004EC"/>
    <w:rsid w:val="00F067CA"/>
    <w:rsid w:val="00F150BE"/>
    <w:rsid w:val="00F9045D"/>
    <w:rsid w:val="00F96472"/>
    <w:rsid w:val="00FA1539"/>
    <w:rsid w:val="00FC1FDA"/>
    <w:rsid w:val="00FC71E9"/>
    <w:rsid w:val="00FD3DC2"/>
    <w:rsid w:val="00FF5907"/>
    <w:rsid w:val="03E54E26"/>
    <w:rsid w:val="040C4C48"/>
    <w:rsid w:val="044A5AAC"/>
    <w:rsid w:val="04A396FA"/>
    <w:rsid w:val="08B9E820"/>
    <w:rsid w:val="09100218"/>
    <w:rsid w:val="0DF58E7E"/>
    <w:rsid w:val="0F07F065"/>
    <w:rsid w:val="0F1C5EF3"/>
    <w:rsid w:val="13D6A7B9"/>
    <w:rsid w:val="143EBB34"/>
    <w:rsid w:val="1622730E"/>
    <w:rsid w:val="18AA18DC"/>
    <w:rsid w:val="195016EB"/>
    <w:rsid w:val="1B39AC5A"/>
    <w:rsid w:val="1D646D57"/>
    <w:rsid w:val="1D7944E5"/>
    <w:rsid w:val="1EE4D755"/>
    <w:rsid w:val="1FB4E6C6"/>
    <w:rsid w:val="22633122"/>
    <w:rsid w:val="2613C37D"/>
    <w:rsid w:val="2F807963"/>
    <w:rsid w:val="302D3407"/>
    <w:rsid w:val="3255E415"/>
    <w:rsid w:val="3358D280"/>
    <w:rsid w:val="35EB0CAB"/>
    <w:rsid w:val="3B787117"/>
    <w:rsid w:val="3C6B6BE3"/>
    <w:rsid w:val="3C755529"/>
    <w:rsid w:val="3CF2062C"/>
    <w:rsid w:val="3F89D43A"/>
    <w:rsid w:val="3FA2034B"/>
    <w:rsid w:val="441C9077"/>
    <w:rsid w:val="44AD3A35"/>
    <w:rsid w:val="49A1CA89"/>
    <w:rsid w:val="4C6B6A5B"/>
    <w:rsid w:val="4D9596E5"/>
    <w:rsid w:val="4D9F802B"/>
    <w:rsid w:val="4DD88BE8"/>
    <w:rsid w:val="4E051698"/>
    <w:rsid w:val="51DBC3D5"/>
    <w:rsid w:val="53E7DCDE"/>
    <w:rsid w:val="559F4348"/>
    <w:rsid w:val="573B13A9"/>
    <w:rsid w:val="578829F4"/>
    <w:rsid w:val="589FC359"/>
    <w:rsid w:val="5A6CACF3"/>
    <w:rsid w:val="5ADBF51A"/>
    <w:rsid w:val="5DBDE4FA"/>
    <w:rsid w:val="60180B16"/>
    <w:rsid w:val="605AE56C"/>
    <w:rsid w:val="6288450E"/>
    <w:rsid w:val="62FB5D8C"/>
    <w:rsid w:val="630546D2"/>
    <w:rsid w:val="6516A7F0"/>
    <w:rsid w:val="66305DF1"/>
    <w:rsid w:val="69921A41"/>
    <w:rsid w:val="69F536DE"/>
    <w:rsid w:val="6BA5110F"/>
    <w:rsid w:val="6BAC4A88"/>
    <w:rsid w:val="6CC42856"/>
    <w:rsid w:val="6F69D90C"/>
    <w:rsid w:val="707B5FD8"/>
    <w:rsid w:val="7088B408"/>
    <w:rsid w:val="714D1D8A"/>
    <w:rsid w:val="72CC1CF3"/>
    <w:rsid w:val="77DFD29B"/>
    <w:rsid w:val="78013153"/>
    <w:rsid w:val="7AF9C60F"/>
    <w:rsid w:val="7BF48D74"/>
    <w:rsid w:val="7D34BAE7"/>
    <w:rsid w:val="7FD9A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18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F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358FC"/>
    <w:pPr>
      <w:suppressAutoHyphens/>
      <w:autoSpaceDN w:val="0"/>
      <w:spacing w:after="0" w:line="240" w:lineRule="auto"/>
      <w:textAlignment w:val="baseline"/>
    </w:pPr>
    <w:rPr>
      <w:rFonts w:ascii="Liberation Serif" w:eastAsia="NSimSun" w:hAnsi="Liberation Serif" w:cs="Mangal"/>
      <w:kern w:val="3"/>
      <w:szCs w:val="24"/>
      <w:lang w:eastAsia="zh-CN" w:bidi="hi-IN"/>
    </w:rPr>
  </w:style>
  <w:style w:type="paragraph" w:styleId="ListParagraph">
    <w:name w:val="List Paragraph"/>
    <w:basedOn w:val="Normal"/>
    <w:uiPriority w:val="34"/>
    <w:qFormat/>
    <w:rsid w:val="007358FC"/>
    <w:pPr>
      <w:spacing w:after="160" w:line="259" w:lineRule="auto"/>
      <w:ind w:left="720"/>
      <w:contextualSpacing/>
    </w:pPr>
    <w:rPr>
      <w:lang w:val="en-US"/>
    </w:rPr>
  </w:style>
  <w:style w:type="paragraph" w:styleId="Header">
    <w:name w:val="header"/>
    <w:basedOn w:val="Normal"/>
    <w:link w:val="HeaderChar"/>
    <w:uiPriority w:val="99"/>
    <w:unhideWhenUsed/>
    <w:rsid w:val="00CE0B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0B5F"/>
    <w:rPr>
      <w:rFonts w:asciiTheme="minorHAnsi" w:hAnsiTheme="minorHAnsi"/>
      <w:sz w:val="22"/>
    </w:rPr>
  </w:style>
  <w:style w:type="paragraph" w:styleId="Footer">
    <w:name w:val="footer"/>
    <w:basedOn w:val="Normal"/>
    <w:link w:val="FooterChar"/>
    <w:uiPriority w:val="99"/>
    <w:unhideWhenUsed/>
    <w:rsid w:val="00CE0B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0B5F"/>
    <w:rPr>
      <w:rFonts w:asciiTheme="minorHAnsi" w:hAnsiTheme="minorHAnsi"/>
      <w:sz w:val="22"/>
    </w:rPr>
  </w:style>
  <w:style w:type="paragraph" w:styleId="BalloonText">
    <w:name w:val="Balloon Text"/>
    <w:basedOn w:val="Normal"/>
    <w:link w:val="BalloonTextChar"/>
    <w:uiPriority w:val="99"/>
    <w:semiHidden/>
    <w:unhideWhenUsed/>
    <w:rsid w:val="00921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621"/>
    <w:rPr>
      <w:rFonts w:ascii="Segoe UI" w:hAnsi="Segoe UI" w:cs="Segoe UI"/>
      <w:sz w:val="18"/>
      <w:szCs w:val="18"/>
    </w:rPr>
  </w:style>
  <w:style w:type="character" w:styleId="CommentReference">
    <w:name w:val="annotation reference"/>
    <w:basedOn w:val="DefaultParagraphFont"/>
    <w:uiPriority w:val="99"/>
    <w:semiHidden/>
    <w:unhideWhenUsed/>
    <w:rsid w:val="002E04FA"/>
    <w:rPr>
      <w:sz w:val="16"/>
      <w:szCs w:val="16"/>
    </w:rPr>
  </w:style>
  <w:style w:type="paragraph" w:styleId="CommentText">
    <w:name w:val="annotation text"/>
    <w:basedOn w:val="Normal"/>
    <w:link w:val="CommentTextChar"/>
    <w:uiPriority w:val="99"/>
    <w:semiHidden/>
    <w:unhideWhenUsed/>
    <w:rsid w:val="002E04FA"/>
    <w:pPr>
      <w:spacing w:line="240" w:lineRule="auto"/>
    </w:pPr>
    <w:rPr>
      <w:sz w:val="20"/>
      <w:szCs w:val="20"/>
    </w:rPr>
  </w:style>
  <w:style w:type="character" w:customStyle="1" w:styleId="CommentTextChar">
    <w:name w:val="Comment Text Char"/>
    <w:basedOn w:val="DefaultParagraphFont"/>
    <w:link w:val="CommentText"/>
    <w:uiPriority w:val="99"/>
    <w:semiHidden/>
    <w:rsid w:val="002E04FA"/>
    <w:rPr>
      <w:rFonts w:asciiTheme="minorHAnsi" w:hAnsiTheme="minorHAnsi"/>
      <w:sz w:val="20"/>
      <w:szCs w:val="20"/>
    </w:rPr>
  </w:style>
  <w:style w:type="paragraph" w:styleId="BodyText">
    <w:name w:val="Body Text"/>
    <w:basedOn w:val="Normal"/>
    <w:link w:val="BodyTextChar"/>
    <w:rsid w:val="00F150BE"/>
    <w:pPr>
      <w:suppressAutoHyphens/>
      <w:autoSpaceDN w:val="0"/>
      <w:spacing w:after="0" w:line="240" w:lineRule="auto"/>
      <w:ind w:firstLine="1247"/>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150BE"/>
    <w:rPr>
      <w:rFonts w:eastAsia="Times New Roman" w:cs="Times New Roman"/>
      <w:szCs w:val="20"/>
    </w:rPr>
  </w:style>
  <w:style w:type="character" w:styleId="Hyperlink">
    <w:name w:val="Hyperlink"/>
    <w:basedOn w:val="DefaultParagraphFont"/>
    <w:uiPriority w:val="99"/>
    <w:semiHidden/>
    <w:unhideWhenUsed/>
    <w:rsid w:val="00824A2B"/>
    <w:rPr>
      <w:color w:val="0000FF"/>
      <w:u w:val="single"/>
    </w:rPr>
  </w:style>
  <w:style w:type="paragraph" w:styleId="CommentSubject">
    <w:name w:val="annotation subject"/>
    <w:basedOn w:val="CommentText"/>
    <w:next w:val="CommentText"/>
    <w:link w:val="CommentSubjectChar"/>
    <w:uiPriority w:val="99"/>
    <w:semiHidden/>
    <w:unhideWhenUsed/>
    <w:rsid w:val="0020751D"/>
    <w:rPr>
      <w:b/>
      <w:bCs/>
    </w:rPr>
  </w:style>
  <w:style w:type="character" w:customStyle="1" w:styleId="CommentSubjectChar">
    <w:name w:val="Comment Subject Char"/>
    <w:basedOn w:val="CommentTextChar"/>
    <w:link w:val="CommentSubject"/>
    <w:uiPriority w:val="99"/>
    <w:semiHidden/>
    <w:rsid w:val="0020751D"/>
    <w:rPr>
      <w:rFonts w:asciiTheme="minorHAnsi" w:hAnsiTheme="minorHAnsi"/>
      <w:b/>
      <w:bCs/>
      <w:sz w:val="20"/>
      <w:szCs w:val="20"/>
    </w:rPr>
  </w:style>
  <w:style w:type="paragraph" w:styleId="NormalWeb">
    <w:name w:val="Normal (Web)"/>
    <w:basedOn w:val="Normal"/>
    <w:uiPriority w:val="99"/>
    <w:semiHidden/>
    <w:unhideWhenUsed/>
    <w:rsid w:val="00604D2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F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358FC"/>
    <w:pPr>
      <w:suppressAutoHyphens/>
      <w:autoSpaceDN w:val="0"/>
      <w:spacing w:after="0" w:line="240" w:lineRule="auto"/>
      <w:textAlignment w:val="baseline"/>
    </w:pPr>
    <w:rPr>
      <w:rFonts w:ascii="Liberation Serif" w:eastAsia="NSimSun" w:hAnsi="Liberation Serif" w:cs="Mangal"/>
      <w:kern w:val="3"/>
      <w:szCs w:val="24"/>
      <w:lang w:eastAsia="zh-CN" w:bidi="hi-IN"/>
    </w:rPr>
  </w:style>
  <w:style w:type="paragraph" w:styleId="ListParagraph">
    <w:name w:val="List Paragraph"/>
    <w:basedOn w:val="Normal"/>
    <w:uiPriority w:val="34"/>
    <w:qFormat/>
    <w:rsid w:val="007358FC"/>
    <w:pPr>
      <w:spacing w:after="160" w:line="259" w:lineRule="auto"/>
      <w:ind w:left="720"/>
      <w:contextualSpacing/>
    </w:pPr>
    <w:rPr>
      <w:lang w:val="en-US"/>
    </w:rPr>
  </w:style>
  <w:style w:type="paragraph" w:styleId="Header">
    <w:name w:val="header"/>
    <w:basedOn w:val="Normal"/>
    <w:link w:val="HeaderChar"/>
    <w:uiPriority w:val="99"/>
    <w:unhideWhenUsed/>
    <w:rsid w:val="00CE0B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0B5F"/>
    <w:rPr>
      <w:rFonts w:asciiTheme="minorHAnsi" w:hAnsiTheme="minorHAnsi"/>
      <w:sz w:val="22"/>
    </w:rPr>
  </w:style>
  <w:style w:type="paragraph" w:styleId="Footer">
    <w:name w:val="footer"/>
    <w:basedOn w:val="Normal"/>
    <w:link w:val="FooterChar"/>
    <w:uiPriority w:val="99"/>
    <w:unhideWhenUsed/>
    <w:rsid w:val="00CE0B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0B5F"/>
    <w:rPr>
      <w:rFonts w:asciiTheme="minorHAnsi" w:hAnsiTheme="minorHAnsi"/>
      <w:sz w:val="22"/>
    </w:rPr>
  </w:style>
  <w:style w:type="paragraph" w:styleId="BalloonText">
    <w:name w:val="Balloon Text"/>
    <w:basedOn w:val="Normal"/>
    <w:link w:val="BalloonTextChar"/>
    <w:uiPriority w:val="99"/>
    <w:semiHidden/>
    <w:unhideWhenUsed/>
    <w:rsid w:val="00921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621"/>
    <w:rPr>
      <w:rFonts w:ascii="Segoe UI" w:hAnsi="Segoe UI" w:cs="Segoe UI"/>
      <w:sz w:val="18"/>
      <w:szCs w:val="18"/>
    </w:rPr>
  </w:style>
  <w:style w:type="character" w:styleId="CommentReference">
    <w:name w:val="annotation reference"/>
    <w:basedOn w:val="DefaultParagraphFont"/>
    <w:uiPriority w:val="99"/>
    <w:semiHidden/>
    <w:unhideWhenUsed/>
    <w:rsid w:val="002E04FA"/>
    <w:rPr>
      <w:sz w:val="16"/>
      <w:szCs w:val="16"/>
    </w:rPr>
  </w:style>
  <w:style w:type="paragraph" w:styleId="CommentText">
    <w:name w:val="annotation text"/>
    <w:basedOn w:val="Normal"/>
    <w:link w:val="CommentTextChar"/>
    <w:uiPriority w:val="99"/>
    <w:semiHidden/>
    <w:unhideWhenUsed/>
    <w:rsid w:val="002E04FA"/>
    <w:pPr>
      <w:spacing w:line="240" w:lineRule="auto"/>
    </w:pPr>
    <w:rPr>
      <w:sz w:val="20"/>
      <w:szCs w:val="20"/>
    </w:rPr>
  </w:style>
  <w:style w:type="character" w:customStyle="1" w:styleId="CommentTextChar">
    <w:name w:val="Comment Text Char"/>
    <w:basedOn w:val="DefaultParagraphFont"/>
    <w:link w:val="CommentText"/>
    <w:uiPriority w:val="99"/>
    <w:semiHidden/>
    <w:rsid w:val="002E04FA"/>
    <w:rPr>
      <w:rFonts w:asciiTheme="minorHAnsi" w:hAnsiTheme="minorHAnsi"/>
      <w:sz w:val="20"/>
      <w:szCs w:val="20"/>
    </w:rPr>
  </w:style>
  <w:style w:type="paragraph" w:styleId="BodyText">
    <w:name w:val="Body Text"/>
    <w:basedOn w:val="Normal"/>
    <w:link w:val="BodyTextChar"/>
    <w:rsid w:val="00F150BE"/>
    <w:pPr>
      <w:suppressAutoHyphens/>
      <w:autoSpaceDN w:val="0"/>
      <w:spacing w:after="0" w:line="240" w:lineRule="auto"/>
      <w:ind w:firstLine="1247"/>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150BE"/>
    <w:rPr>
      <w:rFonts w:eastAsia="Times New Roman" w:cs="Times New Roman"/>
      <w:szCs w:val="20"/>
    </w:rPr>
  </w:style>
  <w:style w:type="character" w:styleId="Hyperlink">
    <w:name w:val="Hyperlink"/>
    <w:basedOn w:val="DefaultParagraphFont"/>
    <w:uiPriority w:val="99"/>
    <w:semiHidden/>
    <w:unhideWhenUsed/>
    <w:rsid w:val="00824A2B"/>
    <w:rPr>
      <w:color w:val="0000FF"/>
      <w:u w:val="single"/>
    </w:rPr>
  </w:style>
  <w:style w:type="paragraph" w:styleId="CommentSubject">
    <w:name w:val="annotation subject"/>
    <w:basedOn w:val="CommentText"/>
    <w:next w:val="CommentText"/>
    <w:link w:val="CommentSubjectChar"/>
    <w:uiPriority w:val="99"/>
    <w:semiHidden/>
    <w:unhideWhenUsed/>
    <w:rsid w:val="0020751D"/>
    <w:rPr>
      <w:b/>
      <w:bCs/>
    </w:rPr>
  </w:style>
  <w:style w:type="character" w:customStyle="1" w:styleId="CommentSubjectChar">
    <w:name w:val="Comment Subject Char"/>
    <w:basedOn w:val="CommentTextChar"/>
    <w:link w:val="CommentSubject"/>
    <w:uiPriority w:val="99"/>
    <w:semiHidden/>
    <w:rsid w:val="0020751D"/>
    <w:rPr>
      <w:rFonts w:asciiTheme="minorHAnsi" w:hAnsiTheme="minorHAnsi"/>
      <w:b/>
      <w:bCs/>
      <w:sz w:val="20"/>
      <w:szCs w:val="20"/>
    </w:rPr>
  </w:style>
  <w:style w:type="paragraph" w:styleId="NormalWeb">
    <w:name w:val="Normal (Web)"/>
    <w:basedOn w:val="Normal"/>
    <w:uiPriority w:val="99"/>
    <w:semiHidden/>
    <w:unhideWhenUsed/>
    <w:rsid w:val="00604D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0921">
      <w:bodyDiv w:val="1"/>
      <w:marLeft w:val="0"/>
      <w:marRight w:val="0"/>
      <w:marTop w:val="0"/>
      <w:marBottom w:val="0"/>
      <w:divBdr>
        <w:top w:val="none" w:sz="0" w:space="0" w:color="auto"/>
        <w:left w:val="none" w:sz="0" w:space="0" w:color="auto"/>
        <w:bottom w:val="none" w:sz="0" w:space="0" w:color="auto"/>
        <w:right w:val="none" w:sz="0" w:space="0" w:color="auto"/>
      </w:divBdr>
    </w:div>
    <w:div w:id="137919242">
      <w:bodyDiv w:val="1"/>
      <w:marLeft w:val="0"/>
      <w:marRight w:val="0"/>
      <w:marTop w:val="0"/>
      <w:marBottom w:val="0"/>
      <w:divBdr>
        <w:top w:val="none" w:sz="0" w:space="0" w:color="auto"/>
        <w:left w:val="none" w:sz="0" w:space="0" w:color="auto"/>
        <w:bottom w:val="none" w:sz="0" w:space="0" w:color="auto"/>
        <w:right w:val="none" w:sz="0" w:space="0" w:color="auto"/>
      </w:divBdr>
    </w:div>
    <w:div w:id="485825650">
      <w:bodyDiv w:val="1"/>
      <w:marLeft w:val="0"/>
      <w:marRight w:val="0"/>
      <w:marTop w:val="0"/>
      <w:marBottom w:val="0"/>
      <w:divBdr>
        <w:top w:val="none" w:sz="0" w:space="0" w:color="auto"/>
        <w:left w:val="none" w:sz="0" w:space="0" w:color="auto"/>
        <w:bottom w:val="none" w:sz="0" w:space="0" w:color="auto"/>
        <w:right w:val="none" w:sz="0" w:space="0" w:color="auto"/>
      </w:divBdr>
    </w:div>
    <w:div w:id="527380427">
      <w:bodyDiv w:val="1"/>
      <w:marLeft w:val="0"/>
      <w:marRight w:val="0"/>
      <w:marTop w:val="0"/>
      <w:marBottom w:val="0"/>
      <w:divBdr>
        <w:top w:val="none" w:sz="0" w:space="0" w:color="auto"/>
        <w:left w:val="none" w:sz="0" w:space="0" w:color="auto"/>
        <w:bottom w:val="none" w:sz="0" w:space="0" w:color="auto"/>
        <w:right w:val="none" w:sz="0" w:space="0" w:color="auto"/>
      </w:divBdr>
    </w:div>
    <w:div w:id="567763974">
      <w:bodyDiv w:val="1"/>
      <w:marLeft w:val="0"/>
      <w:marRight w:val="0"/>
      <w:marTop w:val="0"/>
      <w:marBottom w:val="0"/>
      <w:divBdr>
        <w:top w:val="none" w:sz="0" w:space="0" w:color="auto"/>
        <w:left w:val="none" w:sz="0" w:space="0" w:color="auto"/>
        <w:bottom w:val="none" w:sz="0" w:space="0" w:color="auto"/>
        <w:right w:val="none" w:sz="0" w:space="0" w:color="auto"/>
      </w:divBdr>
    </w:div>
    <w:div w:id="619343682">
      <w:bodyDiv w:val="1"/>
      <w:marLeft w:val="0"/>
      <w:marRight w:val="0"/>
      <w:marTop w:val="0"/>
      <w:marBottom w:val="0"/>
      <w:divBdr>
        <w:top w:val="none" w:sz="0" w:space="0" w:color="auto"/>
        <w:left w:val="none" w:sz="0" w:space="0" w:color="auto"/>
        <w:bottom w:val="none" w:sz="0" w:space="0" w:color="auto"/>
        <w:right w:val="none" w:sz="0" w:space="0" w:color="auto"/>
      </w:divBdr>
    </w:div>
    <w:div w:id="782042919">
      <w:bodyDiv w:val="1"/>
      <w:marLeft w:val="0"/>
      <w:marRight w:val="0"/>
      <w:marTop w:val="0"/>
      <w:marBottom w:val="0"/>
      <w:divBdr>
        <w:top w:val="none" w:sz="0" w:space="0" w:color="auto"/>
        <w:left w:val="none" w:sz="0" w:space="0" w:color="auto"/>
        <w:bottom w:val="none" w:sz="0" w:space="0" w:color="auto"/>
        <w:right w:val="none" w:sz="0" w:space="0" w:color="auto"/>
      </w:divBdr>
    </w:div>
    <w:div w:id="833452574">
      <w:bodyDiv w:val="1"/>
      <w:marLeft w:val="0"/>
      <w:marRight w:val="0"/>
      <w:marTop w:val="0"/>
      <w:marBottom w:val="0"/>
      <w:divBdr>
        <w:top w:val="none" w:sz="0" w:space="0" w:color="auto"/>
        <w:left w:val="none" w:sz="0" w:space="0" w:color="auto"/>
        <w:bottom w:val="none" w:sz="0" w:space="0" w:color="auto"/>
        <w:right w:val="none" w:sz="0" w:space="0" w:color="auto"/>
      </w:divBdr>
    </w:div>
    <w:div w:id="1250575167">
      <w:bodyDiv w:val="1"/>
      <w:marLeft w:val="0"/>
      <w:marRight w:val="0"/>
      <w:marTop w:val="0"/>
      <w:marBottom w:val="0"/>
      <w:divBdr>
        <w:top w:val="none" w:sz="0" w:space="0" w:color="auto"/>
        <w:left w:val="none" w:sz="0" w:space="0" w:color="auto"/>
        <w:bottom w:val="none" w:sz="0" w:space="0" w:color="auto"/>
        <w:right w:val="none" w:sz="0" w:space="0" w:color="auto"/>
      </w:divBdr>
    </w:div>
    <w:div w:id="1251743455">
      <w:bodyDiv w:val="1"/>
      <w:marLeft w:val="0"/>
      <w:marRight w:val="0"/>
      <w:marTop w:val="0"/>
      <w:marBottom w:val="0"/>
      <w:divBdr>
        <w:top w:val="none" w:sz="0" w:space="0" w:color="auto"/>
        <w:left w:val="none" w:sz="0" w:space="0" w:color="auto"/>
        <w:bottom w:val="none" w:sz="0" w:space="0" w:color="auto"/>
        <w:right w:val="none" w:sz="0" w:space="0" w:color="auto"/>
      </w:divBdr>
    </w:div>
    <w:div w:id="1410424654">
      <w:bodyDiv w:val="1"/>
      <w:marLeft w:val="0"/>
      <w:marRight w:val="0"/>
      <w:marTop w:val="0"/>
      <w:marBottom w:val="0"/>
      <w:divBdr>
        <w:top w:val="none" w:sz="0" w:space="0" w:color="auto"/>
        <w:left w:val="none" w:sz="0" w:space="0" w:color="auto"/>
        <w:bottom w:val="none" w:sz="0" w:space="0" w:color="auto"/>
        <w:right w:val="none" w:sz="0" w:space="0" w:color="auto"/>
      </w:divBdr>
    </w:div>
    <w:div w:id="1960717505">
      <w:bodyDiv w:val="1"/>
      <w:marLeft w:val="0"/>
      <w:marRight w:val="0"/>
      <w:marTop w:val="0"/>
      <w:marBottom w:val="0"/>
      <w:divBdr>
        <w:top w:val="none" w:sz="0" w:space="0" w:color="auto"/>
        <w:left w:val="none" w:sz="0" w:space="0" w:color="auto"/>
        <w:bottom w:val="none" w:sz="0" w:space="0" w:color="auto"/>
        <w:right w:val="none" w:sz="0" w:space="0" w:color="auto"/>
      </w:divBdr>
      <w:divsChild>
        <w:div w:id="44379537">
          <w:marLeft w:val="0"/>
          <w:marRight w:val="0"/>
          <w:marTop w:val="0"/>
          <w:marBottom w:val="0"/>
          <w:divBdr>
            <w:top w:val="none" w:sz="0" w:space="0" w:color="auto"/>
            <w:left w:val="none" w:sz="0" w:space="0" w:color="auto"/>
            <w:bottom w:val="none" w:sz="0" w:space="0" w:color="auto"/>
            <w:right w:val="none" w:sz="0" w:space="0" w:color="auto"/>
          </w:divBdr>
        </w:div>
        <w:div w:id="554044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427c796106444bad" Target="commentsExtended.xml"
                 Type="http://schemas.microsoft.com/office/2011/relationships/commentsExtended"/>
   <Relationship Id="Rba445d1337b844d9" Target="commentsIds.xml"
                 Type="http://schemas.microsoft.com/office/2016/09/relationships/commentsIds"/>
   <Relationship Id="Re906d38aea404c3f" Target="people.xml"
                 Type="http://schemas.microsoft.com/office/2011/relationships/people"/>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2" ma:contentTypeDescription="Create a new document." ma:contentTypeScope="" ma:versionID="d504bb43da5435a80c1cf7f187b1e5fe">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1963b0d1b28f85d24f0a74f88b9502ba"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Lina Čeičytė</DisplayName>
        <AccountId>134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A0DFA-F590-4903-9171-067EBEA79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CD9AC-10B3-4119-8EEA-B99F7523F4DC}">
  <ds:schemaRefs>
    <ds:schemaRef ds:uri="http://schemas.microsoft.com/sharepoint/v3/contenttype/forms"/>
  </ds:schemaRefs>
</ds:datastoreItem>
</file>

<file path=customXml/itemProps3.xml><?xml version="1.0" encoding="utf-8"?>
<ds:datastoreItem xmlns:ds="http://schemas.openxmlformats.org/officeDocument/2006/customXml" ds:itemID="{0CEA4DCF-1FEA-4D97-A9D3-4F5968A952DD}">
  <ds:schemaRefs>
    <ds:schemaRef ds:uri="f5aad5d0-9c26-490e-8743-a6c7ceabd501"/>
    <ds:schemaRef ds:uri="19cf09c5-daa1-4028-a0ff-74a0be4ec5cc"/>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EC6B4B6-8F95-43D2-A02F-3BEDA137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10390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2021-03-31T06:36:00Z</dcterms:created>
  <dc:creator>Kristina Sabaliauskiene</dc:creator>
  <cp:lastModifiedBy>Lina Čeičytė</cp:lastModifiedBy>
  <dcterms:modified xsi:type="dcterms:W3CDTF">2021-03-31T06:42:00Z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