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32AF" w14:textId="77777777" w:rsidR="001D508A" w:rsidRPr="009512D4" w:rsidRDefault="001D508A" w:rsidP="001D508A">
      <w:pPr>
        <w:jc w:val="center"/>
        <w:outlineLvl w:val="0"/>
        <w:rPr>
          <w:b/>
        </w:rPr>
      </w:pPr>
      <w:bookmarkStart w:id="0" w:name="_Hlk75503356"/>
      <w:r w:rsidRPr="009512D4">
        <w:rPr>
          <w:b/>
        </w:rPr>
        <w:t xml:space="preserve">LIETUVOS RESPUBLIKOS </w:t>
      </w:r>
    </w:p>
    <w:p w14:paraId="7B512F08" w14:textId="1EE74672" w:rsidR="004019FF" w:rsidRPr="009512D4" w:rsidRDefault="001D508A" w:rsidP="001D508A">
      <w:pPr>
        <w:jc w:val="center"/>
        <w:outlineLvl w:val="0"/>
        <w:rPr>
          <w:b/>
        </w:rPr>
      </w:pPr>
      <w:r w:rsidRPr="009512D4">
        <w:rPr>
          <w:b/>
        </w:rPr>
        <w:t xml:space="preserve">CIVILINĮ PROCESĄ REGLAMENTUOJANČIŲ EUROPOS SĄJUNGOS IR TARPTAUTINĖS TEISĖS AKTŲ ĮGYVENDINIMO ĮSTATYMO NR. X-1809 </w:t>
      </w:r>
      <w:r w:rsidR="009512D4" w:rsidRPr="009512D4">
        <w:rPr>
          <w:b/>
        </w:rPr>
        <w:t xml:space="preserve">TREČIOJO, PENKTOJO, </w:t>
      </w:r>
      <w:r w:rsidRPr="009512D4">
        <w:rPr>
          <w:b/>
        </w:rPr>
        <w:t>ŠEŠTOJO SKIRSNI</w:t>
      </w:r>
      <w:r w:rsidR="009512D4" w:rsidRPr="009512D4">
        <w:rPr>
          <w:b/>
        </w:rPr>
        <w:t>Ų</w:t>
      </w:r>
      <w:r w:rsidRPr="009512D4">
        <w:rPr>
          <w:b/>
        </w:rPr>
        <w:t xml:space="preserve"> IR PRIEDO PAKEITIMO </w:t>
      </w:r>
      <w:r w:rsidR="004019FF" w:rsidRPr="009512D4">
        <w:rPr>
          <w:b/>
        </w:rPr>
        <w:t>ĮSTATYMO PROJEKTO</w:t>
      </w:r>
      <w:bookmarkEnd w:id="0"/>
    </w:p>
    <w:p w14:paraId="0A3A6D31" w14:textId="77777777" w:rsidR="00D30D08" w:rsidRPr="00873B9E" w:rsidRDefault="00D30D08" w:rsidP="005A2109">
      <w:pPr>
        <w:pStyle w:val="BodyText"/>
        <w:outlineLvl w:val="0"/>
      </w:pPr>
      <w:r w:rsidRPr="009512D4">
        <w:t>AIŠKINAMASIS RAŠTAS</w:t>
      </w:r>
    </w:p>
    <w:p w14:paraId="7E7B948A" w14:textId="77777777" w:rsidR="00D30D08" w:rsidRPr="00873B9E" w:rsidRDefault="00D30D08" w:rsidP="005A2109">
      <w:pPr>
        <w:tabs>
          <w:tab w:val="left" w:pos="720"/>
          <w:tab w:val="left" w:pos="1080"/>
        </w:tabs>
        <w:rPr>
          <w:b/>
        </w:rPr>
      </w:pPr>
    </w:p>
    <w:p w14:paraId="65FE649F" w14:textId="77777777" w:rsidR="00D30D08" w:rsidRPr="00873B9E" w:rsidRDefault="00473070" w:rsidP="005A2109">
      <w:pPr>
        <w:numPr>
          <w:ilvl w:val="0"/>
          <w:numId w:val="1"/>
        </w:numPr>
        <w:tabs>
          <w:tab w:val="left" w:pos="720"/>
          <w:tab w:val="left" w:pos="1080"/>
        </w:tabs>
        <w:ind w:left="0" w:firstLine="720"/>
        <w:jc w:val="both"/>
        <w:rPr>
          <w:bCs/>
        </w:rPr>
      </w:pPr>
      <w:r w:rsidRPr="00873B9E">
        <w:rPr>
          <w:b/>
        </w:rPr>
        <w:t>Įstatymo projekto</w:t>
      </w:r>
      <w:r w:rsidR="00D30D08" w:rsidRPr="00873B9E">
        <w:rPr>
          <w:b/>
        </w:rPr>
        <w:t xml:space="preserve"> rengimą paskatinusios priežastys, įstatymo projekto tikslai ir uždaviniai</w:t>
      </w:r>
    </w:p>
    <w:p w14:paraId="72DB53E7" w14:textId="5581BB88" w:rsidR="003852AE" w:rsidRDefault="003852AE" w:rsidP="005A2109">
      <w:pPr>
        <w:ind w:firstLine="720"/>
        <w:jc w:val="both"/>
      </w:pPr>
      <w:r w:rsidRPr="0098096E">
        <w:rPr>
          <w:i/>
          <w:iCs/>
        </w:rPr>
        <w:t>2019 m. birželio 25 d. priimtas Tarybos reglamentas (ES) 2019/1111 dėl jurisdikcijos ir sprendimų, susijusių su santuoka ir tėvų pareigomis bei tarptautiniu vaikų grobimu, pripažinimo ir vykdymo</w:t>
      </w:r>
      <w:r>
        <w:t xml:space="preserve"> (toliau – Reglamentas (ES) 2019/1111). </w:t>
      </w:r>
      <w:r w:rsidR="007472E0">
        <w:t xml:space="preserve">Reglamentu (ES) 2019/1111 pakeistas </w:t>
      </w:r>
      <w:r w:rsidR="008657CC" w:rsidRPr="008657CC">
        <w:t>2003 m. lapkričio 27 d. Tarybos reglamentas (EB) Nr. 2201/2003 dėl jurisdikcijos ir teismo sprendimų, susijusių su santuoka ir tėvų pareigomis, pripažinimo bei vykdymo, panaikinantis Reglamentą (EB) Nr. 1347/2000</w:t>
      </w:r>
      <w:r w:rsidR="00954B0F">
        <w:t xml:space="preserve"> (toliau – </w:t>
      </w:r>
      <w:r w:rsidR="002B4DF3" w:rsidRPr="002B4DF3">
        <w:t>Reglamentas (EB) Nr. 2201/2003</w:t>
      </w:r>
      <w:r w:rsidR="00954B0F">
        <w:t>)</w:t>
      </w:r>
      <w:r w:rsidR="008657CC">
        <w:t>, kuris šiuo metu yra</w:t>
      </w:r>
      <w:r w:rsidR="008657CC" w:rsidRPr="008657CC">
        <w:t xml:space="preserve"> teisminio bendradarbiavimo šeimos bylose pagrindas.</w:t>
      </w:r>
      <w:r w:rsidR="008657CC">
        <w:t xml:space="preserve"> </w:t>
      </w:r>
      <w:r w:rsidR="001E18DA" w:rsidRPr="001E18DA">
        <w:t>Reglamentas (ES) 2019/1111</w:t>
      </w:r>
      <w:r w:rsidR="001E18DA">
        <w:t xml:space="preserve">, pakeisiantis šiuo metu galiojantį </w:t>
      </w:r>
      <w:r w:rsidR="002B4DF3" w:rsidRPr="002B4DF3">
        <w:t>Reglament</w:t>
      </w:r>
      <w:r w:rsidR="002B4DF3">
        <w:t>ą</w:t>
      </w:r>
      <w:r w:rsidR="002B4DF3" w:rsidRPr="002B4DF3">
        <w:t xml:space="preserve"> (EB) Nr. 2201/2003</w:t>
      </w:r>
      <w:r w:rsidR="001E18DA">
        <w:t xml:space="preserve">, nuo taikymo pradžios </w:t>
      </w:r>
      <w:r w:rsidR="001E18DA" w:rsidRPr="001E18DA">
        <w:t>2022 m. rugpjūčio 1 d.</w:t>
      </w:r>
      <w:r w:rsidR="001E18DA">
        <w:t xml:space="preserve"> bus pagrindinis Europos Sąjungos teisės aktas, skirtas valstybių narių teismų jurisdikcijai nustatyti, teismų sprendimų, autentiškų dokumentų, susitarimų pripažinimui ir vykdymui</w:t>
      </w:r>
      <w:r w:rsidR="007873E6">
        <w:t xml:space="preserve"> tarpvalstybinėse</w:t>
      </w:r>
      <w:r w:rsidR="001E18DA">
        <w:t xml:space="preserve"> šeimos bylose </w:t>
      </w:r>
      <w:r w:rsidR="00E11ADF">
        <w:t xml:space="preserve">(įskaitant tarptautinio vaikų grobimo atvejus) </w:t>
      </w:r>
      <w:r w:rsidR="001E18DA">
        <w:t>reglamentuoti.</w:t>
      </w:r>
    </w:p>
    <w:p w14:paraId="5B326183" w14:textId="31FCEBA0" w:rsidR="00E11ADF" w:rsidRDefault="00E11ADF" w:rsidP="005A2109">
      <w:pPr>
        <w:ind w:firstLine="720"/>
        <w:jc w:val="both"/>
      </w:pPr>
      <w:r w:rsidRPr="00E11ADF">
        <w:t>Reglamentu (ES) 2019/1111</w:t>
      </w:r>
      <w:r>
        <w:t xml:space="preserve"> įtvirtintos šios pagrindinės naujos nuostatos:</w:t>
      </w:r>
    </w:p>
    <w:p w14:paraId="4EE83390" w14:textId="6D6086AA" w:rsidR="00E11ADF" w:rsidRDefault="00BB50D5" w:rsidP="006B2232">
      <w:pPr>
        <w:ind w:firstLine="720"/>
        <w:jc w:val="both"/>
      </w:pPr>
      <w:r>
        <w:t xml:space="preserve">1) </w:t>
      </w:r>
      <w:r w:rsidR="00B90E20" w:rsidRPr="00205C34">
        <w:rPr>
          <w:i/>
          <w:iCs/>
        </w:rPr>
        <w:t xml:space="preserve">įtvirtintas visiškas egzekvatūros (specialios kitoje valstybėje narėje priimtų teismo sprendimų pripažinimo ir paskelbimo vykdytinais procedūros, </w:t>
      </w:r>
      <w:proofErr w:type="spellStart"/>
      <w:r w:rsidR="00B90E20" w:rsidRPr="00205C34">
        <w:rPr>
          <w:i/>
          <w:iCs/>
        </w:rPr>
        <w:t>exequatur</w:t>
      </w:r>
      <w:proofErr w:type="spellEnd"/>
      <w:r w:rsidR="00B90E20" w:rsidRPr="00205C34">
        <w:rPr>
          <w:i/>
          <w:iCs/>
        </w:rPr>
        <w:t>) panaikinimas sprendimams dėl tėvų pareigų</w:t>
      </w:r>
      <w:r w:rsidR="00205C34" w:rsidRPr="00205C34">
        <w:rPr>
          <w:i/>
          <w:iCs/>
        </w:rPr>
        <w:t xml:space="preserve"> ir su santuoka susijusiose bylose</w:t>
      </w:r>
      <w:r w:rsidR="00B90E20" w:rsidRPr="00205C34">
        <w:rPr>
          <w:i/>
          <w:iCs/>
        </w:rPr>
        <w:t xml:space="preserve">, nereikalaujant jokios </w:t>
      </w:r>
      <w:proofErr w:type="spellStart"/>
      <w:r w:rsidR="00B90E20" w:rsidRPr="00205C34">
        <w:rPr>
          <w:i/>
          <w:iCs/>
        </w:rPr>
        <w:t>vykdytinumo</w:t>
      </w:r>
      <w:proofErr w:type="spellEnd"/>
      <w:r w:rsidR="00B90E20" w:rsidRPr="00205C34">
        <w:rPr>
          <w:i/>
          <w:iCs/>
        </w:rPr>
        <w:t xml:space="preserve"> deklaracijos</w:t>
      </w:r>
      <w:r w:rsidR="007A0EAF" w:rsidRPr="00205C34">
        <w:rPr>
          <w:i/>
          <w:iCs/>
        </w:rPr>
        <w:t>, tačiau kartu įtvirtinant atitinkamus saugiklius</w:t>
      </w:r>
      <w:r w:rsidR="00B90E20">
        <w:t xml:space="preserve">. </w:t>
      </w:r>
      <w:r w:rsidR="00954B0F" w:rsidRPr="00954B0F">
        <w:t>Sprendimai dėl tėvų pareigų, kurie yra vykdytini kilmės valstybėje narėje, turė</w:t>
      </w:r>
      <w:r w:rsidR="00954B0F">
        <w:t>s</w:t>
      </w:r>
      <w:r w:rsidR="00954B0F" w:rsidRPr="00954B0F">
        <w:t xml:space="preserve"> būti vykdomi kitoje valstybėje narėje, nereikalaujant jų paskelbimo vykdytinais. Egzekvatūros panaikinimas susie</w:t>
      </w:r>
      <w:r w:rsidR="00954B0F">
        <w:t>tas</w:t>
      </w:r>
      <w:r w:rsidR="00954B0F" w:rsidRPr="00954B0F">
        <w:t xml:space="preserve"> su procesinėmis garantijomis – sprendimų atsisakymo pripažinti ir vykdyti pagrindų nustatymu</w:t>
      </w:r>
      <w:r w:rsidR="00D46841">
        <w:t xml:space="preserve">. Ginčo šalims sudaryta galimybė ginčyti sprendimo pripažinimą ir </w:t>
      </w:r>
      <w:proofErr w:type="spellStart"/>
      <w:r w:rsidR="00D46841">
        <w:t>vykdytinumą</w:t>
      </w:r>
      <w:proofErr w:type="spellEnd"/>
      <w:r w:rsidR="00D46841">
        <w:t xml:space="preserve"> </w:t>
      </w:r>
      <w:proofErr w:type="spellStart"/>
      <w:r w:rsidR="00D46841" w:rsidRPr="00D46841">
        <w:rPr>
          <w:i/>
          <w:iCs/>
        </w:rPr>
        <w:t>ex</w:t>
      </w:r>
      <w:proofErr w:type="spellEnd"/>
      <w:r w:rsidR="00D46841" w:rsidRPr="00D46841">
        <w:rPr>
          <w:i/>
          <w:iCs/>
        </w:rPr>
        <w:t xml:space="preserve"> </w:t>
      </w:r>
      <w:proofErr w:type="spellStart"/>
      <w:r w:rsidR="00D46841" w:rsidRPr="00D46841">
        <w:rPr>
          <w:i/>
          <w:iCs/>
        </w:rPr>
        <w:t>post</w:t>
      </w:r>
      <w:proofErr w:type="spellEnd"/>
      <w:r w:rsidR="00D46841">
        <w:t>, t. y. kreipiantis į teismą su prašymu nepripažinti ir nevykdyti sprendimo</w:t>
      </w:r>
      <w:r w:rsidR="00B0637D">
        <w:t xml:space="preserve"> dėl konkrečių </w:t>
      </w:r>
      <w:r w:rsidR="00B0637D" w:rsidRPr="00B0637D">
        <w:t>Reglamente (ES) 2019/1111</w:t>
      </w:r>
      <w:r w:rsidR="00B0637D">
        <w:t xml:space="preserve"> nurodytų pagrindų</w:t>
      </w:r>
      <w:r w:rsidR="00954B0F" w:rsidRPr="00954B0F">
        <w:t>. Reglament</w:t>
      </w:r>
      <w:r w:rsidR="00954B0F">
        <w:t>e</w:t>
      </w:r>
      <w:r w:rsidR="00954B0F" w:rsidRPr="00954B0F">
        <w:t xml:space="preserve"> (ES) 2019/1111 įtvirtint</w:t>
      </w:r>
      <w:r w:rsidR="00954B0F">
        <w:t>i</w:t>
      </w:r>
      <w:r w:rsidR="00954B0F" w:rsidRPr="00954B0F">
        <w:t xml:space="preserve"> tokie sprendimų atsisakymo pripažinti ir vykdyti pagrindai: viešoji tvarka, sprendimų nesuderinamumas, dokumentų neįteikimas, kai atsakovas neatvyko į bylos nagrinėjimą, nesuteikimas galimybės būti išklausytiems tėvų pareigų turėtojams, nesuteikimas galimybės vaikui būti išklausytam, konsultavimosi procedūrų nesilaikymas vaiko tarpvalstybinio įkurdinimo atveju. Taip pat kaip ir galiojančiame </w:t>
      </w:r>
      <w:r>
        <w:t>R</w:t>
      </w:r>
      <w:r w:rsidR="00954B0F" w:rsidRPr="00954B0F">
        <w:t xml:space="preserve">eglamente </w:t>
      </w:r>
      <w:r w:rsidR="00205C34" w:rsidRPr="00205C34">
        <w:t>(EB) Nr. 2201/2003</w:t>
      </w:r>
      <w:r w:rsidR="00954B0F" w:rsidRPr="00954B0F">
        <w:t xml:space="preserve"> išlaik</w:t>
      </w:r>
      <w:r>
        <w:t>yti</w:t>
      </w:r>
      <w:r w:rsidR="00954B0F" w:rsidRPr="00954B0F">
        <w:t xml:space="preserve"> vadinamieji „privilegijuotieji“ sprendimai (sprendimai dėl bendravimo teisių ir dėl vaiko grąžinimo priėmus sprendimą iš esmės dėl vaiko globos teisių), kuriuos patvirtinus atitinkamu pažymėjimu užtikrinamas laisvas tokių sprendimų judėjimas (galimybė nepripažinti tokių sprendimų siejama tik su sprendimų nesuderinamu</w:t>
      </w:r>
      <w:r w:rsidR="009512D4">
        <w:t>mu</w:t>
      </w:r>
      <w:r w:rsidR="00954B0F" w:rsidRPr="00954B0F">
        <w:t>)</w:t>
      </w:r>
      <w:r>
        <w:t>;</w:t>
      </w:r>
    </w:p>
    <w:p w14:paraId="0BB36318" w14:textId="4F937AD1" w:rsidR="00BB50D5" w:rsidRDefault="00BB50D5" w:rsidP="006B2232">
      <w:pPr>
        <w:ind w:firstLine="720"/>
        <w:jc w:val="both"/>
      </w:pPr>
      <w:r>
        <w:t xml:space="preserve">2) </w:t>
      </w:r>
      <w:r w:rsidRPr="00564FB5">
        <w:rPr>
          <w:i/>
          <w:iCs/>
        </w:rPr>
        <w:t>harmonizuotos konkrečios vykdymo proceso taisyklės</w:t>
      </w:r>
      <w:r>
        <w:t xml:space="preserve">. </w:t>
      </w:r>
      <w:r w:rsidR="006B2232">
        <w:t>K</w:t>
      </w:r>
      <w:r w:rsidR="006B2232" w:rsidRPr="006B2232">
        <w:t xml:space="preserve">ilmės valstybėje narėje priimtų sprendimų vykdymo procedūrą iš esmės </w:t>
      </w:r>
      <w:r w:rsidR="006B2232">
        <w:t xml:space="preserve">ir toliau </w:t>
      </w:r>
      <w:r w:rsidR="006B2232" w:rsidRPr="006B2232">
        <w:t>reguliuo</w:t>
      </w:r>
      <w:r w:rsidR="006B2232">
        <w:t>s</w:t>
      </w:r>
      <w:r w:rsidR="006B2232" w:rsidRPr="006B2232">
        <w:t xml:space="preserve"> vykdymo valstybės narės teisė</w:t>
      </w:r>
      <w:r w:rsidR="006B2232">
        <w:t>,</w:t>
      </w:r>
      <w:r w:rsidR="006B2232" w:rsidRPr="006B2232">
        <w:t xml:space="preserve"> </w:t>
      </w:r>
      <w:r w:rsidR="006B2232">
        <w:t>v</w:t>
      </w:r>
      <w:r w:rsidR="006B2232" w:rsidRPr="006B2232">
        <w:t>is dėlto Reglamentu (ES) 2019/1111 įtvirtintos minimaliai harmonizuotos vykdymo procedūros taisyklės, kokių veiksmų turėtų būti imamasi tuo atveju, kai po sprendimo priėmimo vykdymo proceso metu iš esmės pasikeičia aplinkybės. Tokios minimaliai harmonizuotos taisyklės apima suderintus sprendimo vykdymo sustabdymo ar atsisakymo vykdyti pagrindus, kurie b</w:t>
      </w:r>
      <w:r w:rsidR="006B2232">
        <w:t>us</w:t>
      </w:r>
      <w:r w:rsidR="006B2232" w:rsidRPr="006B2232">
        <w:t xml:space="preserve"> taikomi vykdymo valstybėje narėje</w:t>
      </w:r>
      <w:r w:rsidR="006B2232">
        <w:t xml:space="preserve"> ir</w:t>
      </w:r>
      <w:r w:rsidR="006B2232" w:rsidRPr="006B2232">
        <w:t xml:space="preserve"> užtikrin</w:t>
      </w:r>
      <w:r w:rsidR="006B2232">
        <w:t>s</w:t>
      </w:r>
      <w:r w:rsidR="006B2232" w:rsidRPr="006B2232">
        <w:t>, kad visose valstybėse narėse sprendimų vykdymas būtų sustabdomas arba atsisakoma vykdyti sprendimus iš esmės laikantis tokių pačių sąlygų</w:t>
      </w:r>
      <w:r w:rsidR="006B2232">
        <w:t>, taip pat</w:t>
      </w:r>
      <w:r w:rsidR="006B2232" w:rsidRPr="006B2232">
        <w:t xml:space="preserve"> suteik</w:t>
      </w:r>
      <w:r w:rsidR="006B2232">
        <w:t>s</w:t>
      </w:r>
      <w:r w:rsidR="006B2232" w:rsidRPr="006B2232">
        <w:t xml:space="preserve"> teisinį aiškumą tėvams ir vaikams. </w:t>
      </w:r>
      <w:r w:rsidR="006B2232">
        <w:t>Išlaikyta</w:t>
      </w:r>
      <w:r w:rsidR="006B2232" w:rsidRPr="006B2232">
        <w:t xml:space="preserve"> galimybė taikyti ir nacionalinėje vykdymo valstybės narės teisėje nustatytus atsisakymo vykdyti pagrindus, jei šie pagrindai </w:t>
      </w:r>
      <w:r w:rsidR="006B2232">
        <w:t>yra</w:t>
      </w:r>
      <w:r w:rsidR="006B2232" w:rsidRPr="006B2232">
        <w:t xml:space="preserve"> suderinami su </w:t>
      </w:r>
      <w:bookmarkStart w:id="1" w:name="_Hlk75363321"/>
      <w:r w:rsidR="006B2232">
        <w:t>R</w:t>
      </w:r>
      <w:r w:rsidR="006B2232" w:rsidRPr="006B2232">
        <w:t>eglamente (ES) 2019/1111</w:t>
      </w:r>
      <w:r w:rsidR="006B2232">
        <w:t xml:space="preserve"> </w:t>
      </w:r>
      <w:bookmarkEnd w:id="1"/>
      <w:r w:rsidR="006B2232" w:rsidRPr="006B2232">
        <w:t>nustatytais vykdymo pagrindais</w:t>
      </w:r>
      <w:r w:rsidR="00E24555">
        <w:t>;</w:t>
      </w:r>
    </w:p>
    <w:p w14:paraId="67DB9524" w14:textId="07AA4C08" w:rsidR="00E24555" w:rsidRDefault="00E24555" w:rsidP="006B2232">
      <w:pPr>
        <w:ind w:firstLine="720"/>
        <w:jc w:val="both"/>
      </w:pPr>
      <w:r>
        <w:t xml:space="preserve">3) </w:t>
      </w:r>
      <w:r w:rsidR="00D46841" w:rsidRPr="00564FB5">
        <w:rPr>
          <w:i/>
          <w:iCs/>
        </w:rPr>
        <w:t>įtvirtintos aiškesnės taisyklės dėl galimybės vaikui išsakyti savo nuomonę</w:t>
      </w:r>
      <w:r w:rsidR="00D46841">
        <w:t xml:space="preserve">. </w:t>
      </w:r>
      <w:r w:rsidR="00D46841" w:rsidRPr="00D46841">
        <w:t>Reglamente (ES) 2019/1111 įtvirtint</w:t>
      </w:r>
      <w:r w:rsidR="00D46841">
        <w:t>a</w:t>
      </w:r>
      <w:r w:rsidR="00D46841" w:rsidRPr="00D46841">
        <w:t xml:space="preserve"> aiški prievol</w:t>
      </w:r>
      <w:r w:rsidR="00D46841">
        <w:t>ė</w:t>
      </w:r>
      <w:r w:rsidR="00D46841" w:rsidRPr="00D46841">
        <w:t xml:space="preserve"> suteikti galimybę vaikui, galinčiam išreikšti savo nuomonę, realią ir efektyvią galimybę tai padaryti. Jei vaikas išreiškė savo nuomonę, teismas, vadovaudamasis </w:t>
      </w:r>
      <w:r w:rsidR="00D46841" w:rsidRPr="00D46841">
        <w:lastRenderedPageBreak/>
        <w:t>nacionalinėje teisėje nustatytomis procedūromis, turėtų šią nuomonę įvertinti, atsižvelgdamas į vaiko amžių ir brandą. Reglament</w:t>
      </w:r>
      <w:r w:rsidR="00D46841">
        <w:t>u</w:t>
      </w:r>
      <w:r w:rsidR="00D46841" w:rsidRPr="00D46841">
        <w:t xml:space="preserve"> (ES) 2019/1111 ne</w:t>
      </w:r>
      <w:r w:rsidR="00112C99">
        <w:t>pakeisto</w:t>
      </w:r>
      <w:r w:rsidR="00E91560">
        <w:t>s</w:t>
      </w:r>
      <w:r w:rsidR="00D46841" w:rsidRPr="00D46841">
        <w:t xml:space="preserve"> valstybių narių taisyklės ir praktika dėl vaiko išklausymo tvarkos: kaip konkrečiai vaikas turėtų būti išklausytas, ir toliau reguliuos valstybių narių nacionalinė teisė. Taigi kitos valstybės narės teismas negalės atsisakyti pripažinti kilmės valstybės narės teismo sprendimą vien todėl, kad kilmės valstybėje narėje vaikas buvo išklausytas kitaip, nei pagal tos valstybės narės teismo taikomus standartus</w:t>
      </w:r>
      <w:r w:rsidR="00112C99">
        <w:t>;</w:t>
      </w:r>
    </w:p>
    <w:p w14:paraId="2B338EAC" w14:textId="41F748DA" w:rsidR="00E91560" w:rsidRDefault="00E91560" w:rsidP="006B2232">
      <w:pPr>
        <w:ind w:firstLine="720"/>
        <w:jc w:val="both"/>
      </w:pPr>
      <w:r>
        <w:t xml:space="preserve">4) </w:t>
      </w:r>
      <w:r w:rsidRPr="00564FB5">
        <w:rPr>
          <w:i/>
          <w:iCs/>
        </w:rPr>
        <w:t>įtvirtintos aiškesnės taisyklės dėl vaiko įkurdinimo kitoje valstybėje narėje</w:t>
      </w:r>
      <w:r>
        <w:t xml:space="preserve">. </w:t>
      </w:r>
      <w:r w:rsidRPr="00E91560">
        <w:t xml:space="preserve">Vaiko įkurdinimui kitoje valstybėje narėje toliau bus taikoma konsultavimosi procedūra, siekiant gauti kitos valstybės narės </w:t>
      </w:r>
      <w:r w:rsidR="001F00FB">
        <w:t>sutiki</w:t>
      </w:r>
      <w:r w:rsidRPr="00E91560">
        <w:t xml:space="preserve">mą. Tokia procedūra nebus taikoma įkurdinimui pas tėvus (taip pat pas kitus artimus giminaičius, </w:t>
      </w:r>
      <w:r w:rsidR="00761CCA">
        <w:t>jei konkreti</w:t>
      </w:r>
      <w:r w:rsidRPr="00E91560">
        <w:t xml:space="preserve"> valstyb</w:t>
      </w:r>
      <w:r w:rsidR="00761CCA">
        <w:t>ė</w:t>
      </w:r>
      <w:r w:rsidRPr="00E91560">
        <w:t xml:space="preserve"> nar</w:t>
      </w:r>
      <w:r w:rsidR="00761CCA">
        <w:t>ė nuspręstų taikyti tokią išimtį</w:t>
      </w:r>
      <w:r w:rsidRPr="00E91560">
        <w:t xml:space="preserve">). Sutikimo davimui arba atsisakymui duoti sutikimą dėl įkurdinimo </w:t>
      </w:r>
      <w:r w:rsidR="00761CCA" w:rsidRPr="00761CCA">
        <w:t>Reglament</w:t>
      </w:r>
      <w:r w:rsidR="00761CCA">
        <w:t>e</w:t>
      </w:r>
      <w:r w:rsidR="00761CCA" w:rsidRPr="00761CCA">
        <w:t xml:space="preserve"> (ES) 2019/1111 </w:t>
      </w:r>
      <w:r w:rsidR="00761CCA">
        <w:t>n</w:t>
      </w:r>
      <w:r w:rsidRPr="00E91560">
        <w:t>ustatytas trijų mėnesių terminas</w:t>
      </w:r>
      <w:r w:rsidR="004C1314">
        <w:t>, o sutikimo gavimo tvarką reglamentuos prašomosios valstybės narės nacionalinė teisė</w:t>
      </w:r>
      <w:r>
        <w:t>;</w:t>
      </w:r>
    </w:p>
    <w:p w14:paraId="55223514" w14:textId="7C62AC0C" w:rsidR="00E91560" w:rsidRDefault="00E91560" w:rsidP="006B2232">
      <w:pPr>
        <w:ind w:firstLine="720"/>
        <w:jc w:val="both"/>
      </w:pPr>
      <w:r>
        <w:t xml:space="preserve">5) </w:t>
      </w:r>
      <w:r w:rsidRPr="00564FB5">
        <w:rPr>
          <w:i/>
          <w:iCs/>
        </w:rPr>
        <w:t>nustatytos aiškesnės taisyklės dėl autentiškų dokumentų ir susitarimų judėjimo</w:t>
      </w:r>
      <w:r>
        <w:t>.</w:t>
      </w:r>
      <w:r w:rsidR="003025D0" w:rsidRPr="003025D0">
        <w:t xml:space="preserve"> Reglament</w:t>
      </w:r>
      <w:r w:rsidR="003025D0">
        <w:t>u</w:t>
      </w:r>
      <w:r w:rsidR="003025D0" w:rsidRPr="003025D0">
        <w:t xml:space="preserve"> (ES) 2019/1111</w:t>
      </w:r>
      <w:r w:rsidR="003025D0">
        <w:t xml:space="preserve"> </w:t>
      </w:r>
      <w:r w:rsidR="003025D0" w:rsidRPr="003025D0">
        <w:t xml:space="preserve">siekiama palengvinti autentiškų dokumentų ir susitarimų judėjimą tarp valstybių narių, kartu taikant tam tikrus saugiklius. </w:t>
      </w:r>
      <w:r w:rsidR="003025D0">
        <w:t>A</w:t>
      </w:r>
      <w:r w:rsidR="003025D0" w:rsidRPr="003025D0">
        <w:t>tsižvelgiant į kiekvieną nacionalinę sistemą, judė</w:t>
      </w:r>
      <w:r w:rsidR="003025D0">
        <w:t>s</w:t>
      </w:r>
      <w:r w:rsidR="003025D0" w:rsidRPr="003025D0">
        <w:t xml:space="preserve"> tik tokie autentiški dokumentai, kurie buvo formaliai parengti ar užregistruoti atitinkamos institucijos, ir tik tokie susitarimai, kurie buvo užregistruoti atitinkamos institucijos. Taip pat svarbu, kad autentiškų dokumentų ir susitarimų judėjimas užtikrinamas tik tuomet, kai juos formaliai parengė ar užregistravo jurisdikciją turinčios valstybės narės institucija</w:t>
      </w:r>
      <w:r w:rsidR="003025D0">
        <w:t>;</w:t>
      </w:r>
    </w:p>
    <w:p w14:paraId="3322AE3C" w14:textId="15F481CE" w:rsidR="00E91560" w:rsidRPr="00B90E20" w:rsidRDefault="00E91560" w:rsidP="006B2232">
      <w:pPr>
        <w:ind w:firstLine="720"/>
        <w:jc w:val="both"/>
      </w:pPr>
      <w:r>
        <w:t xml:space="preserve">6) </w:t>
      </w:r>
      <w:r w:rsidRPr="00564FB5">
        <w:rPr>
          <w:i/>
          <w:iCs/>
        </w:rPr>
        <w:t>nustatytos aiškesnės taisyklės dėl vaiko grobimo bylų tarp Europos Sąjungos valstybių narių</w:t>
      </w:r>
      <w:r>
        <w:t xml:space="preserve">. </w:t>
      </w:r>
      <w:r w:rsidR="003025D0" w:rsidRPr="003025D0">
        <w:t>Sprendimai dėl vaiko grąžinimo</w:t>
      </w:r>
      <w:r w:rsidR="00801D2B">
        <w:t>, priimti</w:t>
      </w:r>
      <w:r w:rsidR="003025D0" w:rsidRPr="003025D0">
        <w:t xml:space="preserve"> pagal 1980 m. spalio 25 d. Hagos konvenciją dėl tarptautinio vaikų grobimo civilinių aspektų (toliau – Hagos konvencija)</w:t>
      </w:r>
      <w:r w:rsidR="00801D2B">
        <w:t>,</w:t>
      </w:r>
      <w:r w:rsidR="003025D0" w:rsidRPr="003025D0">
        <w:t xml:space="preserve"> bus pripažįstami ir vykdomi pagal bendrąsias taisykles. Sprendimai, priimti taikant</w:t>
      </w:r>
      <w:r w:rsidR="00801D2B">
        <w:t xml:space="preserve"> vadinamą</w:t>
      </w:r>
      <w:r w:rsidR="003025D0" w:rsidRPr="003025D0">
        <w:t xml:space="preserve"> </w:t>
      </w:r>
      <w:r w:rsidR="00801D2B">
        <w:t>„</w:t>
      </w:r>
      <w:r w:rsidR="003025D0" w:rsidRPr="003025D0">
        <w:t>viršesnį mechanizmą</w:t>
      </w:r>
      <w:r w:rsidR="00801D2B">
        <w:t>“</w:t>
      </w:r>
      <w:r w:rsidR="003025D0" w:rsidRPr="003025D0">
        <w:t xml:space="preserve"> (</w:t>
      </w:r>
      <w:r w:rsidR="00801D2B">
        <w:t>anglų k. „</w:t>
      </w:r>
      <w:proofErr w:type="spellStart"/>
      <w:r w:rsidR="003025D0" w:rsidRPr="00801D2B">
        <w:rPr>
          <w:i/>
          <w:iCs/>
        </w:rPr>
        <w:t>overrriding</w:t>
      </w:r>
      <w:proofErr w:type="spellEnd"/>
      <w:r w:rsidR="003025D0" w:rsidRPr="00801D2B">
        <w:rPr>
          <w:i/>
          <w:iCs/>
        </w:rPr>
        <w:t xml:space="preserve"> </w:t>
      </w:r>
      <w:proofErr w:type="spellStart"/>
      <w:r w:rsidR="003025D0" w:rsidRPr="00801D2B">
        <w:rPr>
          <w:i/>
          <w:iCs/>
        </w:rPr>
        <w:t>mechanism</w:t>
      </w:r>
      <w:proofErr w:type="spellEnd"/>
      <w:r w:rsidR="00801D2B">
        <w:t>“</w:t>
      </w:r>
      <w:r w:rsidR="003025D0" w:rsidRPr="003025D0">
        <w:t xml:space="preserve">), judės kaip </w:t>
      </w:r>
      <w:r w:rsidR="00801D2B">
        <w:t>„</w:t>
      </w:r>
      <w:r w:rsidR="003025D0" w:rsidRPr="003025D0">
        <w:t>privilegijuotieji</w:t>
      </w:r>
      <w:r w:rsidR="00801D2B">
        <w:t>“</w:t>
      </w:r>
      <w:r w:rsidR="003025D0" w:rsidRPr="003025D0">
        <w:t xml:space="preserve"> sprendimai pagal specialiąsias pripažinimo ir vykdymo taisykles. </w:t>
      </w:r>
      <w:r w:rsidR="00801D2B" w:rsidRPr="00801D2B">
        <w:t>Reglamente (ES) 2019/1111</w:t>
      </w:r>
      <w:r w:rsidR="003025D0" w:rsidRPr="003025D0">
        <w:t xml:space="preserve"> </w:t>
      </w:r>
      <w:r w:rsidR="00801D2B">
        <w:t xml:space="preserve">taip pat </w:t>
      </w:r>
      <w:r w:rsidR="003025D0" w:rsidRPr="003025D0">
        <w:t>nustat</w:t>
      </w:r>
      <w:r w:rsidR="00801D2B">
        <w:t>yti</w:t>
      </w:r>
      <w:r w:rsidR="003025D0" w:rsidRPr="003025D0">
        <w:t xml:space="preserve"> aiškūs terminai, taikytini nagrinėjant bylas dėl vaiko grobimo. Suteikiamas didesnis matomumas alternatyviam ginčų sprendimui, siekiant tvarių susitarimų tarp ginčo šalių. Be to, siekiant sumažinti vaiko fizinei ir psichinei gerovei galinčias kilti rizikas, numat</w:t>
      </w:r>
      <w:r w:rsidR="00182B67">
        <w:t>yta</w:t>
      </w:r>
      <w:r w:rsidR="003025D0" w:rsidRPr="003025D0">
        <w:t xml:space="preserve"> galimybė taikyti atitinkamas laikinąsias apsaugos priemones.</w:t>
      </w:r>
    </w:p>
    <w:p w14:paraId="0193BD5E" w14:textId="77777777" w:rsidR="00EC240D" w:rsidRDefault="00EC240D" w:rsidP="00EC240D">
      <w:pPr>
        <w:ind w:firstLine="720"/>
        <w:jc w:val="both"/>
      </w:pPr>
      <w:r w:rsidRPr="0098096E">
        <w:rPr>
          <w:i/>
          <w:iCs/>
        </w:rPr>
        <w:t>2020 m. lapkričio 25 d. priimtas Europos Parlamento ir Tarybos reglamentas (ES) 2020/1783 dėl valstybių narių teismų bendradarbiavimo renkant įrodymus civilinėse ar komercinėse bylose (įrodymų rinkimas) (nauja redakcija)</w:t>
      </w:r>
      <w:r>
        <w:t xml:space="preserve"> (toliau – Reglamentas </w:t>
      </w:r>
      <w:r w:rsidRPr="00F429AE">
        <w:t>(ES)</w:t>
      </w:r>
      <w:r>
        <w:t xml:space="preserve"> </w:t>
      </w:r>
      <w:r w:rsidRPr="00F429AE">
        <w:t>2020/1783</w:t>
      </w:r>
      <w:r>
        <w:t xml:space="preserve">). Reglamentu </w:t>
      </w:r>
      <w:r w:rsidRPr="00F429AE">
        <w:t>(ES)</w:t>
      </w:r>
      <w:r>
        <w:t xml:space="preserve"> </w:t>
      </w:r>
      <w:r w:rsidRPr="00F429AE">
        <w:t>2020/1783</w:t>
      </w:r>
      <w:r>
        <w:t xml:space="preserve"> pakeistas 2001 m. gegužės 28 d. Tarybos reglamentas (EB) Nr. 1206/2001 dėl valstybių narių teismų tarpusavio bendradarbiavimo renkant įrodymus civilinėse ar komercinėse bylose (toliau –  Reglamentas (EB) Nr. 1206/2001). Reglamentas </w:t>
      </w:r>
      <w:r w:rsidRPr="00F429AE">
        <w:t xml:space="preserve">(ES) 2020/1783 </w:t>
      </w:r>
      <w:r>
        <w:t xml:space="preserve">nuo taikymo pradžios 2022 m. liepos 1 d. bus pagrindinis Europos Sąjungos teisės aktas, reglamentuojantis valstybių narių teismų tarpusavio bendradarbiavimo renkant įrodymus civilinėse ar komercinėse bylose tvarką. </w:t>
      </w:r>
    </w:p>
    <w:p w14:paraId="1BD46F7B" w14:textId="77777777" w:rsidR="00EC240D" w:rsidRDefault="00EC240D" w:rsidP="00EC240D">
      <w:pPr>
        <w:ind w:firstLine="720"/>
        <w:jc w:val="both"/>
      </w:pPr>
      <w:r w:rsidRPr="00E11ADF">
        <w:t xml:space="preserve">Reglamentu </w:t>
      </w:r>
      <w:r w:rsidRPr="00F429AE">
        <w:t>(ES) 2020/178</w:t>
      </w:r>
      <w:r>
        <w:t>3 įtvirtintos šios pagrindinės naujos nuostatos:</w:t>
      </w:r>
    </w:p>
    <w:p w14:paraId="3FC57B3B" w14:textId="430EB4F4" w:rsidR="00EC240D" w:rsidRDefault="00EC240D" w:rsidP="00EC240D">
      <w:pPr>
        <w:ind w:firstLine="720"/>
        <w:jc w:val="both"/>
      </w:pPr>
      <w:r>
        <w:t xml:space="preserve">1) </w:t>
      </w:r>
      <w:r w:rsidRPr="00E13D28">
        <w:rPr>
          <w:bCs/>
          <w:i/>
          <w:iCs/>
        </w:rPr>
        <w:t>apibrėžiama „teismo“ sąvoka</w:t>
      </w:r>
      <w:r w:rsidRPr="00E13D28">
        <w:rPr>
          <w:bCs/>
        </w:rPr>
        <w:t>.</w:t>
      </w:r>
      <w:r w:rsidRPr="00E13D28">
        <w:rPr>
          <w:b/>
        </w:rPr>
        <w:t xml:space="preserve"> </w:t>
      </w:r>
      <w:r>
        <w:t xml:space="preserve">Reglamente (EB) Nr. 1206/2001 terminas „teismas“ nebuvo apibrėžtas ir dėl to valstybės narės skirtingai jį aiškino. Kai kurios valstybės narės laikė, kad sąvoka apima tik tradicinius teismus, o kitos valstybės narės vykdė ir kitų institucijų (pavyzdžiui, notarų) prašymus, jeigu pagal nacionalinius įstatymus jos turi teisę atlikti įrodymų rinkimo funkcijas; </w:t>
      </w:r>
    </w:p>
    <w:p w14:paraId="16155898" w14:textId="4FACBA50" w:rsidR="00EC240D" w:rsidRDefault="00EC240D" w:rsidP="00EC240D">
      <w:pPr>
        <w:ind w:firstLine="720"/>
        <w:jc w:val="both"/>
      </w:pPr>
      <w:r>
        <w:t xml:space="preserve">2) </w:t>
      </w:r>
      <w:r w:rsidRPr="00AE4598">
        <w:rPr>
          <w:i/>
          <w:iCs/>
        </w:rPr>
        <w:t>nustatomas</w:t>
      </w:r>
      <w:r>
        <w:t xml:space="preserve"> </w:t>
      </w:r>
      <w:r w:rsidRPr="00ED64FE">
        <w:rPr>
          <w:bCs/>
          <w:i/>
          <w:iCs/>
        </w:rPr>
        <w:t xml:space="preserve">prašymų ir </w:t>
      </w:r>
      <w:r>
        <w:rPr>
          <w:bCs/>
          <w:i/>
          <w:iCs/>
        </w:rPr>
        <w:t xml:space="preserve">kitų </w:t>
      </w:r>
      <w:r w:rsidRPr="00ED64FE">
        <w:rPr>
          <w:bCs/>
          <w:i/>
          <w:iCs/>
        </w:rPr>
        <w:t>pranešimų perdavimas</w:t>
      </w:r>
      <w:r>
        <w:rPr>
          <w:bCs/>
          <w:i/>
          <w:iCs/>
        </w:rPr>
        <w:t xml:space="preserve"> naudojantis saugia ir patikima decentralizuota IT sistema</w:t>
      </w:r>
      <w:r>
        <w:rPr>
          <w:bCs/>
        </w:rPr>
        <w:t>. K</w:t>
      </w:r>
      <w:r>
        <w:t xml:space="preserve">iti perdavimo būdai naudojami tik išimtiniais atvejais, pavyzdžiui, dėl decentralizuotos IT sistemos sutrikimo, atitinkamų įrodymų pobūdžio (pavyzdžiui, perduodami DNR ar kraujo mėginiai) ir pan. Iki 2022 m. kovo 23 d. </w:t>
      </w:r>
      <w:r w:rsidR="002C015D">
        <w:t xml:space="preserve">Europos </w:t>
      </w:r>
      <w:r>
        <w:t xml:space="preserve">Komisija turi priimti įgyvendinimo aktus, kuriais nustatoma decentralizuota IT sistema. Reglamento </w:t>
      </w:r>
      <w:r w:rsidR="002C015D" w:rsidRPr="00F429AE">
        <w:t>(ES) 2020/178</w:t>
      </w:r>
      <w:r w:rsidR="002C015D">
        <w:t xml:space="preserve">3 </w:t>
      </w:r>
      <w:r>
        <w:t xml:space="preserve">7 straipsnis, numatantis prašymų ir </w:t>
      </w:r>
      <w:r w:rsidRPr="00083206">
        <w:rPr>
          <w:bCs/>
        </w:rPr>
        <w:t>kitų pranešimų perdavimą naudojantis saugia ir patikima decentralizuota IT sistema</w:t>
      </w:r>
      <w:r>
        <w:rPr>
          <w:bCs/>
        </w:rPr>
        <w:t xml:space="preserve">, bus taikomas nuo pirmos mėnesio, einančio po trejų metų laikotarpio nuo </w:t>
      </w:r>
      <w:r w:rsidR="002C015D">
        <w:rPr>
          <w:bCs/>
        </w:rPr>
        <w:t xml:space="preserve">Europos </w:t>
      </w:r>
      <w:r>
        <w:t xml:space="preserve">Komisijos priimtų įgyvendinimo aktų įsigaliojimo, dienos. Taigi nuo 2022 m. liepos 1 d. Reglamentas </w:t>
      </w:r>
      <w:r w:rsidRPr="00F429AE">
        <w:t>(ES)</w:t>
      </w:r>
      <w:r>
        <w:t xml:space="preserve"> </w:t>
      </w:r>
      <w:r w:rsidRPr="00F429AE">
        <w:t>2020/1783</w:t>
      </w:r>
      <w:r>
        <w:t xml:space="preserve"> bus taikomas su išimtimis;</w:t>
      </w:r>
    </w:p>
    <w:p w14:paraId="4BF48C65" w14:textId="17E156F8" w:rsidR="00EC240D" w:rsidRDefault="00EC240D" w:rsidP="00EC240D">
      <w:pPr>
        <w:ind w:firstLine="720"/>
        <w:jc w:val="both"/>
      </w:pPr>
      <w:r>
        <w:lastRenderedPageBreak/>
        <w:t xml:space="preserve">3) </w:t>
      </w:r>
      <w:r w:rsidRPr="00AE4598">
        <w:rPr>
          <w:bCs/>
          <w:i/>
          <w:iCs/>
        </w:rPr>
        <w:t>pašalin</w:t>
      </w:r>
      <w:r>
        <w:rPr>
          <w:bCs/>
          <w:i/>
          <w:iCs/>
        </w:rPr>
        <w:t>a</w:t>
      </w:r>
      <w:r w:rsidRPr="00AE4598">
        <w:rPr>
          <w:bCs/>
          <w:i/>
          <w:iCs/>
        </w:rPr>
        <w:t>m</w:t>
      </w:r>
      <w:r>
        <w:rPr>
          <w:bCs/>
          <w:i/>
          <w:iCs/>
        </w:rPr>
        <w:t>o</w:t>
      </w:r>
      <w:r w:rsidRPr="00AE4598">
        <w:rPr>
          <w:bCs/>
          <w:i/>
          <w:iCs/>
        </w:rPr>
        <w:t>s teisin</w:t>
      </w:r>
      <w:r>
        <w:rPr>
          <w:bCs/>
          <w:i/>
          <w:iCs/>
        </w:rPr>
        <w:t>ės</w:t>
      </w:r>
      <w:r w:rsidRPr="00AE4598">
        <w:rPr>
          <w:bCs/>
          <w:i/>
          <w:iCs/>
        </w:rPr>
        <w:t xml:space="preserve"> kliū</w:t>
      </w:r>
      <w:r>
        <w:rPr>
          <w:bCs/>
          <w:i/>
          <w:iCs/>
        </w:rPr>
        <w:t xml:space="preserve">tys </w:t>
      </w:r>
      <w:r w:rsidRPr="00AE4598">
        <w:rPr>
          <w:bCs/>
          <w:i/>
          <w:iCs/>
        </w:rPr>
        <w:t>elektroninių įrodymų priėmimui</w:t>
      </w:r>
      <w:r>
        <w:rPr>
          <w:bCs/>
          <w:i/>
          <w:iCs/>
        </w:rPr>
        <w:t xml:space="preserve">. </w:t>
      </w:r>
      <w:r>
        <w:t xml:space="preserve">Reglamento </w:t>
      </w:r>
      <w:r w:rsidRPr="00F429AE">
        <w:t>(ES)</w:t>
      </w:r>
      <w:r>
        <w:t xml:space="preserve"> </w:t>
      </w:r>
      <w:r w:rsidRPr="00F429AE">
        <w:t>2020/1783</w:t>
      </w:r>
      <w:r>
        <w:t xml:space="preserve"> 8 straipsnyje nustatoma, kad negalima atsisakyti pripažinti dokumentų, perduodamų naudojantis decentralizuota IT sistema, teisinės galios ir negalima jų laikyti nepriimtinais kaip įrodymai teismo procese tik dėl to, kad jie yra elektroniniai</w:t>
      </w:r>
      <w:r w:rsidR="002C015D">
        <w:t>;</w:t>
      </w:r>
    </w:p>
    <w:p w14:paraId="4B95499B" w14:textId="77777777" w:rsidR="002C015D" w:rsidRDefault="00EC240D" w:rsidP="002C015D">
      <w:pPr>
        <w:ind w:firstLine="720"/>
        <w:jc w:val="both"/>
      </w:pPr>
      <w:r>
        <w:t xml:space="preserve"> 4) </w:t>
      </w:r>
      <w:r w:rsidRPr="00F364AB">
        <w:rPr>
          <w:i/>
          <w:iCs/>
        </w:rPr>
        <w:t>skatinamas vaizdo konferencijų ar kitų nuotolinių ryšio technologijų naudojimas kuo didesne apimtimi.</w:t>
      </w:r>
    </w:p>
    <w:p w14:paraId="3E95E521" w14:textId="48BE677F" w:rsidR="00EC240D" w:rsidRPr="002C015D" w:rsidRDefault="00EC240D" w:rsidP="002C015D">
      <w:pPr>
        <w:ind w:firstLine="720"/>
        <w:jc w:val="both"/>
      </w:pPr>
      <w:r w:rsidRPr="0098096E">
        <w:rPr>
          <w:i/>
          <w:iCs/>
        </w:rPr>
        <w:t>2020 m. lapkričio 25 d. priimtas Europos Parlamento ir Tarybos reglamentas (ES) 2020/1784 dėl teisminių ir neteisminių dokumentų civilinėse arba komercinėse bylose įteikimo valstybėse narėse (dokumentų įteikimas) (nauja redakcija)</w:t>
      </w:r>
      <w:r>
        <w:t xml:space="preserve"> (toliau – Reglamentas </w:t>
      </w:r>
      <w:r w:rsidRPr="00F429AE">
        <w:t>(ES) 2020/1784</w:t>
      </w:r>
      <w:r>
        <w:t xml:space="preserve">). Reglamentu </w:t>
      </w:r>
      <w:r w:rsidRPr="00F429AE">
        <w:t>(ES) 2020/1784</w:t>
      </w:r>
      <w:r>
        <w:t xml:space="preserve"> pakeistas </w:t>
      </w:r>
      <w:r>
        <w:rPr>
          <w:bCs/>
        </w:rPr>
        <w:t xml:space="preserve">2007 m. lapkričio 13 d. Europos Parlamento ir Tarybos reglamentas (EB) Nr. 1393/2007 dėl teisminių ir neteisminių dokumentų civilinėse arba komercinėse bylose įteikimo valstybėse narėse („dokumentų įteikimas“) </w:t>
      </w:r>
      <w:r>
        <w:t xml:space="preserve">ir panaikinantis Tarybos reglamentą (EB) Nr. 1348/2000. Reglamentas </w:t>
      </w:r>
      <w:r w:rsidRPr="00F429AE">
        <w:t>(ES) 2020/1784</w:t>
      </w:r>
      <w:r>
        <w:t xml:space="preserve"> nuo taikymo pradžios 2022 m. liepos 1 d. bus pagrindinis Europos Sąjungos teisės aktas, reglamentuojantis </w:t>
      </w:r>
      <w:r w:rsidRPr="00F429AE">
        <w:t>teisminių ir neteisminių dokumentų civilinėse arba komercinėse bylose įteikimo valstybėse narėse</w:t>
      </w:r>
      <w:r>
        <w:t xml:space="preserve"> tvarką. </w:t>
      </w:r>
    </w:p>
    <w:p w14:paraId="1783FEA1" w14:textId="77777777" w:rsidR="00EC240D" w:rsidRDefault="00EC240D" w:rsidP="00EC240D">
      <w:pPr>
        <w:ind w:firstLine="720"/>
        <w:jc w:val="both"/>
      </w:pPr>
      <w:r w:rsidRPr="00E11ADF">
        <w:t xml:space="preserve">Reglamentu </w:t>
      </w:r>
      <w:r w:rsidRPr="00F429AE">
        <w:t xml:space="preserve">(ES) 2020/1784 </w:t>
      </w:r>
      <w:r>
        <w:t>įtvirtintos šios pagrindinės naujos nuostatos:</w:t>
      </w:r>
    </w:p>
    <w:p w14:paraId="3DCC1F96" w14:textId="7E398630" w:rsidR="00EC240D" w:rsidRDefault="00EC240D" w:rsidP="00EC240D">
      <w:pPr>
        <w:ind w:firstLine="720"/>
        <w:jc w:val="both"/>
      </w:pPr>
      <w:r>
        <w:t xml:space="preserve">1) </w:t>
      </w:r>
      <w:r w:rsidRPr="00D944C1">
        <w:rPr>
          <w:i/>
          <w:iCs/>
        </w:rPr>
        <w:t>nustatomas</w:t>
      </w:r>
      <w:r>
        <w:t xml:space="preserve"> </w:t>
      </w:r>
      <w:r w:rsidRPr="00D944C1">
        <w:rPr>
          <w:i/>
          <w:iCs/>
        </w:rPr>
        <w:t xml:space="preserve">įteiktinų </w:t>
      </w:r>
      <w:r>
        <w:rPr>
          <w:bCs/>
          <w:i/>
          <w:iCs/>
        </w:rPr>
        <w:t xml:space="preserve">dokumentų, prašymų, patvirtinimų, gavimo patvirtinimų, pažymėjimų ir kitų pranešimų </w:t>
      </w:r>
      <w:r w:rsidRPr="00D944C1">
        <w:rPr>
          <w:bCs/>
          <w:i/>
          <w:iCs/>
        </w:rPr>
        <w:t>perdavimas naudojantis saugia ir patikima decentralizuota IT sistema</w:t>
      </w:r>
      <w:r w:rsidRPr="00D944C1">
        <w:rPr>
          <w:bCs/>
        </w:rPr>
        <w:t>. K</w:t>
      </w:r>
      <w:r>
        <w:t xml:space="preserve">iti perdavimo būdai naudojami tik išimtiniais atvejais, pavyzdžiui, dėl decentralizuotos IT sistemos sutrikimo arba kai didelės apimties dokumentų konvertavimas į elektroninį formatą užkrautų neproporcingą administracinę naštą ir pan. Iki 2022 m. kovo 23 d. </w:t>
      </w:r>
      <w:r w:rsidR="0098096E">
        <w:t xml:space="preserve">Europos </w:t>
      </w:r>
      <w:r>
        <w:t xml:space="preserve">Komisija turi priimti įgyvendinimo aktus, kuriais nustatoma decentralizuota IT sistema. Reglamento </w:t>
      </w:r>
      <w:r w:rsidR="0098096E" w:rsidRPr="00F429AE">
        <w:t xml:space="preserve">(ES) 2020/1784 </w:t>
      </w:r>
      <w:r>
        <w:t xml:space="preserve">straipsniai, numatantys prašymų ir </w:t>
      </w:r>
      <w:r w:rsidRPr="00D944C1">
        <w:rPr>
          <w:bCs/>
        </w:rPr>
        <w:t>kitų pranešimų perdavimą naudojantis saugia ir patikima decentralizuota IT sistema, bus taikom</w:t>
      </w:r>
      <w:r>
        <w:rPr>
          <w:bCs/>
        </w:rPr>
        <w:t>i</w:t>
      </w:r>
      <w:r w:rsidRPr="00D944C1">
        <w:rPr>
          <w:bCs/>
        </w:rPr>
        <w:t xml:space="preserve"> nuo pirmos mėnesio, einančio po trejų metų laikotarpio nuo </w:t>
      </w:r>
      <w:r w:rsidR="0098096E">
        <w:rPr>
          <w:bCs/>
        </w:rPr>
        <w:t xml:space="preserve">Europos </w:t>
      </w:r>
      <w:r>
        <w:t xml:space="preserve">Komisijos priimtų įgyvendinimo aktų įsigaliojimo, dienos. Taigi nuo 2022 m. liepos 1 d. Reglamentas </w:t>
      </w:r>
      <w:r w:rsidRPr="00F429AE">
        <w:t>(ES)</w:t>
      </w:r>
      <w:r>
        <w:t xml:space="preserve"> </w:t>
      </w:r>
      <w:r w:rsidRPr="00F429AE">
        <w:t>2020/1783</w:t>
      </w:r>
      <w:r>
        <w:t xml:space="preserve"> bus taikomas su išimtimis;</w:t>
      </w:r>
    </w:p>
    <w:p w14:paraId="5AE480B4" w14:textId="77777777" w:rsidR="00EC240D" w:rsidRDefault="00EC240D" w:rsidP="00EC240D">
      <w:pPr>
        <w:ind w:firstLine="720"/>
        <w:jc w:val="both"/>
      </w:pPr>
      <w:r>
        <w:t>2</w:t>
      </w:r>
      <w:r w:rsidRPr="0098096E">
        <w:t>)</w:t>
      </w:r>
      <w:r w:rsidRPr="0035727F">
        <w:rPr>
          <w:i/>
          <w:iCs/>
        </w:rPr>
        <w:t xml:space="preserve"> nustatoma, kad Reglamentas (ES) 2020/1784 netaikomas </w:t>
      </w:r>
      <w:r w:rsidRPr="0035727F">
        <w:rPr>
          <w:i/>
          <w:iCs/>
          <w:color w:val="000000"/>
          <w:shd w:val="clear" w:color="auto" w:fill="FFFFFF"/>
        </w:rPr>
        <w:t>įteikiant dokumentą teismo vietos valstybės narės asmens, kuriam turi būti įteiktas dokumentas, įgaliotajam atstovui, nepriklausomai nuo to asmens gyvenamosios vietos</w:t>
      </w:r>
      <w:r>
        <w:rPr>
          <w:color w:val="000000"/>
          <w:shd w:val="clear" w:color="auto" w:fill="FFFFFF"/>
        </w:rPr>
        <w:t>;</w:t>
      </w:r>
    </w:p>
    <w:p w14:paraId="0B2A509C" w14:textId="7958F7BA" w:rsidR="00EC240D" w:rsidRDefault="00EC240D" w:rsidP="00EC240D">
      <w:pPr>
        <w:ind w:firstLine="720"/>
        <w:jc w:val="both"/>
        <w:rPr>
          <w:color w:val="000000"/>
        </w:rPr>
      </w:pPr>
      <w:r>
        <w:t xml:space="preserve">3) </w:t>
      </w:r>
      <w:r w:rsidRPr="00E92A44">
        <w:rPr>
          <w:i/>
          <w:iCs/>
        </w:rPr>
        <w:t>numatomas pagalbos nustatant adresą teikimas, kai asmens, kuriam kitos valstybės narės teritorijoje turi būti įteiktas dokumentas, adresas nėra žinomas</w:t>
      </w:r>
      <w:r>
        <w:t xml:space="preserve">. Valstybės narės turi pateikti </w:t>
      </w:r>
      <w:r w:rsidR="0098096E">
        <w:t xml:space="preserve">Europos </w:t>
      </w:r>
      <w:r>
        <w:t>Komisijai informaciją apie tai, kokių rūšių pagalbą suteiks savo teritorijoje nustatant adresą</w:t>
      </w:r>
      <w:r w:rsidR="0098096E">
        <w:t>,</w:t>
      </w:r>
      <w:r>
        <w:t xml:space="preserve"> bei apie tai, ar jų </w:t>
      </w:r>
      <w:r w:rsidRPr="006C4EBD">
        <w:rPr>
          <w:color w:val="000000"/>
        </w:rPr>
        <w:t>institucijos savo pačių iniciatyva pateikia užklausas dėl informacijos apie adresus gyvenamosios vietos registrams arba kitoms duomenų bazėms tais atvejais, kai prašyme įteikti dokumentą nurodytas adresas yra neteisingas</w:t>
      </w:r>
      <w:r>
        <w:rPr>
          <w:color w:val="000000"/>
        </w:rPr>
        <w:t>;</w:t>
      </w:r>
    </w:p>
    <w:p w14:paraId="716334A1" w14:textId="77777777" w:rsidR="00EC240D" w:rsidRDefault="00EC240D" w:rsidP="00EC240D">
      <w:pPr>
        <w:ind w:firstLine="720"/>
        <w:jc w:val="both"/>
      </w:pPr>
      <w:r>
        <w:t xml:space="preserve">4) </w:t>
      </w:r>
      <w:r w:rsidRPr="00AE4598">
        <w:rPr>
          <w:bCs/>
          <w:i/>
          <w:iCs/>
        </w:rPr>
        <w:t>pašalin</w:t>
      </w:r>
      <w:r>
        <w:rPr>
          <w:bCs/>
          <w:i/>
          <w:iCs/>
        </w:rPr>
        <w:t>a</w:t>
      </w:r>
      <w:r w:rsidRPr="00AE4598">
        <w:rPr>
          <w:bCs/>
          <w:i/>
          <w:iCs/>
        </w:rPr>
        <w:t>m</w:t>
      </w:r>
      <w:r>
        <w:rPr>
          <w:bCs/>
          <w:i/>
          <w:iCs/>
        </w:rPr>
        <w:t>o</w:t>
      </w:r>
      <w:r w:rsidRPr="00AE4598">
        <w:rPr>
          <w:bCs/>
          <w:i/>
          <w:iCs/>
        </w:rPr>
        <w:t>s teisin</w:t>
      </w:r>
      <w:r>
        <w:rPr>
          <w:bCs/>
          <w:i/>
          <w:iCs/>
        </w:rPr>
        <w:t>ės</w:t>
      </w:r>
      <w:r w:rsidRPr="00AE4598">
        <w:rPr>
          <w:bCs/>
          <w:i/>
          <w:iCs/>
        </w:rPr>
        <w:t xml:space="preserve"> kliū</w:t>
      </w:r>
      <w:r>
        <w:rPr>
          <w:bCs/>
          <w:i/>
          <w:iCs/>
        </w:rPr>
        <w:t xml:space="preserve">tys </w:t>
      </w:r>
      <w:r w:rsidRPr="00AE4598">
        <w:rPr>
          <w:bCs/>
          <w:i/>
          <w:iCs/>
        </w:rPr>
        <w:t xml:space="preserve">elektroninių </w:t>
      </w:r>
      <w:r>
        <w:rPr>
          <w:bCs/>
          <w:i/>
          <w:iCs/>
        </w:rPr>
        <w:t>dokumentų</w:t>
      </w:r>
      <w:r w:rsidRPr="00AE4598">
        <w:rPr>
          <w:bCs/>
          <w:i/>
          <w:iCs/>
        </w:rPr>
        <w:t xml:space="preserve"> priėmimui</w:t>
      </w:r>
      <w:r>
        <w:rPr>
          <w:bCs/>
          <w:i/>
          <w:iCs/>
        </w:rPr>
        <w:t xml:space="preserve">. </w:t>
      </w:r>
      <w:r>
        <w:t xml:space="preserve">Reglamento </w:t>
      </w:r>
      <w:r w:rsidRPr="00F429AE">
        <w:t>(ES)</w:t>
      </w:r>
      <w:r>
        <w:t xml:space="preserve"> </w:t>
      </w:r>
      <w:r w:rsidRPr="00F429AE">
        <w:t>2020/178</w:t>
      </w:r>
      <w:r>
        <w:t>4 6 straipsnyje nustatoma, kad negalima atsisakyti pripažinti dokumentų, perduodamų naudojantis decentralizuota IT sistema, teisinės galios ir negalima jų laikyti nepriimtinais kaip įrodymai teismo procese tik dėl to, kad jie yra elektroniniai;</w:t>
      </w:r>
    </w:p>
    <w:p w14:paraId="05E6FB07" w14:textId="7516B539" w:rsidR="00EC240D" w:rsidRDefault="00EC240D" w:rsidP="00EC240D">
      <w:pPr>
        <w:ind w:firstLine="720"/>
        <w:jc w:val="both"/>
      </w:pPr>
      <w:r>
        <w:rPr>
          <w:color w:val="000000"/>
        </w:rPr>
        <w:t xml:space="preserve">5) </w:t>
      </w:r>
      <w:r w:rsidR="0098096E">
        <w:rPr>
          <w:i/>
          <w:iCs/>
        </w:rPr>
        <w:t>aiškiau reglamentuojama</w:t>
      </w:r>
      <w:r w:rsidRPr="008E0F41">
        <w:rPr>
          <w:i/>
          <w:iCs/>
        </w:rPr>
        <w:t xml:space="preserve"> procedūra, pagal kurią adresatas gali atsisakyti priimti dokumentą, jei jis nėra </w:t>
      </w:r>
      <w:r>
        <w:rPr>
          <w:i/>
          <w:iCs/>
        </w:rPr>
        <w:t>parengtas</w:t>
      </w:r>
      <w:r w:rsidRPr="008E0F41">
        <w:rPr>
          <w:i/>
          <w:iCs/>
        </w:rPr>
        <w:t xml:space="preserve"> tinkama kalba arba į ją išverstas</w:t>
      </w:r>
      <w:r w:rsidRPr="008E0F41">
        <w:t>;</w:t>
      </w:r>
    </w:p>
    <w:p w14:paraId="0938FCCF" w14:textId="77777777" w:rsidR="00EC240D" w:rsidRPr="00110EEE" w:rsidRDefault="00EC240D" w:rsidP="00EC240D">
      <w:pPr>
        <w:ind w:firstLine="720"/>
        <w:jc w:val="both"/>
        <w:rPr>
          <w:color w:val="000000"/>
        </w:rPr>
      </w:pPr>
      <w:r>
        <w:t xml:space="preserve">6) </w:t>
      </w:r>
      <w:r w:rsidRPr="00110EEE">
        <w:rPr>
          <w:i/>
          <w:iCs/>
        </w:rPr>
        <w:t>numatomas dokumentų įteikimas elektroniniu būdu</w:t>
      </w:r>
      <w:r>
        <w:t xml:space="preserve">. </w:t>
      </w:r>
      <w:r w:rsidRPr="00E11ADF">
        <w:t>Reglament</w:t>
      </w:r>
      <w:r>
        <w:t>o</w:t>
      </w:r>
      <w:r w:rsidRPr="00E11ADF">
        <w:t xml:space="preserve"> </w:t>
      </w:r>
      <w:r w:rsidRPr="00F429AE">
        <w:t>(ES) 2020/1784</w:t>
      </w:r>
      <w:r>
        <w:t xml:space="preserve"> 19 straipsnis nustato, kad teisminiai dokumentai gali būti įteikiami asmeniui </w:t>
      </w:r>
      <w:r w:rsidRPr="00110EEE">
        <w:rPr>
          <w:color w:val="000000"/>
        </w:rPr>
        <w:t>elektroninėmis įteikimo priemonėmis, kurias pagal teismo vietos valstybės narės teisę galima naudoti dokumentų įteikimui šalies viduje, jeigu</w:t>
      </w:r>
      <w:r>
        <w:rPr>
          <w:color w:val="000000"/>
        </w:rPr>
        <w:t xml:space="preserve">: a) dokumentai </w:t>
      </w:r>
      <w:r w:rsidRPr="00110EEE">
        <w:rPr>
          <w:color w:val="000000"/>
        </w:rPr>
        <w:t>siunčiami ir gaunami naudojantis kvalifikuotomis elektroninio registruoto pristatymo paslaugomis, o adresatas yra iš anksto davęs aiškų sutikimą naudoti elektronines priemones dokumentams</w:t>
      </w:r>
      <w:r>
        <w:rPr>
          <w:color w:val="000000"/>
        </w:rPr>
        <w:t xml:space="preserve"> įteikti teismo proceso metu arba b) adresatas iš anksto davė aiškų sutikimą procesą </w:t>
      </w:r>
      <w:r>
        <w:rPr>
          <w:color w:val="000000"/>
          <w:shd w:val="clear" w:color="auto" w:fill="FFFFFF"/>
        </w:rPr>
        <w:t xml:space="preserve">vykdančiam teismui ar institucijai arba už dokumentų įteikimą tokiame procese atsakingam subjektui dėl el. laiškų, siunčiamų nurodytu el. pašto adresu, naudojimo dokumentų įteikimo tikslais to proceso metu, ir adresatas patvirtina dokumento gavimą pateikdamas gavimo patvirtinimą, kuriame, be kita ko, nurodoma gavimo data. </w:t>
      </w:r>
    </w:p>
    <w:p w14:paraId="6A474CB1" w14:textId="77777777" w:rsidR="00EC240D" w:rsidRPr="001F3AF1" w:rsidRDefault="00EC240D" w:rsidP="00EC240D">
      <w:pPr>
        <w:ind w:firstLine="720"/>
        <w:jc w:val="both"/>
      </w:pPr>
      <w:r w:rsidRPr="001F3AF1">
        <w:lastRenderedPageBreak/>
        <w:t>Nors Reglament</w:t>
      </w:r>
      <w:r>
        <w:t>as</w:t>
      </w:r>
      <w:r w:rsidRPr="001F3AF1">
        <w:t xml:space="preserve"> (ES) 2019/1111</w:t>
      </w:r>
      <w:r>
        <w:t xml:space="preserve">, Reglamentas </w:t>
      </w:r>
      <w:r w:rsidRPr="00F429AE">
        <w:t>(ES)</w:t>
      </w:r>
      <w:r>
        <w:t xml:space="preserve"> </w:t>
      </w:r>
      <w:r w:rsidRPr="00F429AE">
        <w:t>2020/1783</w:t>
      </w:r>
      <w:r>
        <w:t xml:space="preserve"> ir Reglamentas </w:t>
      </w:r>
      <w:r w:rsidRPr="00F429AE">
        <w:t>(ES) 2020/1784</w:t>
      </w:r>
      <w:r>
        <w:t xml:space="preserve"> yra tiesioginio taikymo Europos Sąjungos teisės aktai ir juose jau yra įtvirtintos pagrindinės teisinio reguliavimo nuostatos, tačiau nacionalinėje teisėje reikia nustatyti tam tikras procedūrines taisykles, taip pat numatyti kompetentingas institucijas, tokiu būdu užtikrinant sklandų šių reglamentų nuostatų taikymą Lietuvos Respublikoje. Taigi Lietuvos Respublikos civilinį procesą reglamentuojančių Europos Sąjungos ir tarptautinės teisės aktų įgyvendinimo įstatymo Nr. X-1809 trečiojo, penktojo, šeštojo skirsnių ir priedo pakeitimo įstatymo projektu (toliau – Įstatymo projektas) siekiama sudaryti prielaidas tinkamai ir sklandžiai Lietuvos Respublikoje įgyvendinti ir taikyti </w:t>
      </w:r>
      <w:r w:rsidRPr="001F3AF1">
        <w:t>Reglament</w:t>
      </w:r>
      <w:r>
        <w:t>o</w:t>
      </w:r>
      <w:r w:rsidRPr="001F3AF1">
        <w:t xml:space="preserve"> (ES) 2019/1111</w:t>
      </w:r>
      <w:r>
        <w:t xml:space="preserve">, Reglamento </w:t>
      </w:r>
      <w:r w:rsidRPr="00F429AE">
        <w:t>(ES)</w:t>
      </w:r>
      <w:r>
        <w:t xml:space="preserve"> </w:t>
      </w:r>
      <w:r w:rsidRPr="00F429AE">
        <w:t>2020/1783</w:t>
      </w:r>
      <w:r>
        <w:t xml:space="preserve"> ir Reglamento </w:t>
      </w:r>
      <w:r w:rsidRPr="00F429AE">
        <w:t>(ES) 2020/1784</w:t>
      </w:r>
      <w:r>
        <w:t xml:space="preserve"> nuostatas.</w:t>
      </w:r>
    </w:p>
    <w:p w14:paraId="4649C0AD" w14:textId="777D19C0" w:rsidR="001E593E" w:rsidRPr="00873B9E" w:rsidRDefault="001E593E" w:rsidP="005A2109">
      <w:pPr>
        <w:tabs>
          <w:tab w:val="left" w:pos="720"/>
          <w:tab w:val="left" w:pos="1080"/>
        </w:tabs>
        <w:ind w:firstLine="720"/>
        <w:jc w:val="both"/>
        <w:rPr>
          <w:bCs/>
        </w:rPr>
      </w:pPr>
    </w:p>
    <w:p w14:paraId="1A7454B1" w14:textId="11184021" w:rsidR="00D30D08" w:rsidRPr="00873B9E" w:rsidRDefault="00D30D08" w:rsidP="005A2109">
      <w:pPr>
        <w:tabs>
          <w:tab w:val="left" w:pos="720"/>
          <w:tab w:val="left" w:pos="1080"/>
        </w:tabs>
        <w:ind w:firstLine="720"/>
        <w:jc w:val="both"/>
        <w:rPr>
          <w:b/>
        </w:rPr>
      </w:pPr>
      <w:r w:rsidRPr="00873B9E">
        <w:rPr>
          <w:b/>
          <w:bCs/>
        </w:rPr>
        <w:t xml:space="preserve">2. </w:t>
      </w:r>
      <w:r w:rsidR="00473070" w:rsidRPr="00873B9E">
        <w:rPr>
          <w:b/>
        </w:rPr>
        <w:t>Įstatymo projekto</w:t>
      </w:r>
      <w:r w:rsidRPr="00873B9E">
        <w:rPr>
          <w:b/>
        </w:rPr>
        <w:t xml:space="preserve"> iniciatoriai (institucija, asmenys ar piliečių įgalioti atstovai) ir rengėjai</w:t>
      </w:r>
    </w:p>
    <w:p w14:paraId="21174BFD" w14:textId="2D1301A5" w:rsidR="00D30D08" w:rsidRPr="00873B9E" w:rsidRDefault="00CF27A5" w:rsidP="005A2109">
      <w:pPr>
        <w:tabs>
          <w:tab w:val="left" w:pos="720"/>
          <w:tab w:val="left" w:pos="1080"/>
        </w:tabs>
        <w:ind w:firstLine="720"/>
        <w:jc w:val="both"/>
        <w:rPr>
          <w:bCs/>
        </w:rPr>
      </w:pPr>
      <w:r w:rsidRPr="00873B9E">
        <w:rPr>
          <w:bCs/>
        </w:rPr>
        <w:t>Įstatym</w:t>
      </w:r>
      <w:r w:rsidR="001D508A" w:rsidRPr="00873B9E">
        <w:rPr>
          <w:bCs/>
        </w:rPr>
        <w:t>o</w:t>
      </w:r>
      <w:r w:rsidRPr="00873B9E">
        <w:rPr>
          <w:bCs/>
        </w:rPr>
        <w:t xml:space="preserve"> projekt</w:t>
      </w:r>
      <w:r w:rsidR="001D508A" w:rsidRPr="00873B9E">
        <w:rPr>
          <w:bCs/>
        </w:rPr>
        <w:t>ą</w:t>
      </w:r>
      <w:r w:rsidR="00D30D08" w:rsidRPr="00873B9E">
        <w:rPr>
          <w:bCs/>
        </w:rPr>
        <w:t xml:space="preserve"> </w:t>
      </w:r>
      <w:r w:rsidR="00DE0BB0" w:rsidRPr="00873B9E">
        <w:rPr>
          <w:bCs/>
        </w:rPr>
        <w:t xml:space="preserve">parengė </w:t>
      </w:r>
      <w:r w:rsidR="001D508A" w:rsidRPr="00873B9E">
        <w:rPr>
          <w:bCs/>
        </w:rPr>
        <w:t>Lietuvos Respublikos teisingumo ministerija</w:t>
      </w:r>
      <w:r w:rsidR="004019FF" w:rsidRPr="00873B9E">
        <w:rPr>
          <w:bCs/>
        </w:rPr>
        <w:t>.</w:t>
      </w:r>
    </w:p>
    <w:p w14:paraId="4362F44D" w14:textId="77777777" w:rsidR="004019FF" w:rsidRPr="00873B9E" w:rsidRDefault="004019FF" w:rsidP="005A2109">
      <w:pPr>
        <w:tabs>
          <w:tab w:val="left" w:pos="720"/>
          <w:tab w:val="left" w:pos="1080"/>
        </w:tabs>
        <w:ind w:firstLine="720"/>
        <w:jc w:val="both"/>
        <w:rPr>
          <w:bCs/>
        </w:rPr>
      </w:pPr>
    </w:p>
    <w:p w14:paraId="3EFF6194" w14:textId="77777777" w:rsidR="0032316B" w:rsidRPr="00873B9E" w:rsidRDefault="00D30D08" w:rsidP="005A2109">
      <w:pPr>
        <w:tabs>
          <w:tab w:val="left" w:pos="720"/>
          <w:tab w:val="left" w:pos="1080"/>
        </w:tabs>
        <w:ind w:firstLine="720"/>
        <w:jc w:val="both"/>
        <w:rPr>
          <w:b/>
        </w:rPr>
      </w:pPr>
      <w:r w:rsidRPr="00873B9E">
        <w:rPr>
          <w:b/>
          <w:bCs/>
        </w:rPr>
        <w:t>3.</w:t>
      </w:r>
      <w:r w:rsidRPr="00873B9E">
        <w:rPr>
          <w:bCs/>
        </w:rPr>
        <w:t xml:space="preserve"> </w:t>
      </w:r>
      <w:r w:rsidR="00473070" w:rsidRPr="00873B9E">
        <w:rPr>
          <w:b/>
        </w:rPr>
        <w:t xml:space="preserve">Dabartinis </w:t>
      </w:r>
      <w:r w:rsidR="00297B9F" w:rsidRPr="00873B9E">
        <w:rPr>
          <w:b/>
        </w:rPr>
        <w:t>į</w:t>
      </w:r>
      <w:r w:rsidR="00473070" w:rsidRPr="00873B9E">
        <w:rPr>
          <w:b/>
        </w:rPr>
        <w:t>statymo projekte</w:t>
      </w:r>
      <w:r w:rsidRPr="00873B9E">
        <w:rPr>
          <w:b/>
        </w:rPr>
        <w:t xml:space="preserve"> aptartų teisinių santykių reguliavimas</w:t>
      </w:r>
    </w:p>
    <w:p w14:paraId="1FCC50A3" w14:textId="0A0C3A3F" w:rsidR="00CE150D" w:rsidRPr="00873B9E" w:rsidRDefault="00CE150D" w:rsidP="009F3FB1">
      <w:pPr>
        <w:tabs>
          <w:tab w:val="left" w:pos="720"/>
          <w:tab w:val="left" w:pos="1080"/>
        </w:tabs>
        <w:ind w:firstLine="720"/>
        <w:jc w:val="both"/>
        <w:rPr>
          <w:bCs/>
        </w:rPr>
      </w:pPr>
      <w:r w:rsidRPr="00873B9E">
        <w:rPr>
          <w:bCs/>
        </w:rPr>
        <w:t>Reglamentu (ES) 2019/1111 reguliuojamus teisinius santykius šiuo metu reglamentuoja</w:t>
      </w:r>
      <w:r w:rsidR="002B4DF3">
        <w:rPr>
          <w:bCs/>
        </w:rPr>
        <w:t xml:space="preserve"> </w:t>
      </w:r>
      <w:r w:rsidR="00873B9E" w:rsidRPr="00873B9E">
        <w:rPr>
          <w:bCs/>
        </w:rPr>
        <w:t>R</w:t>
      </w:r>
      <w:r w:rsidRPr="00873B9E">
        <w:rPr>
          <w:bCs/>
        </w:rPr>
        <w:t xml:space="preserve">eglamentas (EB) Nr. 2201/2003. </w:t>
      </w:r>
      <w:r w:rsidRPr="006C1EBA">
        <w:rPr>
          <w:bCs/>
          <w:i/>
          <w:iCs/>
        </w:rPr>
        <w:t xml:space="preserve">Reglamento (EB) Nr. 2201/2003 </w:t>
      </w:r>
      <w:r w:rsidR="00873B9E" w:rsidRPr="006C1EBA">
        <w:rPr>
          <w:bCs/>
          <w:i/>
          <w:iCs/>
        </w:rPr>
        <w:t xml:space="preserve">tam tikras </w:t>
      </w:r>
      <w:r w:rsidRPr="006C1EBA">
        <w:rPr>
          <w:bCs/>
          <w:i/>
          <w:iCs/>
        </w:rPr>
        <w:t>nuostatas įgyvendina Lietuvos Respublikos civilinį procesą reglamentuojančių Europos Sąjungos ir tarptautinės teisės aktų įgyvendinimo įstatymo (toliau – Įstatymo) šešt</w:t>
      </w:r>
      <w:r w:rsidR="008C7862" w:rsidRPr="006C1EBA">
        <w:rPr>
          <w:bCs/>
          <w:i/>
          <w:iCs/>
        </w:rPr>
        <w:t>ojo</w:t>
      </w:r>
      <w:r w:rsidRPr="006C1EBA">
        <w:rPr>
          <w:bCs/>
          <w:i/>
          <w:iCs/>
        </w:rPr>
        <w:t xml:space="preserve"> skirsni</w:t>
      </w:r>
      <w:r w:rsidR="008C7862" w:rsidRPr="006C1EBA">
        <w:rPr>
          <w:bCs/>
          <w:i/>
          <w:iCs/>
        </w:rPr>
        <w:t>o nuostatos</w:t>
      </w:r>
      <w:r w:rsidRPr="006C1EBA">
        <w:rPr>
          <w:bCs/>
          <w:i/>
          <w:iCs/>
        </w:rPr>
        <w:t>.</w:t>
      </w:r>
    </w:p>
    <w:p w14:paraId="39A7C161" w14:textId="3CD3E35B" w:rsidR="00CE150D" w:rsidRPr="00873B9E" w:rsidRDefault="00CE150D" w:rsidP="00873B9E">
      <w:pPr>
        <w:tabs>
          <w:tab w:val="left" w:pos="720"/>
          <w:tab w:val="left" w:pos="1080"/>
        </w:tabs>
        <w:ind w:firstLine="720"/>
        <w:jc w:val="both"/>
        <w:rPr>
          <w:bCs/>
        </w:rPr>
      </w:pPr>
      <w:r w:rsidRPr="00873B9E">
        <w:rPr>
          <w:bCs/>
        </w:rPr>
        <w:t>Įstatymo 7 straipsnis nustato, kad bylos dėl neteisėtai išvežto ar kitoje, negu jis nuolat gyveno, Europos Sąjungos valstybėje narėje arba susitariančiojoje valstybėje pagal Hagos konvencij</w:t>
      </w:r>
      <w:r w:rsidR="005079CA">
        <w:rPr>
          <w:bCs/>
        </w:rPr>
        <w:t>ą</w:t>
      </w:r>
      <w:r w:rsidRPr="00873B9E">
        <w:rPr>
          <w:bCs/>
        </w:rPr>
        <w:t xml:space="preserve"> laikomo vaiko grąžinimo (toliau – bylos dėl vaiko grąžinimo) nagrinėjamos Lietuvos Respublikos civilinio proceso kodekso </w:t>
      </w:r>
      <w:r w:rsidR="00873B9E" w:rsidRPr="00873B9E">
        <w:rPr>
          <w:bCs/>
        </w:rPr>
        <w:t xml:space="preserve">(toliau – CPK) </w:t>
      </w:r>
      <w:r w:rsidRPr="00873B9E">
        <w:rPr>
          <w:bCs/>
        </w:rPr>
        <w:t xml:space="preserve">XXXIX skyriuje nustatyta tvarka tiek, kiek </w:t>
      </w:r>
      <w:r w:rsidR="001F6F74">
        <w:rPr>
          <w:bCs/>
        </w:rPr>
        <w:t>R</w:t>
      </w:r>
      <w:r w:rsidRPr="00873B9E">
        <w:rPr>
          <w:bCs/>
        </w:rPr>
        <w:t>eglamentas (EB) Nr. 2201/2003, Hagos konvencija ir Įstatymas nenustato kitaip. Bylos dėl vaiko grąžinimo, kai vaikas neteisėtai atvežtas ar neteisėtai laikomas Lietuvos Respublikoje, teismingos Vilniaus apygardos teismui.</w:t>
      </w:r>
      <w:r w:rsidR="00873B9E" w:rsidRPr="00873B9E">
        <w:rPr>
          <w:bCs/>
        </w:rPr>
        <w:t xml:space="preserve"> Teismo nutartis grąžinti vaiką ar atsisakyti grąžinti vaiką gali būti skundžiama atskiruoju skundu Lietuvos apeliaciniam teismui. Bylose dėl vaiko grąžinimo kasacija negalima.</w:t>
      </w:r>
    </w:p>
    <w:p w14:paraId="5FEA154C" w14:textId="0ED04C36" w:rsidR="00873B9E" w:rsidRDefault="00873B9E" w:rsidP="00873B9E">
      <w:pPr>
        <w:tabs>
          <w:tab w:val="left" w:pos="720"/>
          <w:tab w:val="left" w:pos="1080"/>
        </w:tabs>
        <w:ind w:firstLine="720"/>
        <w:jc w:val="both"/>
        <w:rPr>
          <w:bCs/>
        </w:rPr>
      </w:pPr>
      <w:r w:rsidRPr="00873B9E">
        <w:rPr>
          <w:bCs/>
        </w:rPr>
        <w:t xml:space="preserve">Įstatymo 9 straipsnis nustato, kad Europos Sąjungos valstybių narių teismų sprendimai dėl bendravimo teisių ir dėl vaiko grąžinimo yra vykdytini dokumentai, vykdomi pagal </w:t>
      </w:r>
      <w:r w:rsidR="001F6F74">
        <w:rPr>
          <w:bCs/>
        </w:rPr>
        <w:t>CPK</w:t>
      </w:r>
      <w:r w:rsidRPr="00873B9E">
        <w:rPr>
          <w:bCs/>
        </w:rPr>
        <w:t xml:space="preserve"> VI dalyje išdėstytas taisykles tiek, kiek Įstatymas nenustato kitaip. Europos Sąjungos valstybėse narėse išduoti pažymėjimai, nurodyti </w:t>
      </w:r>
      <w:bookmarkStart w:id="2" w:name="_Hlk75519562"/>
      <w:r w:rsidRPr="00873B9E">
        <w:rPr>
          <w:bCs/>
        </w:rPr>
        <w:t>Reglament</w:t>
      </w:r>
      <w:r w:rsidR="006175AA">
        <w:rPr>
          <w:bCs/>
        </w:rPr>
        <w:t>e</w:t>
      </w:r>
      <w:r w:rsidRPr="00873B9E">
        <w:rPr>
          <w:bCs/>
        </w:rPr>
        <w:t xml:space="preserve"> (EB) Nr. 2201/2003</w:t>
      </w:r>
      <w:bookmarkEnd w:id="2"/>
      <w:r w:rsidRPr="00873B9E">
        <w:rPr>
          <w:bCs/>
        </w:rPr>
        <w:t>, yra vykdomieji dokumentai.</w:t>
      </w:r>
    </w:p>
    <w:p w14:paraId="6B7C6D97" w14:textId="77777777" w:rsidR="00D967A3" w:rsidRDefault="006052ED" w:rsidP="00873B9E">
      <w:pPr>
        <w:tabs>
          <w:tab w:val="left" w:pos="720"/>
          <w:tab w:val="left" w:pos="1080"/>
        </w:tabs>
        <w:ind w:firstLine="720"/>
        <w:jc w:val="both"/>
        <w:rPr>
          <w:bCs/>
        </w:rPr>
      </w:pPr>
      <w:r>
        <w:rPr>
          <w:bCs/>
        </w:rPr>
        <w:t>Į</w:t>
      </w:r>
      <w:r w:rsidR="00AE44A8" w:rsidRPr="00AE44A8">
        <w:rPr>
          <w:bCs/>
        </w:rPr>
        <w:t xml:space="preserve">statyme, be kitų procesinių taisyklių, kuriomis siekiama sklandaus </w:t>
      </w:r>
      <w:r w:rsidRPr="006052ED">
        <w:rPr>
          <w:bCs/>
        </w:rPr>
        <w:t>Reglament</w:t>
      </w:r>
      <w:r>
        <w:rPr>
          <w:bCs/>
        </w:rPr>
        <w:t>o</w:t>
      </w:r>
      <w:r w:rsidRPr="006052ED">
        <w:rPr>
          <w:bCs/>
        </w:rPr>
        <w:t xml:space="preserve"> (EB) Nr. 2201/2003</w:t>
      </w:r>
      <w:r w:rsidR="00AE44A8" w:rsidRPr="00AE44A8">
        <w:rPr>
          <w:bCs/>
        </w:rPr>
        <w:t xml:space="preserve"> taikymo praktikoje, taip pat nustatyti Europos Sąjungos valstybių narių teismų sprendimų vykdymo praktiniai nurodymai</w:t>
      </w:r>
      <w:r>
        <w:rPr>
          <w:bCs/>
        </w:rPr>
        <w:t xml:space="preserve"> (10 straipsnis)</w:t>
      </w:r>
      <w:r w:rsidR="00AE44A8" w:rsidRPr="00AE44A8">
        <w:rPr>
          <w:bCs/>
        </w:rPr>
        <w:t>, nustatyta prašymų dėl jurisdikcijos perėmimo ir prašymų dėl jurisdikcijos perdavimo nagrinėjimo tvarka</w:t>
      </w:r>
      <w:r>
        <w:rPr>
          <w:bCs/>
        </w:rPr>
        <w:t xml:space="preserve"> (12</w:t>
      </w:r>
      <w:r w:rsidRPr="006052ED">
        <w:rPr>
          <w:bCs/>
          <w:vertAlign w:val="superscript"/>
        </w:rPr>
        <w:t>2</w:t>
      </w:r>
      <w:r>
        <w:rPr>
          <w:bCs/>
        </w:rPr>
        <w:t xml:space="preserve"> straipsnis)</w:t>
      </w:r>
      <w:r w:rsidR="00AE44A8" w:rsidRPr="00AE44A8">
        <w:rPr>
          <w:bCs/>
        </w:rPr>
        <w:t xml:space="preserve">. </w:t>
      </w:r>
    </w:p>
    <w:p w14:paraId="44B92C3C" w14:textId="1F506D43" w:rsidR="00AE44A8" w:rsidRPr="00873B9E" w:rsidRDefault="00AE44A8" w:rsidP="00873B9E">
      <w:pPr>
        <w:tabs>
          <w:tab w:val="left" w:pos="720"/>
          <w:tab w:val="left" w:pos="1080"/>
        </w:tabs>
        <w:ind w:firstLine="720"/>
        <w:jc w:val="both"/>
        <w:rPr>
          <w:bCs/>
        </w:rPr>
      </w:pPr>
      <w:r w:rsidRPr="00AE44A8">
        <w:rPr>
          <w:bCs/>
        </w:rPr>
        <w:t xml:space="preserve">Vadovaujantis </w:t>
      </w:r>
      <w:r w:rsidR="006052ED">
        <w:rPr>
          <w:bCs/>
        </w:rPr>
        <w:t>Į</w:t>
      </w:r>
      <w:r w:rsidRPr="00AE44A8">
        <w:rPr>
          <w:bCs/>
        </w:rPr>
        <w:t xml:space="preserve">statymo nuostatomis, centrinės institucijos </w:t>
      </w:r>
      <w:r w:rsidR="006052ED" w:rsidRPr="006052ED">
        <w:rPr>
          <w:bCs/>
        </w:rPr>
        <w:t>Reglamente (EB) Nr. 2201/2003</w:t>
      </w:r>
      <w:r w:rsidRPr="00AE44A8">
        <w:rPr>
          <w:bCs/>
        </w:rPr>
        <w:t xml:space="preserve"> nustatytoms funkcijoms atlikti yra </w:t>
      </w:r>
      <w:r w:rsidR="006052ED">
        <w:rPr>
          <w:bCs/>
        </w:rPr>
        <w:t>T</w:t>
      </w:r>
      <w:r w:rsidRPr="00AE44A8">
        <w:rPr>
          <w:bCs/>
        </w:rPr>
        <w:t xml:space="preserve">eisingumo ministerija (atsakinga už teismų susižinojimo funkcijų atlikimą ir informacijos apie Lietuvos Respublikos teisės nustatytas procedūrines taisykles, susijusias su </w:t>
      </w:r>
      <w:r w:rsidR="006052ED" w:rsidRPr="006052ED">
        <w:rPr>
          <w:bCs/>
        </w:rPr>
        <w:t>Reglament</w:t>
      </w:r>
      <w:r w:rsidR="006052ED">
        <w:rPr>
          <w:bCs/>
        </w:rPr>
        <w:t>o</w:t>
      </w:r>
      <w:r w:rsidR="006052ED" w:rsidRPr="006052ED">
        <w:rPr>
          <w:bCs/>
        </w:rPr>
        <w:t xml:space="preserve"> (EB) Nr. 2201/2003</w:t>
      </w:r>
      <w:r w:rsidRPr="00AE44A8">
        <w:rPr>
          <w:bCs/>
        </w:rPr>
        <w:t xml:space="preserve"> įgyvendinimu, perdavimą) ir Lietuvos Respublikos socialinės apsaugos ir darbo ministerija (atsakinga už kitų </w:t>
      </w:r>
      <w:r w:rsidR="006052ED" w:rsidRPr="006052ED">
        <w:rPr>
          <w:bCs/>
        </w:rPr>
        <w:t>Reglamente (EB) Nr. 2201/2003</w:t>
      </w:r>
      <w:r w:rsidRPr="00AE44A8">
        <w:rPr>
          <w:bCs/>
        </w:rPr>
        <w:t xml:space="preserve"> nustatytų funkcijų įgyvendinimą). Lietuvos Respublikos socialinės apsaugos ir darbo ministro 2008 m. gruodžio 29 d. įsakymo Nr. A1-425 1 punktu vykdyti centrinei institucijai </w:t>
      </w:r>
      <w:r w:rsidR="006052ED" w:rsidRPr="006052ED">
        <w:rPr>
          <w:bCs/>
        </w:rPr>
        <w:t>Reglamente (EB) Nr. 2201/2003</w:t>
      </w:r>
      <w:r w:rsidR="006052ED">
        <w:rPr>
          <w:bCs/>
        </w:rPr>
        <w:t xml:space="preserve"> nu</w:t>
      </w:r>
      <w:r w:rsidRPr="00AE44A8">
        <w:rPr>
          <w:bCs/>
        </w:rPr>
        <w:t>statytas funkcijas, taip pat centrinei institucijai Hagos konvencijoje nustatytas funkcijas yra įgaliota Valstybės vaiko teisių apsaugos ir įvaikinimo tarnyba</w:t>
      </w:r>
      <w:r w:rsidR="006710AF">
        <w:rPr>
          <w:bCs/>
        </w:rPr>
        <w:t xml:space="preserve"> prie Socialinės apsaugos ir darbo ministerijos</w:t>
      </w:r>
      <w:r w:rsidRPr="00AE44A8">
        <w:rPr>
          <w:bCs/>
        </w:rPr>
        <w:t>.</w:t>
      </w:r>
    </w:p>
    <w:p w14:paraId="496617E7" w14:textId="77777777" w:rsidR="006C1EBA" w:rsidRPr="006C1EBA" w:rsidRDefault="006C1EBA" w:rsidP="006C1EBA">
      <w:pPr>
        <w:tabs>
          <w:tab w:val="left" w:pos="720"/>
          <w:tab w:val="left" w:pos="1080"/>
        </w:tabs>
        <w:ind w:firstLine="720"/>
        <w:jc w:val="both"/>
        <w:rPr>
          <w:bCs/>
          <w:i/>
          <w:iCs/>
        </w:rPr>
      </w:pPr>
      <w:r w:rsidRPr="00873B9E">
        <w:rPr>
          <w:bCs/>
        </w:rPr>
        <w:t>Reglamentu (ES) 20</w:t>
      </w:r>
      <w:r>
        <w:rPr>
          <w:bCs/>
        </w:rPr>
        <w:t>20</w:t>
      </w:r>
      <w:r w:rsidRPr="00873B9E">
        <w:rPr>
          <w:bCs/>
        </w:rPr>
        <w:t>/1</w:t>
      </w:r>
      <w:r>
        <w:rPr>
          <w:bCs/>
        </w:rPr>
        <w:t xml:space="preserve">783 </w:t>
      </w:r>
      <w:r w:rsidRPr="00873B9E">
        <w:rPr>
          <w:bCs/>
        </w:rPr>
        <w:t>reguliuojamus teisinius santykius šiuo metu reglamentuoja</w:t>
      </w:r>
      <w:r>
        <w:rPr>
          <w:bCs/>
        </w:rPr>
        <w:t xml:space="preserve"> </w:t>
      </w:r>
      <w:r w:rsidRPr="00873B9E">
        <w:rPr>
          <w:bCs/>
        </w:rPr>
        <w:t xml:space="preserve">Reglamentas (EB) Nr. </w:t>
      </w:r>
      <w:r>
        <w:rPr>
          <w:bCs/>
        </w:rPr>
        <w:t>1206</w:t>
      </w:r>
      <w:r w:rsidRPr="00873B9E">
        <w:rPr>
          <w:bCs/>
        </w:rPr>
        <w:t>/200</w:t>
      </w:r>
      <w:r>
        <w:rPr>
          <w:bCs/>
        </w:rPr>
        <w:t>1</w:t>
      </w:r>
      <w:r w:rsidRPr="00873B9E">
        <w:rPr>
          <w:bCs/>
        </w:rPr>
        <w:t xml:space="preserve">. </w:t>
      </w:r>
      <w:r w:rsidRPr="006C1EBA">
        <w:rPr>
          <w:bCs/>
          <w:i/>
          <w:iCs/>
        </w:rPr>
        <w:t xml:space="preserve">Reglamento (EB) Nr. 1206/200 tam tikras nuostatas įgyvendina Įstatymo penktojo skirsnio nuostatos. </w:t>
      </w:r>
    </w:p>
    <w:p w14:paraId="6CAFE736" w14:textId="77777777" w:rsidR="006C1EBA" w:rsidRDefault="006C1EBA" w:rsidP="006C1EBA">
      <w:pPr>
        <w:tabs>
          <w:tab w:val="left" w:pos="720"/>
          <w:tab w:val="left" w:pos="1080"/>
        </w:tabs>
        <w:ind w:firstLine="720"/>
        <w:jc w:val="both"/>
      </w:pPr>
      <w:r>
        <w:rPr>
          <w:bCs/>
        </w:rPr>
        <w:t xml:space="preserve">Įstatymo 5 straipsnis nustato, kad </w:t>
      </w:r>
      <w:r>
        <w:t xml:space="preserve">Europos Sąjungos teisės aktų nustatyta tvarka rinkti įrodymus Europos Sąjungos valstybėje narėje turi teisę visi Lietuvos Respublikos teismai (teisėjai), taip pat </w:t>
      </w:r>
      <w:r w:rsidRPr="00873B9E">
        <w:rPr>
          <w:bCs/>
        </w:rPr>
        <w:t>–</w:t>
      </w:r>
      <w:r>
        <w:rPr>
          <w:bCs/>
        </w:rPr>
        <w:t xml:space="preserve"> </w:t>
      </w:r>
      <w:r>
        <w:t>kad šalys ir jų atstovai, jeigu tokie yra, turi teisę dalyvauti Europos Sąjungos valstybės narės teismui renkant įrodymus Europos Sąjungos teisės aktų nustatyta tvarka.</w:t>
      </w:r>
    </w:p>
    <w:p w14:paraId="3345EAD8" w14:textId="78B79631" w:rsidR="006C1EBA" w:rsidRDefault="006C1EBA" w:rsidP="006C1EBA">
      <w:pPr>
        <w:tabs>
          <w:tab w:val="left" w:pos="720"/>
          <w:tab w:val="left" w:pos="1080"/>
        </w:tabs>
        <w:ind w:firstLine="720"/>
        <w:jc w:val="both"/>
      </w:pPr>
      <w:r>
        <w:lastRenderedPageBreak/>
        <w:t xml:space="preserve">Įstatymo 6 straipsnis nustato, kad centrinė įstaiga </w:t>
      </w:r>
      <w:bookmarkStart w:id="3" w:name="_Hlk75775376"/>
      <w:r>
        <w:t>Reglamento (EB) Nr. 1206/2001</w:t>
      </w:r>
      <w:bookmarkEnd w:id="3"/>
      <w:r>
        <w:t xml:space="preserve"> 3 straipsnyje nustatytoms funkcijoms atlikti yra Teisingumo ministerija.</w:t>
      </w:r>
    </w:p>
    <w:p w14:paraId="248E509E" w14:textId="77777777" w:rsidR="006C1EBA" w:rsidRPr="006C1EBA" w:rsidRDefault="006C1EBA" w:rsidP="006C1EBA">
      <w:pPr>
        <w:tabs>
          <w:tab w:val="left" w:pos="720"/>
          <w:tab w:val="left" w:pos="1080"/>
        </w:tabs>
        <w:ind w:firstLine="720"/>
        <w:jc w:val="both"/>
        <w:rPr>
          <w:bCs/>
          <w:i/>
          <w:iCs/>
        </w:rPr>
      </w:pPr>
      <w:r w:rsidRPr="00873B9E">
        <w:rPr>
          <w:bCs/>
        </w:rPr>
        <w:t>Reglamentu (ES) 20</w:t>
      </w:r>
      <w:r>
        <w:rPr>
          <w:bCs/>
        </w:rPr>
        <w:t>20</w:t>
      </w:r>
      <w:r w:rsidRPr="00873B9E">
        <w:rPr>
          <w:bCs/>
        </w:rPr>
        <w:t>/1</w:t>
      </w:r>
      <w:r>
        <w:rPr>
          <w:bCs/>
        </w:rPr>
        <w:t xml:space="preserve">784 </w:t>
      </w:r>
      <w:r w:rsidRPr="00873B9E">
        <w:rPr>
          <w:bCs/>
        </w:rPr>
        <w:t>reguliuojamus teisinius santykius šiuo metu reglamentuoja</w:t>
      </w:r>
      <w:r>
        <w:rPr>
          <w:bCs/>
        </w:rPr>
        <w:t xml:space="preserve"> </w:t>
      </w:r>
      <w:r w:rsidRPr="00873B9E">
        <w:rPr>
          <w:bCs/>
        </w:rPr>
        <w:t xml:space="preserve">Reglamentas (EB) Nr. </w:t>
      </w:r>
      <w:r>
        <w:rPr>
          <w:bCs/>
        </w:rPr>
        <w:t>1393</w:t>
      </w:r>
      <w:r w:rsidRPr="00873B9E">
        <w:rPr>
          <w:bCs/>
        </w:rPr>
        <w:t>/200</w:t>
      </w:r>
      <w:r>
        <w:rPr>
          <w:bCs/>
        </w:rPr>
        <w:t>7</w:t>
      </w:r>
      <w:r w:rsidRPr="00873B9E">
        <w:rPr>
          <w:bCs/>
        </w:rPr>
        <w:t xml:space="preserve">. </w:t>
      </w:r>
      <w:r w:rsidRPr="006C1EBA">
        <w:rPr>
          <w:bCs/>
          <w:i/>
          <w:iCs/>
        </w:rPr>
        <w:t xml:space="preserve">Reglamento (EB) Nr. 1393/2007 tam tikras nuostatas įgyvendina Įstatymo trečiojo skirsnio nuostatos. </w:t>
      </w:r>
    </w:p>
    <w:p w14:paraId="02B782B6" w14:textId="2E4BA353" w:rsidR="006C1EBA" w:rsidRDefault="006C1EBA" w:rsidP="006C1EBA">
      <w:pPr>
        <w:tabs>
          <w:tab w:val="left" w:pos="720"/>
          <w:tab w:val="left" w:pos="1080"/>
        </w:tabs>
        <w:ind w:firstLine="720"/>
        <w:jc w:val="both"/>
        <w:rPr>
          <w:color w:val="000000"/>
        </w:rPr>
      </w:pPr>
      <w:r>
        <w:rPr>
          <w:bCs/>
        </w:rPr>
        <w:t xml:space="preserve">Įstatymo 3 straipsnis nustato, kad </w:t>
      </w:r>
      <w:bookmarkStart w:id="4" w:name="_Hlk74568340"/>
      <w:r>
        <w:rPr>
          <w:bCs/>
        </w:rPr>
        <w:t>i</w:t>
      </w:r>
      <w:r>
        <w:t xml:space="preserve">š užsienio gauti dokumentai įteikiami </w:t>
      </w:r>
      <w:r w:rsidR="008919D1">
        <w:t xml:space="preserve">CPK </w:t>
      </w:r>
      <w:r>
        <w:t xml:space="preserve">ir Lietuvos Respublikos teisingumo ministro nustatyta tvarka tiek, kiek Reglamentas (EB) Nr. 1393/2007 ir Įstatymas nenustato kitaip. Šio straipsnio 2 dalyje nustatyta, kad apmokestinimo už dokumentų įteikimą Lietuvos Respublikoje tvarką nustato Lietuvos Respublikos teisingumo ministras </w:t>
      </w:r>
      <w:r>
        <w:rPr>
          <w:color w:val="000000"/>
        </w:rPr>
        <w:t xml:space="preserve">Lietuvos Respublikos antstolių įstatymo nustatyta tvarka. </w:t>
      </w:r>
      <w:bookmarkStart w:id="5" w:name="_Hlk74570159"/>
      <w:bookmarkEnd w:id="4"/>
    </w:p>
    <w:p w14:paraId="551E3444" w14:textId="317240FA" w:rsidR="006C1EBA" w:rsidRDefault="006C1EBA" w:rsidP="006C1EBA">
      <w:pPr>
        <w:tabs>
          <w:tab w:val="left" w:pos="720"/>
          <w:tab w:val="left" w:pos="1080"/>
        </w:tabs>
        <w:ind w:firstLine="720"/>
        <w:jc w:val="both"/>
      </w:pPr>
      <w:r w:rsidRPr="00A86C03">
        <w:rPr>
          <w:color w:val="000000"/>
        </w:rPr>
        <w:t>Įstatymo 3</w:t>
      </w:r>
      <w:r w:rsidRPr="00A86C03">
        <w:rPr>
          <w:color w:val="000000"/>
          <w:vertAlign w:val="superscript"/>
        </w:rPr>
        <w:t>2</w:t>
      </w:r>
      <w:r w:rsidRPr="00A86C03">
        <w:rPr>
          <w:color w:val="000000"/>
        </w:rPr>
        <w:t xml:space="preserve"> straipsnis nustato, kad </w:t>
      </w:r>
      <w:r>
        <w:rPr>
          <w:color w:val="000000"/>
        </w:rPr>
        <w:t>c</w:t>
      </w:r>
      <w:r>
        <w:t xml:space="preserve">entrinė įstaiga Reglamento (EB) Nr. 1393/2007 3 straipsnyje nustatytoms funkcijoms atlikti yra Teisingumo ministerija. </w:t>
      </w:r>
    </w:p>
    <w:p w14:paraId="02C7FEBC" w14:textId="77777777" w:rsidR="006C1EBA" w:rsidRDefault="006C1EBA" w:rsidP="006C1EBA">
      <w:pPr>
        <w:ind w:firstLine="720"/>
        <w:jc w:val="both"/>
        <w:rPr>
          <w:bCs/>
          <w:color w:val="000000"/>
        </w:rPr>
      </w:pPr>
      <w:r w:rsidRPr="00A86C03">
        <w:rPr>
          <w:bCs/>
        </w:rPr>
        <w:t>Vadovaujantis Įstatymo 3</w:t>
      </w:r>
      <w:r w:rsidRPr="00A86C03">
        <w:rPr>
          <w:bCs/>
          <w:vertAlign w:val="superscript"/>
        </w:rPr>
        <w:t xml:space="preserve">3 </w:t>
      </w:r>
      <w:r w:rsidRPr="00A86C03">
        <w:rPr>
          <w:bCs/>
        </w:rPr>
        <w:t>straipsniu, p</w:t>
      </w:r>
      <w:r w:rsidRPr="00A86C03">
        <w:rPr>
          <w:bCs/>
          <w:color w:val="000000"/>
        </w:rPr>
        <w:t>erduoti</w:t>
      </w:r>
      <w:r>
        <w:rPr>
          <w:bCs/>
          <w:color w:val="000000"/>
        </w:rPr>
        <w:t xml:space="preserve"> dokumentus užsienio valstybei pagal Reglamentą </w:t>
      </w:r>
      <w:r>
        <w:t>(EB) Nr. 1393/2007</w:t>
      </w:r>
      <w:r>
        <w:rPr>
          <w:bCs/>
          <w:color w:val="000000"/>
        </w:rPr>
        <w:t xml:space="preserve"> </w:t>
      </w:r>
      <w:r>
        <w:rPr>
          <w:color w:val="000000"/>
        </w:rPr>
        <w:t>yra</w:t>
      </w:r>
      <w:r>
        <w:rPr>
          <w:bCs/>
          <w:color w:val="000000"/>
        </w:rPr>
        <w:t xml:space="preserve"> kompetentingi </w:t>
      </w:r>
      <w:r>
        <w:rPr>
          <w:color w:val="000000"/>
        </w:rPr>
        <w:t>visi Lietuvos Respublikos bendrosios kompetencijos teismai, kurie nagrinėja civilines ir komercines bylas</w:t>
      </w:r>
      <w:r>
        <w:rPr>
          <w:bCs/>
          <w:color w:val="000000"/>
        </w:rPr>
        <w:t xml:space="preserve">, o pagal Reglamento </w:t>
      </w:r>
      <w:r>
        <w:t>(EB) Nr. 1393/2007 2 straipsnio 2 dalį paskirta įstaiga, kompetentinga priimti kitų valstybių narių prašymus dėl dokumentų įteikimo,</w:t>
      </w:r>
      <w:r>
        <w:rPr>
          <w:bCs/>
          <w:color w:val="000000"/>
        </w:rPr>
        <w:t xml:space="preserve"> yra Lietuvos antstolių rūmai, kurie organizuoja ir koordinuoja dokumentų įteikimą ir jų perdavimą antstoliams vykdyti. </w:t>
      </w:r>
    </w:p>
    <w:p w14:paraId="4D84173C" w14:textId="77777777" w:rsidR="006C1EBA" w:rsidRDefault="006C1EBA" w:rsidP="006C1EBA">
      <w:pPr>
        <w:ind w:firstLine="720"/>
        <w:jc w:val="both"/>
        <w:rPr>
          <w:b/>
          <w:bCs/>
        </w:rPr>
      </w:pPr>
      <w:r w:rsidRPr="008378C9">
        <w:rPr>
          <w:bCs/>
        </w:rPr>
        <w:t>Įstatymo 3</w:t>
      </w:r>
      <w:r w:rsidRPr="008378C9">
        <w:rPr>
          <w:bCs/>
          <w:vertAlign w:val="superscript"/>
        </w:rPr>
        <w:t>4</w:t>
      </w:r>
      <w:r w:rsidRPr="008378C9">
        <w:rPr>
          <w:bCs/>
        </w:rPr>
        <w:t xml:space="preserve"> straipsnis</w:t>
      </w:r>
      <w:r>
        <w:t xml:space="preserve"> nustato, kad Reglamento (EB) Nr. 1393/2007 19 straipsnio 4 dalyje nustatytais atvejais atsakovas turi teisę paduoti prašymą atnaujinti praleistą apeliacinio skundo padavimo terminą, taip pat </w:t>
      </w:r>
      <w:r w:rsidRPr="00873B9E">
        <w:rPr>
          <w:bCs/>
        </w:rPr>
        <w:t>–</w:t>
      </w:r>
      <w:r>
        <w:rPr>
          <w:bCs/>
        </w:rPr>
        <w:t xml:space="preserve"> kad p</w:t>
      </w:r>
      <w:r>
        <w:t>rašymas atnaujinti praleistą apeliacinio skundo padavimo terminą nenagrinėjamas, jeigu praėjo daugiau kaip vieni metai nuo teismo sprendimo priėmimo dienos.</w:t>
      </w:r>
    </w:p>
    <w:bookmarkEnd w:id="5"/>
    <w:p w14:paraId="420DCD81" w14:textId="77777777" w:rsidR="000A14D2" w:rsidRPr="00E77FC2" w:rsidRDefault="000A14D2" w:rsidP="00E77FC2">
      <w:pPr>
        <w:tabs>
          <w:tab w:val="left" w:pos="720"/>
          <w:tab w:val="left" w:pos="1080"/>
        </w:tabs>
        <w:ind w:firstLine="720"/>
        <w:jc w:val="both"/>
        <w:rPr>
          <w:bCs/>
        </w:rPr>
      </w:pPr>
    </w:p>
    <w:p w14:paraId="7A21BF94" w14:textId="77777777" w:rsidR="006605B4" w:rsidRPr="00873B9E" w:rsidRDefault="00D30D08" w:rsidP="005A2109">
      <w:pPr>
        <w:tabs>
          <w:tab w:val="left" w:pos="709"/>
        </w:tabs>
        <w:ind w:firstLine="720"/>
        <w:jc w:val="both"/>
        <w:rPr>
          <w:b/>
        </w:rPr>
      </w:pPr>
      <w:r w:rsidRPr="00873B9E">
        <w:rPr>
          <w:b/>
        </w:rPr>
        <w:t xml:space="preserve">4. Siūlomos naujos teisinio reguliavimo nuostatos </w:t>
      </w:r>
      <w:r w:rsidR="006605B4" w:rsidRPr="00873B9E">
        <w:rPr>
          <w:b/>
        </w:rPr>
        <w:t>ir laukiami teigiami rezultatai</w:t>
      </w:r>
    </w:p>
    <w:p w14:paraId="73694AB5" w14:textId="233CEB7B" w:rsidR="00E77FC2" w:rsidRPr="00E77FC2" w:rsidRDefault="00E77FC2" w:rsidP="009F3FB1">
      <w:pPr>
        <w:tabs>
          <w:tab w:val="left" w:pos="720"/>
          <w:tab w:val="left" w:pos="1080"/>
        </w:tabs>
        <w:ind w:firstLine="720"/>
        <w:jc w:val="both"/>
        <w:rPr>
          <w:b/>
          <w:bCs/>
        </w:rPr>
      </w:pPr>
      <w:r w:rsidRPr="00E77FC2">
        <w:rPr>
          <w:b/>
          <w:bCs/>
        </w:rPr>
        <w:t>Dėl Reglamento (ES) 2019/1111 įgyvendinimo</w:t>
      </w:r>
    </w:p>
    <w:p w14:paraId="1675E0E7" w14:textId="77777777" w:rsidR="006C0A71" w:rsidRDefault="00E77FC2" w:rsidP="006C0A71">
      <w:pPr>
        <w:tabs>
          <w:tab w:val="left" w:pos="720"/>
          <w:tab w:val="left" w:pos="1080"/>
        </w:tabs>
        <w:ind w:firstLine="720"/>
        <w:jc w:val="both"/>
        <w:rPr>
          <w:bCs/>
        </w:rPr>
      </w:pPr>
      <w:r w:rsidRPr="00E77FC2">
        <w:t xml:space="preserve">Įstatymo </w:t>
      </w:r>
      <w:r w:rsidR="00931B62">
        <w:t xml:space="preserve">projektu patikslinamos Įstatymo 7 straipsnyje esančios nuorodos, pateikiant nuorodas į </w:t>
      </w:r>
      <w:r w:rsidR="00931B62" w:rsidRPr="00873B9E">
        <w:rPr>
          <w:bCs/>
        </w:rPr>
        <w:t>Reglament</w:t>
      </w:r>
      <w:r w:rsidR="00931B62">
        <w:rPr>
          <w:bCs/>
        </w:rPr>
        <w:t>o</w:t>
      </w:r>
      <w:r w:rsidR="00931B62" w:rsidRPr="00873B9E">
        <w:rPr>
          <w:bCs/>
        </w:rPr>
        <w:t xml:space="preserve"> (ES) 2019/1111</w:t>
      </w:r>
      <w:r w:rsidR="00931B62">
        <w:rPr>
          <w:bCs/>
        </w:rPr>
        <w:t xml:space="preserve"> atitinkamus straipsnius, taip pat siūloma atlikti kitus neesminius (redakcinio pobūdžio) pakeitimus.</w:t>
      </w:r>
    </w:p>
    <w:p w14:paraId="33EA9DCC" w14:textId="642CD4DC" w:rsidR="006C0A71" w:rsidRPr="006C0A71" w:rsidRDefault="00931B62" w:rsidP="006C0A71">
      <w:pPr>
        <w:tabs>
          <w:tab w:val="left" w:pos="720"/>
          <w:tab w:val="left" w:pos="1080"/>
        </w:tabs>
        <w:ind w:firstLine="720"/>
        <w:jc w:val="both"/>
        <w:rPr>
          <w:bCs/>
        </w:rPr>
      </w:pPr>
      <w:r>
        <w:t>Įstatymo projektu siūlomas naujas Įstatymo 8</w:t>
      </w:r>
      <w:r>
        <w:rPr>
          <w:vertAlign w:val="superscript"/>
        </w:rPr>
        <w:t>1</w:t>
      </w:r>
      <w:r>
        <w:t xml:space="preserve"> straipsnis, kuriuo reglamentuojamas </w:t>
      </w:r>
      <w:r w:rsidRPr="00873B9E">
        <w:rPr>
          <w:bCs/>
        </w:rPr>
        <w:t>Reglament</w:t>
      </w:r>
      <w:r>
        <w:rPr>
          <w:bCs/>
        </w:rPr>
        <w:t>e</w:t>
      </w:r>
      <w:r w:rsidRPr="00873B9E">
        <w:rPr>
          <w:bCs/>
        </w:rPr>
        <w:t xml:space="preserve"> (ES) 2019/1111</w:t>
      </w:r>
      <w:r>
        <w:rPr>
          <w:bCs/>
        </w:rPr>
        <w:t xml:space="preserve"> numatytų pažymų išdavimas, ištaisymas ir atšaukimas. </w:t>
      </w:r>
      <w:r w:rsidRPr="00873B9E">
        <w:rPr>
          <w:bCs/>
        </w:rPr>
        <w:t>Reglament</w:t>
      </w:r>
      <w:r>
        <w:rPr>
          <w:bCs/>
        </w:rPr>
        <w:t>o</w:t>
      </w:r>
      <w:r w:rsidRPr="00873B9E">
        <w:rPr>
          <w:bCs/>
        </w:rPr>
        <w:t xml:space="preserve"> (ES) 2019/1111</w:t>
      </w:r>
      <w:r>
        <w:rPr>
          <w:bCs/>
        </w:rPr>
        <w:t xml:space="preserve"> reguliavimo srityje priimti teismo sprendimai ir išduoti autentiški dokumentai, patvirtinti pažymomis, Europos Sąjungos viduje pripažįstami ir vykdomi automatiškai, t. y. </w:t>
      </w:r>
      <w:r w:rsidR="00260EDD">
        <w:rPr>
          <w:bCs/>
        </w:rPr>
        <w:t>netaikant</w:t>
      </w:r>
      <w:r>
        <w:rPr>
          <w:bCs/>
        </w:rPr>
        <w:t xml:space="preserve"> egzekvatūros procedūros</w:t>
      </w:r>
      <w:r w:rsidRPr="006C0A71">
        <w:t xml:space="preserve">. Įstatymo </w:t>
      </w:r>
      <w:r>
        <w:t>8</w:t>
      </w:r>
      <w:r w:rsidRPr="006C0A71">
        <w:rPr>
          <w:vertAlign w:val="superscript"/>
        </w:rPr>
        <w:t>1</w:t>
      </w:r>
      <w:r>
        <w:t xml:space="preserve"> straipsnyje numatoma, kad pažymas išduoda, ištaiso ir atšaukia tie pirmosios instancijos teismai ar notarai, kurie atitinkamai priima teismo sprendimą ar </w:t>
      </w:r>
      <w:r w:rsidR="006C0A71">
        <w:t>patvirtina</w:t>
      </w:r>
      <w:r>
        <w:t xml:space="preserve"> autentišką dokumentą. Teismo išduodamų </w:t>
      </w:r>
      <w:r w:rsidRPr="006C0A71">
        <w:t xml:space="preserve">pažymų ištaisymo ar atšaukimo klausimas išsprendžiamas </w:t>
      </w:r>
      <w:proofErr w:type="spellStart"/>
      <w:r w:rsidRPr="006C0A71">
        <w:rPr>
          <w:i/>
          <w:iCs/>
        </w:rPr>
        <w:t>mutatis</w:t>
      </w:r>
      <w:proofErr w:type="spellEnd"/>
      <w:r w:rsidRPr="006C0A71">
        <w:rPr>
          <w:i/>
          <w:iCs/>
        </w:rPr>
        <w:t xml:space="preserve"> </w:t>
      </w:r>
      <w:proofErr w:type="spellStart"/>
      <w:r w:rsidRPr="006C0A71">
        <w:rPr>
          <w:i/>
          <w:iCs/>
        </w:rPr>
        <w:t>mutandis</w:t>
      </w:r>
      <w:proofErr w:type="spellEnd"/>
      <w:r w:rsidRPr="006C0A71">
        <w:t xml:space="preserve"> taikant </w:t>
      </w:r>
      <w:bookmarkStart w:id="6" w:name="pn1_343"/>
      <w:bookmarkEnd w:id="6"/>
      <w:r w:rsidRPr="006C0A71">
        <w:t>CPK</w:t>
      </w:r>
      <w:r w:rsidR="006C0A71" w:rsidRPr="006C0A71">
        <w:t xml:space="preserve"> 276 straipsnio</w:t>
      </w:r>
      <w:r w:rsidRPr="006C0A71">
        <w:t xml:space="preserve"> nuostatas dėl rašymo apsirikimų ir aiškių aritmetinių klaidų sprendime ištaisymo.</w:t>
      </w:r>
      <w:r w:rsidR="006C0A71" w:rsidRPr="006C0A71">
        <w:t xml:space="preserve"> Kadangi galiojantys teisės aktai nenustato konkrečių procedūrų, kaip ištaisomi ar atšaukiami notariniai dokumentai, </w:t>
      </w:r>
      <w:r w:rsidR="006C0A71">
        <w:t>Įstatymo 8</w:t>
      </w:r>
      <w:r w:rsidR="006C0A71" w:rsidRPr="006C0A71">
        <w:rPr>
          <w:vertAlign w:val="superscript"/>
        </w:rPr>
        <w:t>1</w:t>
      </w:r>
      <w:r w:rsidR="006C0A71">
        <w:t xml:space="preserve"> straipsnyje įtvirtinama, kad a</w:t>
      </w:r>
      <w:r w:rsidR="006C0A71" w:rsidRPr="006C0A71">
        <w:t>pie notaro atliktą pažymos ištaisymą ar atšaukimą ne vėliau kaip per tris darbo dienas raštu informuojamas asmuo, kuriam buvo išduota pažyma</w:t>
      </w:r>
      <w:r w:rsidR="001F6F74">
        <w:t xml:space="preserve"> (pagal analogiją su CPK 276 straipsnio 3 dalimi)</w:t>
      </w:r>
      <w:r w:rsidR="006C0A71" w:rsidRPr="006C0A71">
        <w:t>.</w:t>
      </w:r>
    </w:p>
    <w:p w14:paraId="47E2332B" w14:textId="006DF7E6" w:rsidR="00260EDD" w:rsidRDefault="00260EDD" w:rsidP="00123DA0">
      <w:pPr>
        <w:shd w:val="clear" w:color="auto" w:fill="FFFFFF"/>
        <w:ind w:firstLine="709"/>
        <w:jc w:val="both"/>
      </w:pPr>
      <w:r>
        <w:t xml:space="preserve">Įstatymo projektu keičiamas Įstatymo 9 straipsnis, visų pirma įtvirtinant, kad </w:t>
      </w:r>
      <w:r w:rsidRPr="00260EDD">
        <w:t xml:space="preserve">Europos Sąjungos valstybių narių teismų sprendimai, dėl kurių išduotos </w:t>
      </w:r>
      <w:bookmarkStart w:id="7" w:name="_Hlk74831822"/>
      <w:r w:rsidRPr="00260EDD">
        <w:t>Reglament</w:t>
      </w:r>
      <w:r>
        <w:t>e</w:t>
      </w:r>
      <w:r w:rsidRPr="00260EDD">
        <w:t xml:space="preserve"> (ES) 2019/1111 </w:t>
      </w:r>
      <w:bookmarkEnd w:id="7"/>
      <w:r w:rsidRPr="00260EDD">
        <w:t>nurodytos pažymos, taip pat Europos Sąjungos valstybėse narėse formaliai parengti arba užregistruoti autentiški dokumentai ar užregistruoti susitarimai, dėl kurių išduotos Reglament</w:t>
      </w:r>
      <w:r>
        <w:t>e</w:t>
      </w:r>
      <w:r w:rsidRPr="00260EDD">
        <w:t xml:space="preserve"> (ES) 2019/1111 nurodytos pažymos, yra vykdomieji dokumentai.</w:t>
      </w:r>
      <w:r>
        <w:t xml:space="preserve"> Kaip jau minėta, šie dokumentai pripažįstami ir vykdomi automatiškai, t. y. netaikant egzekvatūros procedūros.</w:t>
      </w:r>
    </w:p>
    <w:p w14:paraId="6C625B60" w14:textId="2798073E" w:rsidR="005859A7" w:rsidRDefault="009C3BC9" w:rsidP="00123DA0">
      <w:pPr>
        <w:ind w:firstLine="709"/>
        <w:jc w:val="both"/>
      </w:pPr>
      <w:r>
        <w:t>Įstatymo 9 straipsn</w:t>
      </w:r>
      <w:r w:rsidR="001F6F74">
        <w:t>yje taip pat siūloma</w:t>
      </w:r>
      <w:r>
        <w:t xml:space="preserve"> </w:t>
      </w:r>
      <w:r w:rsidR="001F6F74">
        <w:t xml:space="preserve">nustatyti, kad </w:t>
      </w:r>
      <w:r w:rsidR="001F6F74" w:rsidRPr="005859A7">
        <w:t xml:space="preserve">Reglamente (ES) 2019/1111 </w:t>
      </w:r>
      <w:r w:rsidR="001F6F74">
        <w:t xml:space="preserve">numatytus </w:t>
      </w:r>
      <w:r w:rsidRPr="005859A7">
        <w:t>prašymus priimti sprendimą, kad nėra jokių Reglamente (ES) 2019/1111 nurodytų atsisakymo pripažinti pagrindų, prašymus atsisakyti pripažinti</w:t>
      </w:r>
      <w:r w:rsidR="005859A7" w:rsidRPr="005859A7">
        <w:t xml:space="preserve"> teismo sprendimą</w:t>
      </w:r>
      <w:r w:rsidRPr="005859A7">
        <w:t>, taip pat prašymus atsisakyti vykdyti</w:t>
      </w:r>
      <w:r w:rsidR="005859A7" w:rsidRPr="005859A7">
        <w:t xml:space="preserve"> teismo sprendimą</w:t>
      </w:r>
      <w:r w:rsidRPr="005859A7">
        <w:t xml:space="preserve">, </w:t>
      </w:r>
      <w:r w:rsidRPr="005859A7">
        <w:rPr>
          <w:i/>
          <w:iCs/>
        </w:rPr>
        <w:t>kai jie grindžiami Reglamento (ES) 2019/1111 39 straipsniu ar kitais Reglamente (ES) 2019/1111 nustatytais pagrindais</w:t>
      </w:r>
      <w:r w:rsidR="005859A7">
        <w:rPr>
          <w:i/>
          <w:iCs/>
        </w:rPr>
        <w:t xml:space="preserve"> </w:t>
      </w:r>
      <w:r w:rsidR="005859A7">
        <w:t xml:space="preserve">(pavyzdžiui, žr. </w:t>
      </w:r>
      <w:r w:rsidR="005859A7" w:rsidRPr="00260EDD">
        <w:t>Reglament</w:t>
      </w:r>
      <w:r w:rsidR="005859A7">
        <w:t>o</w:t>
      </w:r>
      <w:r w:rsidR="005859A7" w:rsidRPr="00260EDD">
        <w:t xml:space="preserve"> (ES) 2019/1111</w:t>
      </w:r>
      <w:r w:rsidR="005859A7">
        <w:t xml:space="preserve"> 56 straipsnio 6 dalį)</w:t>
      </w:r>
      <w:r w:rsidRPr="005859A7">
        <w:t>, nagrinė</w:t>
      </w:r>
      <w:r w:rsidR="001F6F74">
        <w:t>ja</w:t>
      </w:r>
      <w:r w:rsidRPr="005859A7">
        <w:t xml:space="preserve"> Lietuvos apeliacinis teismas.</w:t>
      </w:r>
      <w:r w:rsidR="005859A7">
        <w:t xml:space="preserve"> </w:t>
      </w:r>
      <w:r w:rsidR="005859A7" w:rsidRPr="005859A7">
        <w:t>Prašymus atsisakyti vykdyti</w:t>
      </w:r>
      <w:r w:rsidR="00721E04">
        <w:t xml:space="preserve"> teismo </w:t>
      </w:r>
      <w:r w:rsidR="00721E04">
        <w:lastRenderedPageBreak/>
        <w:t>sprendimą</w:t>
      </w:r>
      <w:r w:rsidR="005859A7" w:rsidRPr="005859A7">
        <w:t xml:space="preserve">, </w:t>
      </w:r>
      <w:r w:rsidR="005859A7" w:rsidRPr="002D4A34">
        <w:rPr>
          <w:i/>
          <w:iCs/>
        </w:rPr>
        <w:t xml:space="preserve">kai jie grindžiami nacionalinėje teisėje </w:t>
      </w:r>
      <w:r w:rsidR="002D4A34" w:rsidRPr="002D4A34">
        <w:rPr>
          <w:i/>
          <w:iCs/>
        </w:rPr>
        <w:t xml:space="preserve">(t. y. CPK 651 straipsnio 2 dalyje) </w:t>
      </w:r>
      <w:r w:rsidR="005859A7" w:rsidRPr="002D4A34">
        <w:rPr>
          <w:i/>
          <w:iCs/>
        </w:rPr>
        <w:t>nustatytais pagrindais</w:t>
      </w:r>
      <w:r w:rsidR="005859A7" w:rsidRPr="005859A7">
        <w:t>, nagrinės antstolis, kuriam pateiktas vykdyti sprendimas.</w:t>
      </w:r>
      <w:r w:rsidR="005859A7">
        <w:t xml:space="preserve"> </w:t>
      </w:r>
      <w:r w:rsidR="005859A7" w:rsidRPr="005859A7">
        <w:t>Reglamento (ES) 2019/1111 56 straipsnyje numatytais atvejais vykdymo procesą galės sustabdyti vykdymo vietos apylinkės teismas.</w:t>
      </w:r>
    </w:p>
    <w:p w14:paraId="4D8A0C6E" w14:textId="15AB8C0F" w:rsidR="00123DA0" w:rsidRDefault="00F0011D" w:rsidP="004F100F">
      <w:pPr>
        <w:ind w:firstLine="709"/>
        <w:jc w:val="both"/>
      </w:pPr>
      <w:r>
        <w:t>Įstatymo projektu keičiamame Įstatymo 11 straipsnyje, įvertinus šiuo metu galiojantį reguliavimą ir atitinkamoms institucijoms teisės aktais priskirtas funkcijas, siūloma numatyti, kad c</w:t>
      </w:r>
      <w:r w:rsidRPr="00F0011D">
        <w:t>entrinės institucijos Reglamente (ES) 2019/1111 nustatytoms funkcijoms atlikti yra:</w:t>
      </w:r>
      <w:r>
        <w:t xml:space="preserve"> 1) </w:t>
      </w:r>
      <w:r w:rsidRPr="00075F92">
        <w:rPr>
          <w:i/>
          <w:iCs/>
        </w:rPr>
        <w:t>Teisingumo ministerija</w:t>
      </w:r>
      <w:r w:rsidRPr="00F0011D">
        <w:t xml:space="preserve"> – atsakinga už</w:t>
      </w:r>
      <w:r>
        <w:t xml:space="preserve"> </w:t>
      </w:r>
      <w:r w:rsidRPr="00F0011D">
        <w:t>Reglamento (ES) 2019/1111 77 straipsnio 1 dalyje numatytą informacijos apie nacionalinius įstatymus, procedūras ir paslaugas su tėvų pareigomis susijusiose bylose pranešimą</w:t>
      </w:r>
      <w:r>
        <w:t xml:space="preserve">; 2) </w:t>
      </w:r>
      <w:r w:rsidRPr="00075F92">
        <w:rPr>
          <w:i/>
          <w:iCs/>
        </w:rPr>
        <w:t>Valstybės vaiko teisių apsaugos ir įvaikinimo tarnyba prie Socialinės apsaugos ir darbo ministerijos</w:t>
      </w:r>
      <w:r>
        <w:t xml:space="preserve"> – </w:t>
      </w:r>
      <w:r w:rsidRPr="00F0011D">
        <w:t>atsakinga už kitų Reglamente</w:t>
      </w:r>
      <w:r w:rsidR="005A0256">
        <w:t xml:space="preserve"> </w:t>
      </w:r>
      <w:r w:rsidRPr="00F0011D">
        <w:t>(ES) 2019/1111 centrinėms institucijoms nustatytų funkcijų atlikimą</w:t>
      </w:r>
      <w:r w:rsidR="005A0256">
        <w:t xml:space="preserve">. Taip pat siūloma numatyti, kad </w:t>
      </w:r>
      <w:r w:rsidR="005A0256" w:rsidRPr="005A0256">
        <w:t xml:space="preserve">Reglamento (ES) 2019/1111 74 straipsnio 2 dalyje nurodytą pareiškimą, kad asmuo turi teisę į antrinę valstybės garantuojamą teisinę pagalbą, išduoda </w:t>
      </w:r>
      <w:r w:rsidR="005A0256" w:rsidRPr="008C3EA9">
        <w:rPr>
          <w:i/>
          <w:iCs/>
        </w:rPr>
        <w:t>Valstybės garantuojamos teisinės pagalbos tarnyba</w:t>
      </w:r>
      <w:r w:rsidR="005A0256">
        <w:t>.</w:t>
      </w:r>
      <w:r w:rsidR="00264639">
        <w:t xml:space="preserve"> Įstatyme siūloma įtvirtinti, kad </w:t>
      </w:r>
      <w:r w:rsidR="00264639" w:rsidRPr="00264639">
        <w:t>Lietuvos Respublikoje priimtinos kalbos pagal Reglamento (ES) 2019/1111 91 straipsnio 3 dalį</w:t>
      </w:r>
      <w:r w:rsidR="00264639">
        <w:t>, t. y. komunikuojant su centrinėmis institucijomis,</w:t>
      </w:r>
      <w:r w:rsidR="00264639" w:rsidRPr="00264639">
        <w:t xml:space="preserve"> yra lietuvių kalba ir anglų kalba.</w:t>
      </w:r>
    </w:p>
    <w:p w14:paraId="7128E4CD" w14:textId="1E261C67" w:rsidR="005C65C2" w:rsidRDefault="00936166" w:rsidP="004F100F">
      <w:pPr>
        <w:ind w:firstLine="709"/>
        <w:jc w:val="both"/>
      </w:pPr>
      <w:r>
        <w:t>Įstatymo projektu patikslinamos Įstatymo 12 straipsnio nuostatos dėl laikinųjų apsaugos priemonių taikymo. Siūloma numatyti, kad, p</w:t>
      </w:r>
      <w:r w:rsidRPr="00936166">
        <w:t>riėmęs prašymą ar sprendimą dėl vaiko grąžinimo, teismas ieškovo prašymu arba savo iniciatyva gali taikyti laikinąsias apsaugos priemones – draudimą atsakovui išvykti iš Lietuvos Respublikos ir (arba) draudimą išvežti vaiką iš Lietuvos Respublikos be teismo leidimo</w:t>
      </w:r>
      <w:r>
        <w:t>, t. y. siūloma atsisakyti galiojančios nuostatos, kad teismas privalo taikyti nurodytas laikinąsias apsaugos priemones, kai priima sprendimą dėl vaiko grąžinimo</w:t>
      </w:r>
      <w:r w:rsidR="00BD1C53">
        <w:t>.</w:t>
      </w:r>
      <w:r>
        <w:t xml:space="preserve"> </w:t>
      </w:r>
      <w:r w:rsidR="00BD1C53">
        <w:t xml:space="preserve">Taigi </w:t>
      </w:r>
      <w:r>
        <w:t xml:space="preserve">visi sprendimai dėl laikinųjų apsaugos priemonių taikymo tikslingumo paliekami teismo </w:t>
      </w:r>
      <w:proofErr w:type="spellStart"/>
      <w:r>
        <w:t>diskrecijai</w:t>
      </w:r>
      <w:proofErr w:type="spellEnd"/>
      <w:r>
        <w:t xml:space="preserve">. Be to, siekiant teisinio aiškumo, Įstatymo 12 straipsnyje siūloma įtvirtinti nuostatą, kad </w:t>
      </w:r>
      <w:r w:rsidR="009512D4">
        <w:t xml:space="preserve">teismas </w:t>
      </w:r>
      <w:r w:rsidRPr="00936166">
        <w:t xml:space="preserve">taip pat </w:t>
      </w:r>
      <w:r>
        <w:t xml:space="preserve">gali taikyti ir </w:t>
      </w:r>
      <w:r w:rsidRPr="00936166">
        <w:t xml:space="preserve">kitas laikinąsias apsaugos priemones Reglamento (ES) 2019/1111 15 straipsnio ir </w:t>
      </w:r>
      <w:r>
        <w:t>CPK</w:t>
      </w:r>
      <w:r w:rsidRPr="00936166">
        <w:t xml:space="preserve"> nustatyta tvarka</w:t>
      </w:r>
      <w:r>
        <w:t>.</w:t>
      </w:r>
    </w:p>
    <w:p w14:paraId="12800EC6" w14:textId="65A0AA33" w:rsidR="00FE77E6" w:rsidRDefault="00FE77E6" w:rsidP="00FE77E6">
      <w:pPr>
        <w:ind w:firstLine="709"/>
        <w:jc w:val="both"/>
        <w:rPr>
          <w:bCs/>
        </w:rPr>
      </w:pPr>
      <w:r>
        <w:rPr>
          <w:bCs/>
        </w:rPr>
        <w:t xml:space="preserve">Įstatymo projektu patikslinama Įstatymo </w:t>
      </w:r>
      <w:r w:rsidRPr="00FE77E6">
        <w:rPr>
          <w:bCs/>
        </w:rPr>
        <w:t>12</w:t>
      </w:r>
      <w:r w:rsidRPr="00FE77E6">
        <w:rPr>
          <w:bCs/>
          <w:vertAlign w:val="superscript"/>
        </w:rPr>
        <w:t>2</w:t>
      </w:r>
      <w:r w:rsidRPr="00FE77E6">
        <w:rPr>
          <w:bCs/>
        </w:rPr>
        <w:t xml:space="preserve"> straipsn</w:t>
      </w:r>
      <w:r>
        <w:rPr>
          <w:bCs/>
        </w:rPr>
        <w:t>yje įtvirtinta</w:t>
      </w:r>
      <w:r w:rsidRPr="00FE77E6">
        <w:rPr>
          <w:bCs/>
        </w:rPr>
        <w:t xml:space="preserve"> </w:t>
      </w:r>
      <w:r>
        <w:rPr>
          <w:bCs/>
        </w:rPr>
        <w:t>p</w:t>
      </w:r>
      <w:r w:rsidRPr="00FE77E6">
        <w:rPr>
          <w:bCs/>
        </w:rPr>
        <w:t>rašymų dėl jurisdikcijos perėmimo ir prašymų dėl jurisdikcijos perdavimo nagrinėjimo tvarka</w:t>
      </w:r>
      <w:r>
        <w:rPr>
          <w:bCs/>
        </w:rPr>
        <w:t xml:space="preserve">, iš esmės nekeičiant galiojančių nuostatų, tik patikslinant nuorodas į </w:t>
      </w:r>
      <w:r w:rsidRPr="00FE77E6">
        <w:rPr>
          <w:bCs/>
        </w:rPr>
        <w:t>Reglamento (ES) 2019/1111</w:t>
      </w:r>
      <w:r>
        <w:rPr>
          <w:bCs/>
        </w:rPr>
        <w:t xml:space="preserve"> </w:t>
      </w:r>
      <w:r w:rsidR="0076237F">
        <w:rPr>
          <w:bCs/>
        </w:rPr>
        <w:t xml:space="preserve">atitinkamas </w:t>
      </w:r>
      <w:r>
        <w:rPr>
          <w:bCs/>
        </w:rPr>
        <w:t>nuostatas</w:t>
      </w:r>
      <w:r w:rsidR="00216C97">
        <w:rPr>
          <w:bCs/>
        </w:rPr>
        <w:t>, taip pat siūloma atlikti kitus neesminius (redakcinio pobūdžio) pakeitimus</w:t>
      </w:r>
      <w:r>
        <w:rPr>
          <w:bCs/>
        </w:rPr>
        <w:t>.</w:t>
      </w:r>
    </w:p>
    <w:p w14:paraId="5FAE429D" w14:textId="789643C2" w:rsidR="00216C97" w:rsidRPr="00FE77E6" w:rsidRDefault="00295A16" w:rsidP="00BD7C4E">
      <w:pPr>
        <w:ind w:firstLine="709"/>
        <w:jc w:val="both"/>
        <w:rPr>
          <w:bCs/>
        </w:rPr>
      </w:pPr>
      <w:r>
        <w:rPr>
          <w:bCs/>
        </w:rPr>
        <w:t xml:space="preserve">Įstatymo projektu siūlomas naujas Įstatymo </w:t>
      </w:r>
      <w:r w:rsidR="00BD7C4E" w:rsidRPr="00BD7C4E">
        <w:rPr>
          <w:bCs/>
        </w:rPr>
        <w:t>12</w:t>
      </w:r>
      <w:r w:rsidR="00BD7C4E" w:rsidRPr="00BD7C4E">
        <w:rPr>
          <w:bCs/>
          <w:vertAlign w:val="superscript"/>
        </w:rPr>
        <w:t>3</w:t>
      </w:r>
      <w:r w:rsidR="00BD7C4E" w:rsidRPr="00BD7C4E">
        <w:rPr>
          <w:bCs/>
        </w:rPr>
        <w:t xml:space="preserve"> straipsnis</w:t>
      </w:r>
      <w:r>
        <w:rPr>
          <w:bCs/>
        </w:rPr>
        <w:t>, kuriame būtų numatyta, kad p</w:t>
      </w:r>
      <w:r w:rsidR="00BD7C4E" w:rsidRPr="00BD7C4E">
        <w:rPr>
          <w:bCs/>
        </w:rPr>
        <w:t>rašymas dėl Reglamento (ES) 2019/1111 82 straipsnio 1 dalyje nurodyto sutikimo įkurdinti vaiką Lietuvos Respublikoje paduodamas Valstybės vaiko teisių apsaugos ir įvaikinimo tarnybai</w:t>
      </w:r>
      <w:r>
        <w:rPr>
          <w:bCs/>
        </w:rPr>
        <w:t xml:space="preserve"> prie </w:t>
      </w:r>
      <w:r w:rsidRPr="00F0011D">
        <w:t>Socialinės apsaugos ir darbo ministerijos</w:t>
      </w:r>
      <w:r w:rsidR="00BD7C4E" w:rsidRPr="00BD7C4E">
        <w:rPr>
          <w:bCs/>
        </w:rPr>
        <w:t xml:space="preserve">. </w:t>
      </w:r>
      <w:r>
        <w:rPr>
          <w:bCs/>
        </w:rPr>
        <w:t>Taip pat siūloma, kad tokio p</w:t>
      </w:r>
      <w:r w:rsidR="00BD7C4E" w:rsidRPr="00BD7C4E">
        <w:rPr>
          <w:bCs/>
        </w:rPr>
        <w:t>rašymo padavimo ir nagrinėjimo tvarką nustat</w:t>
      </w:r>
      <w:r>
        <w:rPr>
          <w:bCs/>
        </w:rPr>
        <w:t>ytų</w:t>
      </w:r>
      <w:r w:rsidR="00BD7C4E" w:rsidRPr="00BD7C4E">
        <w:rPr>
          <w:bCs/>
        </w:rPr>
        <w:t xml:space="preserve"> </w:t>
      </w:r>
      <w:r w:rsidR="002D4A34" w:rsidRPr="00BD7C4E">
        <w:rPr>
          <w:bCs/>
        </w:rPr>
        <w:t>Valstybės vaiko teisių apsaugos ir įvaikinimo tarnyb</w:t>
      </w:r>
      <w:r w:rsidR="002D4A34">
        <w:rPr>
          <w:bCs/>
        </w:rPr>
        <w:t xml:space="preserve">os prie </w:t>
      </w:r>
      <w:r w:rsidR="002D4A34" w:rsidRPr="00F0011D">
        <w:t>Socialinės apsaugos ir darbo ministerijos</w:t>
      </w:r>
      <w:r w:rsidR="002D4A34">
        <w:t xml:space="preserve"> direktorius</w:t>
      </w:r>
      <w:r w:rsidR="00BD7C4E" w:rsidRPr="00BD7C4E">
        <w:rPr>
          <w:bCs/>
        </w:rPr>
        <w:t>.</w:t>
      </w:r>
    </w:p>
    <w:p w14:paraId="0B7B8642" w14:textId="77777777" w:rsidR="00BD1C53" w:rsidRDefault="006175AA" w:rsidP="009512D4">
      <w:pPr>
        <w:tabs>
          <w:tab w:val="left" w:pos="720"/>
          <w:tab w:val="left" w:pos="1080"/>
        </w:tabs>
        <w:ind w:firstLine="709"/>
        <w:jc w:val="both"/>
      </w:pPr>
      <w:r>
        <w:t xml:space="preserve">Atsižvelgiant į </w:t>
      </w:r>
      <w:r w:rsidRPr="005859A7">
        <w:t>Reglament</w:t>
      </w:r>
      <w:r>
        <w:t>o</w:t>
      </w:r>
      <w:r w:rsidRPr="005859A7">
        <w:t xml:space="preserve"> (ES) 2019/1111</w:t>
      </w:r>
      <w:r>
        <w:t xml:space="preserve"> 100 straipsnio 1 dalies nuostatą, numatoma, kad Įstatymo projekto nuostatos, skirtos įgyvendinti šiam reglamentui, įsigalios 2022 m. rugpjūčio 1 d.</w:t>
      </w:r>
    </w:p>
    <w:p w14:paraId="2A4551B5" w14:textId="7BAE487B" w:rsidR="009512D4" w:rsidRDefault="006175AA" w:rsidP="009512D4">
      <w:pPr>
        <w:tabs>
          <w:tab w:val="left" w:pos="720"/>
          <w:tab w:val="left" w:pos="1080"/>
        </w:tabs>
        <w:ind w:firstLine="709"/>
        <w:jc w:val="both"/>
      </w:pPr>
      <w:r>
        <w:t xml:space="preserve">Pritarus Įstatymo projektu siūlomoms nuostatoms, bus sudarytos teisinės prielaidos sklandžiai ir efektyviai Lietuvoje taikyti </w:t>
      </w:r>
      <w:r w:rsidRPr="005859A7">
        <w:t>Reglament</w:t>
      </w:r>
      <w:r>
        <w:t>ą</w:t>
      </w:r>
      <w:r w:rsidRPr="005859A7">
        <w:t xml:space="preserve"> (ES) 2019/1111</w:t>
      </w:r>
      <w:r>
        <w:t xml:space="preserve">. Tai kartu lems, kad tarpvalstybinio pobūdžio šeimos bylos, patenkančios į </w:t>
      </w:r>
      <w:r w:rsidRPr="005859A7">
        <w:t>Reglament</w:t>
      </w:r>
      <w:r>
        <w:t>o</w:t>
      </w:r>
      <w:r w:rsidRPr="005859A7">
        <w:t xml:space="preserve"> (ES) 2019/1111</w:t>
      </w:r>
      <w:r>
        <w:t xml:space="preserve"> taikymo sritį, bus nagrinėjamos, užtikrinant visų proceso šalių </w:t>
      </w:r>
      <w:r w:rsidR="00B107DD">
        <w:t xml:space="preserve">(taip pat ir vaiko) </w:t>
      </w:r>
      <w:r>
        <w:t>interesus, proceso operatyvumą bei tinkamą bendradarbiavimą su kitomis Europos Sąjungos valstybėmis narėmis.</w:t>
      </w:r>
    </w:p>
    <w:p w14:paraId="1DB5E22E" w14:textId="77777777" w:rsidR="009F35B5" w:rsidRDefault="009F35B5" w:rsidP="009F35B5">
      <w:pPr>
        <w:tabs>
          <w:tab w:val="left" w:pos="720"/>
          <w:tab w:val="left" w:pos="1080"/>
        </w:tabs>
        <w:ind w:firstLine="720"/>
        <w:jc w:val="both"/>
        <w:rPr>
          <w:b/>
          <w:bCs/>
        </w:rPr>
      </w:pPr>
      <w:r w:rsidRPr="00E77FC2">
        <w:rPr>
          <w:b/>
          <w:bCs/>
        </w:rPr>
        <w:t xml:space="preserve">Dėl Reglamento </w:t>
      </w:r>
      <w:r w:rsidRPr="00370F69">
        <w:rPr>
          <w:b/>
        </w:rPr>
        <w:t xml:space="preserve">(ES) 2020/1783 </w:t>
      </w:r>
      <w:r w:rsidRPr="00E77FC2">
        <w:rPr>
          <w:b/>
          <w:bCs/>
        </w:rPr>
        <w:t>įgyvendinimo</w:t>
      </w:r>
    </w:p>
    <w:p w14:paraId="65B2CFC8" w14:textId="1C0CD377" w:rsidR="009F35B5" w:rsidRDefault="009F35B5" w:rsidP="009F35B5">
      <w:pPr>
        <w:tabs>
          <w:tab w:val="left" w:pos="720"/>
          <w:tab w:val="left" w:pos="1080"/>
        </w:tabs>
        <w:ind w:firstLine="720"/>
        <w:jc w:val="both"/>
        <w:rPr>
          <w:bCs/>
        </w:rPr>
      </w:pPr>
      <w:r w:rsidRPr="00E77FC2">
        <w:t xml:space="preserve">Įstatymo </w:t>
      </w:r>
      <w:r>
        <w:t xml:space="preserve">projektu patikslinamos Įstatymo penktajame skirsnyje esančios nuorodos, pateikiant nuorodas į </w:t>
      </w:r>
      <w:r w:rsidRPr="00873B9E">
        <w:rPr>
          <w:bCs/>
        </w:rPr>
        <w:t>Reglament</w:t>
      </w:r>
      <w:r>
        <w:rPr>
          <w:bCs/>
        </w:rPr>
        <w:t>o</w:t>
      </w:r>
      <w:r w:rsidRPr="00873B9E">
        <w:rPr>
          <w:bCs/>
        </w:rPr>
        <w:t xml:space="preserve"> (ES) 20</w:t>
      </w:r>
      <w:r>
        <w:rPr>
          <w:bCs/>
        </w:rPr>
        <w:t>20</w:t>
      </w:r>
      <w:r w:rsidRPr="00873B9E">
        <w:rPr>
          <w:bCs/>
        </w:rPr>
        <w:t>/1</w:t>
      </w:r>
      <w:r>
        <w:rPr>
          <w:bCs/>
        </w:rPr>
        <w:t xml:space="preserve">783 atitinkamus straipsnius. </w:t>
      </w:r>
    </w:p>
    <w:p w14:paraId="17DA1A07" w14:textId="6CBA5136" w:rsidR="009F35B5" w:rsidRDefault="009F35B5" w:rsidP="009F35B5">
      <w:pPr>
        <w:tabs>
          <w:tab w:val="left" w:pos="720"/>
          <w:tab w:val="left" w:pos="1080"/>
        </w:tabs>
        <w:ind w:firstLine="720"/>
        <w:jc w:val="both"/>
      </w:pPr>
      <w:r>
        <w:rPr>
          <w:bCs/>
        </w:rPr>
        <w:t xml:space="preserve">Įstatymo projektu siūlomas naujas Įstatymo </w:t>
      </w:r>
      <w:r w:rsidRPr="006057E5">
        <w:t>6</w:t>
      </w:r>
      <w:r w:rsidRPr="006057E5">
        <w:rPr>
          <w:vertAlign w:val="superscript"/>
        </w:rPr>
        <w:t xml:space="preserve">1  </w:t>
      </w:r>
      <w:r w:rsidRPr="006057E5">
        <w:t>straipsnis</w:t>
      </w:r>
      <w:r>
        <w:t>, kuriame būtų numatyta, kad į</w:t>
      </w:r>
      <w:r w:rsidRPr="006057E5">
        <w:t xml:space="preserve">staiga, pagal Reglamento (ES) 2020/1783 4 straipsnio 3 dalį ir 19 straipsnį atsakinga už sprendimų dėl kitų valstybių narių teismų prašymų tiesiogiai surinkti įrodymus priėmimą, yra </w:t>
      </w:r>
      <w:r>
        <w:t>T</w:t>
      </w:r>
      <w:r w:rsidRPr="006057E5">
        <w:t xml:space="preserve">eisingumo ministerija. </w:t>
      </w:r>
    </w:p>
    <w:p w14:paraId="25254760" w14:textId="4E1E7C6B" w:rsidR="009F35B5" w:rsidRDefault="009F35B5" w:rsidP="009F35B5">
      <w:pPr>
        <w:tabs>
          <w:tab w:val="left" w:pos="720"/>
          <w:tab w:val="left" w:pos="1080"/>
        </w:tabs>
        <w:ind w:firstLine="720"/>
        <w:jc w:val="both"/>
      </w:pPr>
      <w:r>
        <w:t xml:space="preserve">Įstatyme taip pat siūloma įtvirtinti, kad </w:t>
      </w:r>
      <w:r w:rsidRPr="006057E5">
        <w:t>Lietuvos Respublikoje priimtinos kalbos pagal Reglamento (ES) 2020/1783 6 straipsnį yra lietuvių ir anglų kalbos.</w:t>
      </w:r>
    </w:p>
    <w:p w14:paraId="222FF6A2" w14:textId="77777777" w:rsidR="009F35B5" w:rsidRDefault="009F35B5" w:rsidP="009F35B5">
      <w:pPr>
        <w:tabs>
          <w:tab w:val="left" w:pos="720"/>
          <w:tab w:val="left" w:pos="1080"/>
        </w:tabs>
        <w:ind w:firstLine="709"/>
        <w:jc w:val="both"/>
      </w:pPr>
      <w:r>
        <w:t xml:space="preserve">Atsižvelgiant į </w:t>
      </w:r>
      <w:r w:rsidRPr="005859A7">
        <w:t>Reglament</w:t>
      </w:r>
      <w:r>
        <w:t>o</w:t>
      </w:r>
      <w:r w:rsidRPr="005859A7">
        <w:t xml:space="preserve"> </w:t>
      </w:r>
      <w:r w:rsidRPr="00873B9E">
        <w:rPr>
          <w:bCs/>
        </w:rPr>
        <w:t>(ES) 20</w:t>
      </w:r>
      <w:r>
        <w:rPr>
          <w:bCs/>
        </w:rPr>
        <w:t>20</w:t>
      </w:r>
      <w:r w:rsidRPr="00873B9E">
        <w:rPr>
          <w:bCs/>
        </w:rPr>
        <w:t>/1</w:t>
      </w:r>
      <w:r>
        <w:rPr>
          <w:bCs/>
        </w:rPr>
        <w:t xml:space="preserve">783 </w:t>
      </w:r>
      <w:r>
        <w:t>35 straipsnio 1 dalies nuostatą, numatoma, kad Įstatymo projekto nuostatos, skirtos įgyvendinti šiam reglamentui, įsigalios 2022 m. liepos 1 d.</w:t>
      </w:r>
    </w:p>
    <w:p w14:paraId="251566A4" w14:textId="77777777" w:rsidR="009F35B5" w:rsidRDefault="009F35B5" w:rsidP="009F35B5">
      <w:pPr>
        <w:tabs>
          <w:tab w:val="left" w:pos="720"/>
          <w:tab w:val="left" w:pos="1080"/>
        </w:tabs>
        <w:ind w:firstLine="709"/>
        <w:jc w:val="both"/>
      </w:pPr>
      <w:r>
        <w:lastRenderedPageBreak/>
        <w:t xml:space="preserve">Pritarus Įstatymo projektu siūlomoms nuostatoms, bus sudarytos teisinės prielaidos sklandžiai ir efektyviai Lietuvoje taikyti Reglamentą </w:t>
      </w:r>
      <w:r w:rsidRPr="00F429AE">
        <w:t>(ES) 2020/178</w:t>
      </w:r>
      <w:r>
        <w:t xml:space="preserve">3. </w:t>
      </w:r>
    </w:p>
    <w:p w14:paraId="410F677D" w14:textId="77777777" w:rsidR="009F35B5" w:rsidRDefault="009F35B5" w:rsidP="009F35B5">
      <w:pPr>
        <w:tabs>
          <w:tab w:val="left" w:pos="720"/>
          <w:tab w:val="left" w:pos="1080"/>
        </w:tabs>
        <w:ind w:firstLine="720"/>
        <w:jc w:val="both"/>
        <w:rPr>
          <w:b/>
          <w:bCs/>
        </w:rPr>
      </w:pPr>
      <w:r w:rsidRPr="00E77FC2">
        <w:rPr>
          <w:b/>
          <w:bCs/>
        </w:rPr>
        <w:t xml:space="preserve">Dėl Reglamento </w:t>
      </w:r>
      <w:r w:rsidRPr="00370F69">
        <w:rPr>
          <w:b/>
        </w:rPr>
        <w:t>(ES) 2020/178</w:t>
      </w:r>
      <w:r>
        <w:rPr>
          <w:b/>
        </w:rPr>
        <w:t>4</w:t>
      </w:r>
      <w:r w:rsidRPr="00370F69">
        <w:rPr>
          <w:b/>
        </w:rPr>
        <w:t xml:space="preserve"> </w:t>
      </w:r>
      <w:r w:rsidRPr="00E77FC2">
        <w:rPr>
          <w:b/>
          <w:bCs/>
        </w:rPr>
        <w:t>įgyvendinimo</w:t>
      </w:r>
    </w:p>
    <w:p w14:paraId="0701EBF3" w14:textId="6B2BA281" w:rsidR="009F35B5" w:rsidRDefault="009F35B5" w:rsidP="009F35B5">
      <w:pPr>
        <w:tabs>
          <w:tab w:val="left" w:pos="720"/>
          <w:tab w:val="left" w:pos="1080"/>
        </w:tabs>
        <w:ind w:firstLine="720"/>
        <w:jc w:val="both"/>
        <w:rPr>
          <w:bCs/>
        </w:rPr>
      </w:pPr>
      <w:r w:rsidRPr="00E77FC2">
        <w:t xml:space="preserve">Įstatymo </w:t>
      </w:r>
      <w:r>
        <w:t xml:space="preserve">projektu patikslinamos Įstatymo trečiajame skirsnyje esančios nuorodos, pateikiant nuorodas į </w:t>
      </w:r>
      <w:r w:rsidRPr="00197DD0">
        <w:rPr>
          <w:bCs/>
        </w:rPr>
        <w:t>Reglamento (ES) 2020/1784</w:t>
      </w:r>
      <w:r w:rsidRPr="00370F69">
        <w:rPr>
          <w:b/>
        </w:rPr>
        <w:t xml:space="preserve"> </w:t>
      </w:r>
      <w:r>
        <w:rPr>
          <w:bCs/>
        </w:rPr>
        <w:t xml:space="preserve">atitinkamus straipsnius. </w:t>
      </w:r>
    </w:p>
    <w:p w14:paraId="6FC56BF7" w14:textId="77777777" w:rsidR="009F35B5" w:rsidRPr="002F2446" w:rsidRDefault="009F35B5" w:rsidP="009F35B5">
      <w:pPr>
        <w:tabs>
          <w:tab w:val="left" w:pos="720"/>
          <w:tab w:val="left" w:pos="1080"/>
        </w:tabs>
        <w:ind w:firstLine="720"/>
        <w:jc w:val="both"/>
        <w:rPr>
          <w:bCs/>
          <w:color w:val="000000"/>
        </w:rPr>
      </w:pPr>
      <w:r w:rsidRPr="002F2446">
        <w:rPr>
          <w:bCs/>
        </w:rPr>
        <w:t>Įstatymo projektu siūlomas naujas Įstatymo 3</w:t>
      </w:r>
      <w:r w:rsidRPr="002F2446">
        <w:rPr>
          <w:bCs/>
          <w:vertAlign w:val="superscript"/>
        </w:rPr>
        <w:t xml:space="preserve">4 </w:t>
      </w:r>
      <w:r w:rsidRPr="002F2446">
        <w:rPr>
          <w:bCs/>
        </w:rPr>
        <w:t>straipsnis, kuriame būtų numatyta, kad pagal Reglamento (ES) 2020/1784 7 straipsnio 1 dalies a punktą paskirta įstaiga, kuriai kitų valstybių narių perduodančiosios agentūros gali teikti prašymus nustatyti asmens, kuriam turi būti įteikti dokumentai, adresą, yra Lietuvos antstolių rūmai. Kadangi Įstatymu paskirta įstaiga, kompetentinga priimti kitų valstybių narių prašymus dėl dokumentų įteikimo,</w:t>
      </w:r>
      <w:r w:rsidRPr="002F2446">
        <w:rPr>
          <w:bCs/>
          <w:color w:val="000000"/>
        </w:rPr>
        <w:t xml:space="preserve"> yra Lietuvos antstolių rūmai, kurie organizuoja ir koordinuoja dokumentų įteikimą ir jų perdavimą antstoliams vykdyti, siūlytina įstaiga, teikiančia pagalbą nustatant adresą, taip pat skirti Lietuvos antstolių rūmus.  </w:t>
      </w:r>
    </w:p>
    <w:p w14:paraId="2DB42B42" w14:textId="3E3F802E" w:rsidR="005F6477" w:rsidRDefault="009F35B5" w:rsidP="009F35B5">
      <w:pPr>
        <w:tabs>
          <w:tab w:val="left" w:pos="720"/>
          <w:tab w:val="left" w:pos="1080"/>
        </w:tabs>
        <w:ind w:firstLine="720"/>
        <w:jc w:val="both"/>
        <w:rPr>
          <w:bCs/>
        </w:rPr>
      </w:pPr>
      <w:r w:rsidRPr="002F2446">
        <w:rPr>
          <w:bCs/>
        </w:rPr>
        <w:t xml:space="preserve">Reglamente (ES) 2020/1784 nėra nuostatų dėl </w:t>
      </w:r>
      <w:r w:rsidRPr="002F2446">
        <w:rPr>
          <w:bCs/>
          <w:color w:val="000000"/>
        </w:rPr>
        <w:t xml:space="preserve">pagalbos nustatant adresą teikimo išlaidų atlyginimo, </w:t>
      </w:r>
      <w:r>
        <w:rPr>
          <w:bCs/>
          <w:color w:val="000000"/>
        </w:rPr>
        <w:t>atsižvelgiant į tai, Į</w:t>
      </w:r>
      <w:r w:rsidRPr="002F2446">
        <w:rPr>
          <w:bCs/>
        </w:rPr>
        <w:t>statymo 3</w:t>
      </w:r>
      <w:r w:rsidRPr="002F2446">
        <w:rPr>
          <w:bCs/>
          <w:vertAlign w:val="superscript"/>
        </w:rPr>
        <w:t xml:space="preserve">4 </w:t>
      </w:r>
      <w:r w:rsidRPr="002F2446">
        <w:rPr>
          <w:bCs/>
        </w:rPr>
        <w:t>straipsni</w:t>
      </w:r>
      <w:r>
        <w:rPr>
          <w:bCs/>
        </w:rPr>
        <w:t>o</w:t>
      </w:r>
      <w:r w:rsidRPr="002F2446">
        <w:rPr>
          <w:bCs/>
        </w:rPr>
        <w:t xml:space="preserve"> antroje dalyje siūloma numatyti, kad Lietuvos antstolių rūmai turi teisę neatlygintinai gauti iš valstybės registrų duomenis, reikalingus Reglamento (ES) 2020/1784 7 straipsnio 1 dalies a punkte nustatytai funkcijai atlikti. </w:t>
      </w:r>
      <w:r w:rsidR="005F6477">
        <w:rPr>
          <w:bCs/>
        </w:rPr>
        <w:t>Pažymėtina, kad</w:t>
      </w:r>
      <w:r w:rsidR="00F75257">
        <w:rPr>
          <w:bCs/>
        </w:rPr>
        <w:t>,</w:t>
      </w:r>
      <w:r w:rsidR="005F6477">
        <w:rPr>
          <w:bCs/>
        </w:rPr>
        <w:t xml:space="preserve"> remiantis </w:t>
      </w:r>
      <w:r w:rsidR="005F6477">
        <w:rPr>
          <w:color w:val="000000"/>
        </w:rPr>
        <w:t>Lietuvos Respublikos informacinių išteklių valdymo įstatymo 29 straipsnio 4 dalimi, sąnaudos, kurias registro tvarkytojas patyrė dėl išrašų, pažymų ir kitų dokumentų, dokumentų kopijų ir (arba) informacijos, už kuriuos iš kitų subjektų imamas atlyginimas, rengimo, teikimo ir perdavimo susijusiems registrams, valstybės informacinėms sistemoms, valstybės ir savivaldybių institucijoms ir įstaigoms teisės aktuose nustatytoms funkcijoms atlikti ar kitiems įstatymų numatytiems fiziniams ar juridiniams asmenims (toliau – neatlygintino duomenų teikimo sąnaudos), finansuojamos iš šiam registro tvarkytojui skiriamų valstybės biudžeto lėšų.</w:t>
      </w:r>
    </w:p>
    <w:p w14:paraId="1B897D2F" w14:textId="77777777" w:rsidR="00870EDE" w:rsidRDefault="009F35B5" w:rsidP="009F35B5">
      <w:pPr>
        <w:tabs>
          <w:tab w:val="left" w:pos="720"/>
          <w:tab w:val="left" w:pos="1080"/>
        </w:tabs>
        <w:ind w:firstLine="720"/>
        <w:jc w:val="both"/>
        <w:rPr>
          <w:bCs/>
        </w:rPr>
      </w:pPr>
      <w:r w:rsidRPr="0002183E">
        <w:rPr>
          <w:bCs/>
        </w:rPr>
        <w:t xml:space="preserve">Atsižvelgiant į Lietuvos Respublikos </w:t>
      </w:r>
      <w:r w:rsidR="004A7949">
        <w:rPr>
          <w:bCs/>
        </w:rPr>
        <w:t xml:space="preserve">Europos </w:t>
      </w:r>
      <w:r w:rsidRPr="0002183E">
        <w:rPr>
          <w:bCs/>
        </w:rPr>
        <w:t>Komisijai pateiktą pranešimą pagal Reglamentą (ES) 1393/2007, Įstatymo 3</w:t>
      </w:r>
      <w:r w:rsidRPr="0002183E">
        <w:rPr>
          <w:bCs/>
          <w:vertAlign w:val="superscript"/>
        </w:rPr>
        <w:t>5</w:t>
      </w:r>
      <w:r w:rsidRPr="0002183E">
        <w:rPr>
          <w:bCs/>
        </w:rPr>
        <w:t xml:space="preserve"> straipsnį siūloma papildyti nauja dalimi, kurioje būtų numatyta, kad </w:t>
      </w:r>
      <w:r w:rsidRPr="0002183E">
        <w:rPr>
          <w:bCs/>
          <w:color w:val="000000"/>
          <w:shd w:val="clear" w:color="auto" w:fill="FFFFFF"/>
        </w:rPr>
        <w:t xml:space="preserve">Lietuvos Respublikos teismai gali priimti sprendimą net ir tuo atveju, kai nebuvo gautas bylos iškėlimo dokumento arba lygiaverčio dokumento įteikimo ar pristatymo pažymėjimas, jeigu įvykdomos visos Reglamento </w:t>
      </w:r>
      <w:r w:rsidRPr="0002183E">
        <w:rPr>
          <w:bCs/>
        </w:rPr>
        <w:t xml:space="preserve">(ES) 2020/1784 </w:t>
      </w:r>
      <w:r w:rsidRPr="0002183E">
        <w:rPr>
          <w:bCs/>
          <w:color w:val="000000"/>
          <w:shd w:val="clear" w:color="auto" w:fill="FFFFFF"/>
        </w:rPr>
        <w:t>22 straipsnio 2 dalyje numatytos sąlygos</w:t>
      </w:r>
      <w:r w:rsidRPr="0002183E">
        <w:rPr>
          <w:bCs/>
        </w:rPr>
        <w:t>.</w:t>
      </w:r>
    </w:p>
    <w:p w14:paraId="4060560D" w14:textId="04944766" w:rsidR="009F35B5" w:rsidRPr="0002183E" w:rsidRDefault="00870EDE" w:rsidP="009F35B5">
      <w:pPr>
        <w:tabs>
          <w:tab w:val="left" w:pos="720"/>
          <w:tab w:val="left" w:pos="1080"/>
        </w:tabs>
        <w:ind w:firstLine="720"/>
        <w:jc w:val="both"/>
        <w:rPr>
          <w:bCs/>
        </w:rPr>
      </w:pPr>
      <w:r>
        <w:rPr>
          <w:bCs/>
        </w:rPr>
        <w:t xml:space="preserve">Atsižvelgiant į </w:t>
      </w:r>
      <w:r w:rsidRPr="0002183E">
        <w:rPr>
          <w:bCs/>
          <w:color w:val="000000"/>
          <w:shd w:val="clear" w:color="auto" w:fill="FFFFFF"/>
        </w:rPr>
        <w:t xml:space="preserve">Reglamento </w:t>
      </w:r>
      <w:r w:rsidRPr="0002183E">
        <w:rPr>
          <w:bCs/>
        </w:rPr>
        <w:t xml:space="preserve">(ES) 2020/1784 </w:t>
      </w:r>
      <w:r w:rsidRPr="0002183E">
        <w:rPr>
          <w:bCs/>
          <w:color w:val="000000"/>
          <w:shd w:val="clear" w:color="auto" w:fill="FFFFFF"/>
        </w:rPr>
        <w:t xml:space="preserve">22 straipsnio </w:t>
      </w:r>
      <w:r>
        <w:rPr>
          <w:bCs/>
          <w:color w:val="000000"/>
          <w:shd w:val="clear" w:color="auto" w:fill="FFFFFF"/>
        </w:rPr>
        <w:t>5</w:t>
      </w:r>
      <w:r w:rsidRPr="0002183E">
        <w:rPr>
          <w:bCs/>
          <w:color w:val="000000"/>
          <w:shd w:val="clear" w:color="auto" w:fill="FFFFFF"/>
        </w:rPr>
        <w:t xml:space="preserve"> dal</w:t>
      </w:r>
      <w:r>
        <w:rPr>
          <w:bCs/>
          <w:color w:val="000000"/>
          <w:shd w:val="clear" w:color="auto" w:fill="FFFFFF"/>
        </w:rPr>
        <w:t xml:space="preserve">yje numatytą išimtį, siūloma šia išimtimi papildyti Įstatymo </w:t>
      </w:r>
      <w:r w:rsidRPr="0002183E">
        <w:rPr>
          <w:bCs/>
        </w:rPr>
        <w:t>3</w:t>
      </w:r>
      <w:r w:rsidRPr="0002183E">
        <w:rPr>
          <w:bCs/>
          <w:vertAlign w:val="superscript"/>
        </w:rPr>
        <w:t>5</w:t>
      </w:r>
      <w:r w:rsidRPr="0002183E">
        <w:rPr>
          <w:bCs/>
        </w:rPr>
        <w:t xml:space="preserve"> straipsn</w:t>
      </w:r>
      <w:r>
        <w:rPr>
          <w:bCs/>
        </w:rPr>
        <w:t>io 2 dalį.</w:t>
      </w:r>
      <w:r w:rsidR="009F35B5" w:rsidRPr="0002183E">
        <w:rPr>
          <w:bCs/>
        </w:rPr>
        <w:t xml:space="preserve">  </w:t>
      </w:r>
    </w:p>
    <w:p w14:paraId="4AD205B1" w14:textId="77777777" w:rsidR="009F35B5" w:rsidRDefault="009F35B5" w:rsidP="009F35B5">
      <w:pPr>
        <w:tabs>
          <w:tab w:val="left" w:pos="720"/>
          <w:tab w:val="left" w:pos="1080"/>
        </w:tabs>
        <w:ind w:firstLine="720"/>
        <w:jc w:val="both"/>
      </w:pPr>
      <w:r w:rsidRPr="00187C41">
        <w:t>Įstatyme taip pat siūloma įtvirtinti, kad Lietuvos Respublikoje priimtinos kalbos pagal</w:t>
      </w:r>
      <w:r w:rsidRPr="00187C41">
        <w:rPr>
          <w:color w:val="000000"/>
        </w:rPr>
        <w:t xml:space="preserve"> </w:t>
      </w:r>
      <w:r w:rsidRPr="00187C41">
        <w:t>Reglamento (ES) 2020/1784 3 straipsnio 4 dalies d punktą, 8 straipsnio 2 dalį ir 14 straipsnio 2 dalį yra lietuvių ir anglų kalbos.</w:t>
      </w:r>
    </w:p>
    <w:p w14:paraId="76313063" w14:textId="77777777" w:rsidR="009F35B5" w:rsidRDefault="009F35B5" w:rsidP="009F35B5">
      <w:pPr>
        <w:tabs>
          <w:tab w:val="left" w:pos="720"/>
          <w:tab w:val="left" w:pos="1080"/>
        </w:tabs>
        <w:ind w:firstLine="709"/>
        <w:jc w:val="both"/>
      </w:pPr>
      <w:r>
        <w:t xml:space="preserve">Atsižvelgiant į </w:t>
      </w:r>
      <w:r w:rsidRPr="005859A7">
        <w:t>Reglament</w:t>
      </w:r>
      <w:r>
        <w:t>o</w:t>
      </w:r>
      <w:r w:rsidRPr="005859A7">
        <w:t xml:space="preserve"> </w:t>
      </w:r>
      <w:r w:rsidRPr="00873B9E">
        <w:rPr>
          <w:bCs/>
        </w:rPr>
        <w:t>(ES) 20</w:t>
      </w:r>
      <w:r>
        <w:rPr>
          <w:bCs/>
        </w:rPr>
        <w:t>20</w:t>
      </w:r>
      <w:r w:rsidRPr="00873B9E">
        <w:rPr>
          <w:bCs/>
        </w:rPr>
        <w:t>/1</w:t>
      </w:r>
      <w:r>
        <w:rPr>
          <w:bCs/>
        </w:rPr>
        <w:t xml:space="preserve">784 </w:t>
      </w:r>
      <w:r>
        <w:t>37 straipsnio 1 dalies nuostatą, numatoma, kad Įstatymo projekto nuostatos, skirtos įgyvendinti šiam reglamentui, įsigalios 2022 m. liepos 1 d.</w:t>
      </w:r>
    </w:p>
    <w:p w14:paraId="581A450B" w14:textId="77777777" w:rsidR="009F35B5" w:rsidRDefault="009F35B5" w:rsidP="009F35B5">
      <w:pPr>
        <w:tabs>
          <w:tab w:val="left" w:pos="720"/>
          <w:tab w:val="left" w:pos="1080"/>
        </w:tabs>
        <w:ind w:firstLine="709"/>
        <w:jc w:val="both"/>
      </w:pPr>
      <w:r>
        <w:t xml:space="preserve">Pritarus Įstatymo projektu siūlomoms nuostatoms, bus sudarytos teisinės prielaidos sklandžiai ir efektyviai Lietuvoje taikyti Reglamentą </w:t>
      </w:r>
      <w:r w:rsidRPr="00F429AE">
        <w:t>(ES) 2020/1784</w:t>
      </w:r>
      <w:r>
        <w:t xml:space="preserve">. </w:t>
      </w:r>
    </w:p>
    <w:tbl>
      <w:tblPr>
        <w:tblW w:w="5041" w:type="pct"/>
        <w:tblCellSpacing w:w="0" w:type="dxa"/>
        <w:tblCellMar>
          <w:left w:w="0" w:type="dxa"/>
          <w:right w:w="0" w:type="dxa"/>
        </w:tblCellMar>
        <w:tblLook w:val="04A0" w:firstRow="1" w:lastRow="0" w:firstColumn="1" w:lastColumn="0" w:noHBand="0" w:noVBand="1"/>
      </w:tblPr>
      <w:tblGrid>
        <w:gridCol w:w="9611"/>
        <w:gridCol w:w="25"/>
        <w:gridCol w:w="25"/>
        <w:gridCol w:w="25"/>
        <w:gridCol w:w="31"/>
      </w:tblGrid>
      <w:tr w:rsidR="006175AA" w:rsidRPr="00873B9E" w14:paraId="36189C73" w14:textId="77777777" w:rsidTr="006175AA">
        <w:trPr>
          <w:tblCellSpacing w:w="0" w:type="dxa"/>
        </w:trPr>
        <w:tc>
          <w:tcPr>
            <w:tcW w:w="0" w:type="auto"/>
            <w:hideMark/>
          </w:tcPr>
          <w:p w14:paraId="23D904B0" w14:textId="77777777" w:rsidR="006175AA" w:rsidRPr="00873B9E" w:rsidRDefault="006175AA" w:rsidP="005A2109">
            <w:pPr>
              <w:ind w:firstLine="720"/>
              <w:jc w:val="both"/>
            </w:pPr>
            <w:r w:rsidRPr="00873B9E">
              <w:rPr>
                <w:lang w:eastAsia="en-US"/>
              </w:rPr>
              <w:t xml:space="preserve"> </w:t>
            </w:r>
          </w:p>
        </w:tc>
        <w:tc>
          <w:tcPr>
            <w:tcW w:w="13" w:type="pct"/>
          </w:tcPr>
          <w:p w14:paraId="30D370E6" w14:textId="77777777" w:rsidR="006175AA" w:rsidRPr="00873B9E" w:rsidRDefault="006175AA" w:rsidP="005A2109">
            <w:pPr>
              <w:ind w:firstLine="720"/>
              <w:jc w:val="both"/>
            </w:pPr>
          </w:p>
        </w:tc>
        <w:tc>
          <w:tcPr>
            <w:tcW w:w="13" w:type="pct"/>
          </w:tcPr>
          <w:p w14:paraId="579591AD" w14:textId="78495875" w:rsidR="006175AA" w:rsidRPr="00873B9E" w:rsidRDefault="006175AA" w:rsidP="005A2109">
            <w:pPr>
              <w:ind w:firstLine="720"/>
              <w:jc w:val="both"/>
            </w:pPr>
          </w:p>
        </w:tc>
        <w:tc>
          <w:tcPr>
            <w:tcW w:w="13" w:type="pct"/>
          </w:tcPr>
          <w:p w14:paraId="20028D77" w14:textId="77777777" w:rsidR="006175AA" w:rsidRPr="00873B9E" w:rsidRDefault="006175AA" w:rsidP="005A2109">
            <w:pPr>
              <w:ind w:firstLine="720"/>
              <w:jc w:val="both"/>
            </w:pPr>
          </w:p>
        </w:tc>
        <w:tc>
          <w:tcPr>
            <w:tcW w:w="16" w:type="pct"/>
          </w:tcPr>
          <w:p w14:paraId="1CF9CC20" w14:textId="77777777" w:rsidR="006175AA" w:rsidRPr="00873B9E" w:rsidRDefault="006175AA" w:rsidP="005A2109">
            <w:pPr>
              <w:ind w:firstLine="720"/>
              <w:jc w:val="both"/>
            </w:pPr>
          </w:p>
        </w:tc>
      </w:tr>
    </w:tbl>
    <w:p w14:paraId="6936C3C9" w14:textId="22B838F2" w:rsidR="00D30D08" w:rsidRPr="00873B9E" w:rsidRDefault="00D30D08" w:rsidP="005A2109">
      <w:pPr>
        <w:tabs>
          <w:tab w:val="left" w:pos="720"/>
          <w:tab w:val="left" w:pos="960"/>
          <w:tab w:val="left" w:pos="1080"/>
        </w:tabs>
        <w:ind w:firstLine="720"/>
        <w:jc w:val="both"/>
        <w:rPr>
          <w:b/>
        </w:rPr>
      </w:pPr>
      <w:r w:rsidRPr="00873B9E">
        <w:rPr>
          <w:b/>
        </w:rPr>
        <w:t>5. Numatomo teisinio reguliavimo poveikio vertinimo rezultatai, galimos neigiamos priimto įstatymo pasekmės ir kokių priemonių reikėtų imtis, kad tokių pasekmių būtų išvengta</w:t>
      </w:r>
    </w:p>
    <w:p w14:paraId="6CA21DAA" w14:textId="16269994" w:rsidR="002B339F" w:rsidRPr="00873B9E" w:rsidRDefault="001D508A" w:rsidP="005A2109">
      <w:pPr>
        <w:ind w:firstLine="720"/>
        <w:jc w:val="both"/>
      </w:pPr>
      <w:r w:rsidRPr="00873B9E">
        <w:t xml:space="preserve">Įstatymo projektu siūlomo teisinio reguliavimo laukiami teigiami rezultatai aptarti šio aiškinamojo rašto 4 dalyje. </w:t>
      </w:r>
      <w:r w:rsidR="004019FF" w:rsidRPr="00873B9E">
        <w:t>Teisinio reguliavimo neigiamų pasekmių nenumatoma.</w:t>
      </w:r>
    </w:p>
    <w:p w14:paraId="2258EAFC" w14:textId="77777777" w:rsidR="00164F23" w:rsidRPr="00873B9E" w:rsidRDefault="00164F23" w:rsidP="005A2109">
      <w:pPr>
        <w:ind w:firstLine="720"/>
        <w:jc w:val="both"/>
        <w:rPr>
          <w:b/>
        </w:rPr>
      </w:pPr>
    </w:p>
    <w:p w14:paraId="483B9280" w14:textId="77777777" w:rsidR="00D30D08" w:rsidRPr="00873B9E" w:rsidRDefault="00473070" w:rsidP="005A2109">
      <w:pPr>
        <w:pStyle w:val="HTMLPreformatted"/>
        <w:ind w:firstLine="720"/>
        <w:jc w:val="both"/>
        <w:rPr>
          <w:rFonts w:ascii="Times New Roman" w:hAnsi="Times New Roman" w:cs="Times New Roman"/>
          <w:b/>
          <w:sz w:val="24"/>
          <w:szCs w:val="24"/>
        </w:rPr>
      </w:pPr>
      <w:r w:rsidRPr="00873B9E">
        <w:rPr>
          <w:rFonts w:ascii="Times New Roman" w:hAnsi="Times New Roman" w:cs="Times New Roman"/>
          <w:b/>
          <w:sz w:val="24"/>
          <w:szCs w:val="24"/>
        </w:rPr>
        <w:t>6. Galima priimto įstatymo</w:t>
      </w:r>
      <w:r w:rsidR="00F33ED3" w:rsidRPr="00873B9E">
        <w:rPr>
          <w:rFonts w:ascii="Times New Roman" w:hAnsi="Times New Roman" w:cs="Times New Roman"/>
          <w:b/>
          <w:sz w:val="24"/>
          <w:szCs w:val="24"/>
        </w:rPr>
        <w:t xml:space="preserve"> įtaka kriminogeninei </w:t>
      </w:r>
      <w:r w:rsidR="00D30D08" w:rsidRPr="00873B9E">
        <w:rPr>
          <w:rFonts w:ascii="Times New Roman" w:hAnsi="Times New Roman" w:cs="Times New Roman"/>
          <w:b/>
          <w:sz w:val="24"/>
          <w:szCs w:val="24"/>
        </w:rPr>
        <w:t>situacijai, korupcijai</w:t>
      </w:r>
    </w:p>
    <w:p w14:paraId="307000E2" w14:textId="14CA55CA" w:rsidR="00D30D08" w:rsidRPr="00873B9E" w:rsidRDefault="00CF27A5" w:rsidP="005A2109">
      <w:pPr>
        <w:tabs>
          <w:tab w:val="left" w:pos="0"/>
        </w:tabs>
        <w:ind w:firstLine="720"/>
        <w:jc w:val="both"/>
        <w:rPr>
          <w:spacing w:val="-4"/>
        </w:rPr>
      </w:pPr>
      <w:r w:rsidRPr="00873B9E">
        <w:rPr>
          <w:spacing w:val="-4"/>
        </w:rPr>
        <w:t>Įstatym</w:t>
      </w:r>
      <w:r w:rsidR="001D508A" w:rsidRPr="00873B9E">
        <w:rPr>
          <w:spacing w:val="-4"/>
        </w:rPr>
        <w:t>o</w:t>
      </w:r>
      <w:r w:rsidRPr="00873B9E">
        <w:rPr>
          <w:spacing w:val="-4"/>
        </w:rPr>
        <w:t xml:space="preserve"> projekt</w:t>
      </w:r>
      <w:r w:rsidR="001D508A" w:rsidRPr="00873B9E">
        <w:rPr>
          <w:spacing w:val="-4"/>
        </w:rPr>
        <w:t>o</w:t>
      </w:r>
      <w:r w:rsidR="00C17F84" w:rsidRPr="00873B9E">
        <w:rPr>
          <w:spacing w:val="-4"/>
        </w:rPr>
        <w:t xml:space="preserve"> priėmimas</w:t>
      </w:r>
      <w:r w:rsidR="00D30D08" w:rsidRPr="00873B9E">
        <w:rPr>
          <w:spacing w:val="-4"/>
        </w:rPr>
        <w:t xml:space="preserve"> neigiamos įtakos kriminogeninei si</w:t>
      </w:r>
      <w:r w:rsidR="00411E09" w:rsidRPr="00873B9E">
        <w:rPr>
          <w:spacing w:val="-4"/>
        </w:rPr>
        <w:t>tuacijai ir korupcijai neturės.</w:t>
      </w:r>
    </w:p>
    <w:p w14:paraId="53DEA369" w14:textId="77777777" w:rsidR="00D30D08" w:rsidRPr="00873B9E" w:rsidRDefault="00D30D08" w:rsidP="005A2109">
      <w:pPr>
        <w:pStyle w:val="HTMLPreformatted"/>
        <w:ind w:firstLine="720"/>
        <w:jc w:val="both"/>
        <w:rPr>
          <w:rFonts w:ascii="Times New Roman" w:hAnsi="Times New Roman" w:cs="Times New Roman"/>
          <w:sz w:val="24"/>
          <w:szCs w:val="24"/>
        </w:rPr>
      </w:pPr>
    </w:p>
    <w:p w14:paraId="1F2FCDA9" w14:textId="77777777" w:rsidR="00D30D08" w:rsidRPr="00873B9E" w:rsidRDefault="00D30D08" w:rsidP="005A2109">
      <w:pPr>
        <w:numPr>
          <w:ilvl w:val="0"/>
          <w:numId w:val="2"/>
        </w:numPr>
        <w:tabs>
          <w:tab w:val="left" w:pos="960"/>
          <w:tab w:val="left" w:pos="1080"/>
        </w:tabs>
        <w:ind w:left="0" w:firstLine="709"/>
        <w:jc w:val="both"/>
        <w:rPr>
          <w:b/>
        </w:rPr>
      </w:pPr>
      <w:r w:rsidRPr="00873B9E">
        <w:rPr>
          <w:b/>
        </w:rPr>
        <w:t xml:space="preserve">Galima </w:t>
      </w:r>
      <w:r w:rsidR="00473070" w:rsidRPr="00873B9E">
        <w:rPr>
          <w:b/>
        </w:rPr>
        <w:t>įstatymo</w:t>
      </w:r>
      <w:r w:rsidRPr="00873B9E">
        <w:rPr>
          <w:b/>
        </w:rPr>
        <w:t xml:space="preserve"> įgyvendinimo įtaka verslo sąlygoms ir jo plėtrai</w:t>
      </w:r>
    </w:p>
    <w:p w14:paraId="07F1900F" w14:textId="665F355C" w:rsidR="00E241B5" w:rsidRPr="00873B9E" w:rsidRDefault="00182AD9" w:rsidP="005A2109">
      <w:pPr>
        <w:tabs>
          <w:tab w:val="left" w:pos="0"/>
        </w:tabs>
        <w:ind w:firstLine="709"/>
        <w:jc w:val="both"/>
        <w:rPr>
          <w:spacing w:val="-4"/>
        </w:rPr>
      </w:pPr>
      <w:r w:rsidRPr="00873B9E">
        <w:rPr>
          <w:spacing w:val="-4"/>
        </w:rPr>
        <w:t>Įstatym</w:t>
      </w:r>
      <w:r w:rsidR="001D508A" w:rsidRPr="00873B9E">
        <w:rPr>
          <w:spacing w:val="-4"/>
        </w:rPr>
        <w:t>o</w:t>
      </w:r>
      <w:r w:rsidRPr="00873B9E">
        <w:rPr>
          <w:spacing w:val="-4"/>
        </w:rPr>
        <w:t xml:space="preserve"> projekt</w:t>
      </w:r>
      <w:r w:rsidR="001D508A" w:rsidRPr="00873B9E">
        <w:rPr>
          <w:spacing w:val="-4"/>
        </w:rPr>
        <w:t>o</w:t>
      </w:r>
      <w:r w:rsidRPr="00873B9E">
        <w:rPr>
          <w:spacing w:val="-4"/>
        </w:rPr>
        <w:t xml:space="preserve"> priėmimas tiesioginės įtakos verslo sąlygoms ir jo plėtrai neturės</w:t>
      </w:r>
      <w:r w:rsidR="00927D39" w:rsidRPr="00873B9E">
        <w:rPr>
          <w:spacing w:val="-4"/>
        </w:rPr>
        <w:t>.</w:t>
      </w:r>
    </w:p>
    <w:p w14:paraId="710D5A1F" w14:textId="28475538" w:rsidR="00297B9F" w:rsidRPr="00873B9E" w:rsidRDefault="00297B9F" w:rsidP="005A2109">
      <w:pPr>
        <w:tabs>
          <w:tab w:val="left" w:pos="0"/>
        </w:tabs>
        <w:ind w:firstLine="720"/>
        <w:jc w:val="both"/>
        <w:rPr>
          <w:spacing w:val="-4"/>
        </w:rPr>
      </w:pPr>
    </w:p>
    <w:p w14:paraId="539D1CC9" w14:textId="4D6A9B06" w:rsidR="00297B9F" w:rsidRPr="00873B9E" w:rsidRDefault="00297B9F" w:rsidP="005A2109">
      <w:pPr>
        <w:numPr>
          <w:ilvl w:val="0"/>
          <w:numId w:val="2"/>
        </w:numPr>
        <w:tabs>
          <w:tab w:val="left" w:pos="960"/>
          <w:tab w:val="left" w:pos="1080"/>
        </w:tabs>
        <w:ind w:left="0" w:firstLine="709"/>
        <w:jc w:val="both"/>
        <w:rPr>
          <w:b/>
          <w:bCs/>
          <w:spacing w:val="-4"/>
        </w:rPr>
      </w:pPr>
      <w:r w:rsidRPr="00873B9E">
        <w:rPr>
          <w:b/>
          <w:bCs/>
          <w:spacing w:val="-4"/>
        </w:rPr>
        <w:t>Į</w:t>
      </w:r>
      <w:r w:rsidRPr="00873B9E">
        <w:rPr>
          <w:b/>
          <w:bCs/>
        </w:rPr>
        <w:t>statymo</w:t>
      </w:r>
      <w:r w:rsidRPr="00873B9E">
        <w:rPr>
          <w:b/>
          <w:bCs/>
          <w:spacing w:val="-4"/>
        </w:rPr>
        <w:t xml:space="preserve"> projekto atitiktis strateginio lygmens planavimo dokumentams</w:t>
      </w:r>
    </w:p>
    <w:p w14:paraId="0DCA0548" w14:textId="7E37547D" w:rsidR="004019FF" w:rsidRPr="00873B9E" w:rsidRDefault="004019FF" w:rsidP="005A2109">
      <w:pPr>
        <w:tabs>
          <w:tab w:val="left" w:pos="960"/>
          <w:tab w:val="left" w:pos="1080"/>
        </w:tabs>
        <w:ind w:firstLine="709"/>
        <w:jc w:val="both"/>
        <w:rPr>
          <w:spacing w:val="-4"/>
        </w:rPr>
      </w:pPr>
      <w:r w:rsidRPr="00873B9E">
        <w:rPr>
          <w:spacing w:val="-4"/>
        </w:rPr>
        <w:t>Įstatym</w:t>
      </w:r>
      <w:r w:rsidR="001D508A" w:rsidRPr="00873B9E">
        <w:rPr>
          <w:spacing w:val="-4"/>
        </w:rPr>
        <w:t>o</w:t>
      </w:r>
      <w:r w:rsidRPr="00873B9E">
        <w:rPr>
          <w:spacing w:val="-4"/>
        </w:rPr>
        <w:t xml:space="preserve"> projekta</w:t>
      </w:r>
      <w:r w:rsidR="001D508A" w:rsidRPr="00873B9E">
        <w:rPr>
          <w:spacing w:val="-4"/>
        </w:rPr>
        <w:t>s</w:t>
      </w:r>
      <w:r w:rsidRPr="00873B9E">
        <w:rPr>
          <w:spacing w:val="-4"/>
        </w:rPr>
        <w:t xml:space="preserve"> </w:t>
      </w:r>
      <w:r w:rsidR="001D508A" w:rsidRPr="00873B9E">
        <w:rPr>
          <w:spacing w:val="-4"/>
        </w:rPr>
        <w:t>atitinka</w:t>
      </w:r>
      <w:r w:rsidRPr="00873B9E">
        <w:rPr>
          <w:spacing w:val="-4"/>
        </w:rPr>
        <w:t xml:space="preserve"> strateginio lygmens planavimo dokument</w:t>
      </w:r>
      <w:r w:rsidR="001D508A" w:rsidRPr="00873B9E">
        <w:rPr>
          <w:spacing w:val="-4"/>
        </w:rPr>
        <w:t>us</w:t>
      </w:r>
      <w:r w:rsidRPr="00873B9E">
        <w:rPr>
          <w:spacing w:val="-4"/>
        </w:rPr>
        <w:t>.</w:t>
      </w:r>
      <w:r w:rsidR="001D508A" w:rsidRPr="00873B9E">
        <w:rPr>
          <w:spacing w:val="-4"/>
        </w:rPr>
        <w:t xml:space="preserve"> </w:t>
      </w:r>
      <w:r w:rsidR="001D508A" w:rsidRPr="00873B9E">
        <w:t xml:space="preserve">Įstatymo projektu prisidedama prie Aštuonioliktosios Lietuvos Respublikos Vyriausybės programos, kuriai pritarta </w:t>
      </w:r>
      <w:r w:rsidR="001D508A" w:rsidRPr="00873B9E">
        <w:lastRenderedPageBreak/>
        <w:t>Lietuvos Respublikos Seimo 2020 m. gruodžio 11 d. nutarimu Nr. XIV-72, 191.5 papunktyje įtvirtinto tikslo, kad Europos Sąjungos teisės aktai būtų įgyvendinami tinkamai, įvykdymo.</w:t>
      </w:r>
    </w:p>
    <w:p w14:paraId="593043BF" w14:textId="77777777" w:rsidR="00182AD9" w:rsidRPr="00873B9E" w:rsidRDefault="00182AD9" w:rsidP="005A2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2BA3EE59" w14:textId="77777777" w:rsidR="00D30D08" w:rsidRPr="00873B9E" w:rsidRDefault="00473070" w:rsidP="005A2109">
      <w:pPr>
        <w:pStyle w:val="ListParagraph"/>
        <w:numPr>
          <w:ilvl w:val="0"/>
          <w:numId w:val="2"/>
        </w:numPr>
        <w:tabs>
          <w:tab w:val="clear" w:pos="502"/>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873B9E">
        <w:rPr>
          <w:b/>
        </w:rPr>
        <w:t>Įstatymo</w:t>
      </w:r>
      <w:r w:rsidR="00D30D08" w:rsidRPr="00873B9E">
        <w:rPr>
          <w:b/>
        </w:rPr>
        <w:t xml:space="preserve"> inkorporavimas į teisinę sistemą, teisės aktai, kuriuos būtina priimti, galiojantys teisės aktai, kuriuos reikia pakeisti ar pripažinti netekusiais galios</w:t>
      </w:r>
    </w:p>
    <w:p w14:paraId="4AFB9EC1" w14:textId="28E5F336" w:rsidR="00BB1B76" w:rsidRPr="00873B9E" w:rsidRDefault="00BB1B76"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Siekian</w:t>
      </w:r>
      <w:r w:rsidR="008A47E4" w:rsidRPr="00873B9E">
        <w:rPr>
          <w:rFonts w:ascii="Times New Roman" w:hAnsi="Times New Roman" w:cs="Times New Roman"/>
          <w:sz w:val="24"/>
          <w:szCs w:val="24"/>
        </w:rPr>
        <w:t>t inkorporuoti Įstatym</w:t>
      </w:r>
      <w:r w:rsidR="001D508A" w:rsidRPr="00873B9E">
        <w:rPr>
          <w:rFonts w:ascii="Times New Roman" w:hAnsi="Times New Roman" w:cs="Times New Roman"/>
          <w:sz w:val="24"/>
          <w:szCs w:val="24"/>
        </w:rPr>
        <w:t>o</w:t>
      </w:r>
      <w:r w:rsidR="008A47E4" w:rsidRPr="00873B9E">
        <w:rPr>
          <w:rFonts w:ascii="Times New Roman" w:hAnsi="Times New Roman" w:cs="Times New Roman"/>
          <w:sz w:val="24"/>
          <w:szCs w:val="24"/>
        </w:rPr>
        <w:t xml:space="preserve"> projekt</w:t>
      </w:r>
      <w:r w:rsidR="004019FF" w:rsidRPr="00873B9E">
        <w:rPr>
          <w:rFonts w:ascii="Times New Roman" w:hAnsi="Times New Roman" w:cs="Times New Roman"/>
          <w:sz w:val="24"/>
          <w:szCs w:val="24"/>
        </w:rPr>
        <w:t>u</w:t>
      </w:r>
      <w:r w:rsidRPr="00873B9E">
        <w:rPr>
          <w:rFonts w:ascii="Times New Roman" w:hAnsi="Times New Roman" w:cs="Times New Roman"/>
          <w:sz w:val="24"/>
          <w:szCs w:val="24"/>
        </w:rPr>
        <w:t xml:space="preserve"> siūlomas nuostatas į teisinę sistemą, nenumatomas poreikis keisti kitus galiojančius įstatymus.</w:t>
      </w:r>
    </w:p>
    <w:p w14:paraId="32062476" w14:textId="77777777" w:rsidR="006D309A" w:rsidRPr="00873B9E" w:rsidRDefault="006D309A" w:rsidP="005A2109">
      <w:pPr>
        <w:pStyle w:val="HTMLPreformatted"/>
        <w:tabs>
          <w:tab w:val="clear" w:pos="916"/>
          <w:tab w:val="left" w:pos="709"/>
        </w:tabs>
        <w:ind w:firstLine="720"/>
        <w:jc w:val="both"/>
        <w:rPr>
          <w:rFonts w:ascii="Times New Roman" w:hAnsi="Times New Roman" w:cs="Times New Roman"/>
          <w:sz w:val="24"/>
          <w:szCs w:val="24"/>
        </w:rPr>
      </w:pPr>
      <w:r w:rsidRPr="00873B9E">
        <w:rPr>
          <w:rFonts w:ascii="Times New Roman" w:hAnsi="Times New Roman" w:cs="Times New Roman"/>
          <w:sz w:val="24"/>
          <w:szCs w:val="24"/>
        </w:rPr>
        <w:tab/>
      </w:r>
    </w:p>
    <w:p w14:paraId="30B18E3F" w14:textId="3C2C15FB" w:rsidR="005E40E0" w:rsidRPr="00873B9E" w:rsidRDefault="00473070" w:rsidP="005A2109">
      <w:pPr>
        <w:pStyle w:val="ListParagraph"/>
        <w:numPr>
          <w:ilvl w:val="0"/>
          <w:numId w:val="2"/>
        </w:numPr>
        <w:tabs>
          <w:tab w:val="clear" w:pos="502"/>
          <w:tab w:val="left" w:pos="0"/>
          <w:tab w:val="left" w:pos="993"/>
        </w:tabs>
        <w:ind w:left="0" w:firstLine="720"/>
        <w:jc w:val="both"/>
        <w:rPr>
          <w:b/>
        </w:rPr>
      </w:pPr>
      <w:r w:rsidRPr="00873B9E">
        <w:rPr>
          <w:b/>
        </w:rPr>
        <w:t>Įstatymo projekto</w:t>
      </w:r>
      <w:r w:rsidR="00D30D08" w:rsidRPr="00873B9E">
        <w:rPr>
          <w:b/>
        </w:rPr>
        <w:t xml:space="preserve"> atitiktis Lietuvos Respublikos valstybinės kalbos, Teisėkūros pagrindų įstatymų reikalavimams, </w:t>
      </w:r>
      <w:r w:rsidR="00297B9F" w:rsidRPr="00873B9E">
        <w:rPr>
          <w:b/>
        </w:rPr>
        <w:t>į</w:t>
      </w:r>
      <w:r w:rsidR="00D30D08" w:rsidRPr="00873B9E">
        <w:rPr>
          <w:b/>
        </w:rPr>
        <w:t>statymo projekto sąvokų ir jas įvardijančių terminų įvertinimas Terminų banko įstatymo ir jo įgyvendinamųj</w:t>
      </w:r>
      <w:r w:rsidR="00BB1B76" w:rsidRPr="00873B9E">
        <w:rPr>
          <w:b/>
        </w:rPr>
        <w:t>ų teisės aktų nustatyta tvarka.</w:t>
      </w:r>
    </w:p>
    <w:p w14:paraId="26AAD663" w14:textId="4FFCC957" w:rsidR="00BB1B76" w:rsidRPr="00873B9E" w:rsidRDefault="00BB1B76"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Įstatym</w:t>
      </w:r>
      <w:r w:rsidR="001D508A" w:rsidRPr="00873B9E">
        <w:rPr>
          <w:rFonts w:ascii="Times New Roman" w:hAnsi="Times New Roman" w:cs="Times New Roman"/>
          <w:sz w:val="24"/>
          <w:szCs w:val="24"/>
        </w:rPr>
        <w:t>o</w:t>
      </w:r>
      <w:r w:rsidRPr="00873B9E">
        <w:rPr>
          <w:rFonts w:ascii="Times New Roman" w:hAnsi="Times New Roman" w:cs="Times New Roman"/>
          <w:sz w:val="24"/>
          <w:szCs w:val="24"/>
        </w:rPr>
        <w:t xml:space="preserve"> projekta</w:t>
      </w:r>
      <w:r w:rsidR="001D508A" w:rsidRPr="00873B9E">
        <w:rPr>
          <w:rFonts w:ascii="Times New Roman" w:hAnsi="Times New Roman" w:cs="Times New Roman"/>
          <w:sz w:val="24"/>
          <w:szCs w:val="24"/>
        </w:rPr>
        <w:t>s</w:t>
      </w:r>
      <w:r w:rsidRPr="00873B9E">
        <w:rPr>
          <w:rFonts w:ascii="Times New Roman" w:hAnsi="Times New Roman" w:cs="Times New Roman"/>
          <w:sz w:val="24"/>
          <w:szCs w:val="24"/>
        </w:rPr>
        <w:t xml:space="preserve"> atitinka Lietuvos Respublikos valstybinės kalbos, Lietuvos Respublikos teisėkūros pagrindų įstatymų reikalavimus. </w:t>
      </w:r>
      <w:r w:rsidR="00432045" w:rsidRPr="00873B9E">
        <w:rPr>
          <w:rFonts w:ascii="Times New Roman" w:hAnsi="Times New Roman" w:cs="Times New Roman"/>
          <w:sz w:val="24"/>
          <w:szCs w:val="24"/>
        </w:rPr>
        <w:t>Įstatym</w:t>
      </w:r>
      <w:r w:rsidR="001D508A" w:rsidRPr="00873B9E">
        <w:rPr>
          <w:rFonts w:ascii="Times New Roman" w:hAnsi="Times New Roman" w:cs="Times New Roman"/>
          <w:sz w:val="24"/>
          <w:szCs w:val="24"/>
        </w:rPr>
        <w:t>o</w:t>
      </w:r>
      <w:r w:rsidR="00432045" w:rsidRPr="00873B9E">
        <w:rPr>
          <w:rFonts w:ascii="Times New Roman" w:hAnsi="Times New Roman" w:cs="Times New Roman"/>
          <w:sz w:val="24"/>
          <w:szCs w:val="24"/>
        </w:rPr>
        <w:t xml:space="preserve"> projekte nepateikiama naujų sąvokų ir sąvokas įvardijančių terminų, todėl projekta</w:t>
      </w:r>
      <w:r w:rsidR="001D508A" w:rsidRPr="00873B9E">
        <w:rPr>
          <w:rFonts w:ascii="Times New Roman" w:hAnsi="Times New Roman" w:cs="Times New Roman"/>
          <w:sz w:val="24"/>
          <w:szCs w:val="24"/>
        </w:rPr>
        <w:t>s</w:t>
      </w:r>
      <w:r w:rsidR="00432045" w:rsidRPr="00873B9E">
        <w:rPr>
          <w:rFonts w:ascii="Times New Roman" w:hAnsi="Times New Roman" w:cs="Times New Roman"/>
          <w:sz w:val="24"/>
          <w:szCs w:val="24"/>
        </w:rPr>
        <w:t xml:space="preserve"> nevertintin</w:t>
      </w:r>
      <w:r w:rsidR="001D508A" w:rsidRPr="00873B9E">
        <w:rPr>
          <w:rFonts w:ascii="Times New Roman" w:hAnsi="Times New Roman" w:cs="Times New Roman"/>
          <w:sz w:val="24"/>
          <w:szCs w:val="24"/>
        </w:rPr>
        <w:t>as</w:t>
      </w:r>
      <w:r w:rsidR="00432045" w:rsidRPr="00873B9E">
        <w:rPr>
          <w:rFonts w:ascii="Times New Roman" w:hAnsi="Times New Roman" w:cs="Times New Roman"/>
          <w:sz w:val="24"/>
          <w:szCs w:val="24"/>
        </w:rPr>
        <w:t xml:space="preserve"> Lietuvos Respublikos terminų banko įstatymo ir jo įgyvendinamųjų teisės aktų nustatyta tvarka.</w:t>
      </w:r>
    </w:p>
    <w:p w14:paraId="02EF6318" w14:textId="77777777" w:rsidR="00473070" w:rsidRPr="00873B9E" w:rsidRDefault="00473070" w:rsidP="005A2109">
      <w:pPr>
        <w:pStyle w:val="HTMLPreformatted"/>
        <w:ind w:firstLine="720"/>
        <w:jc w:val="both"/>
        <w:rPr>
          <w:rFonts w:ascii="Times New Roman" w:hAnsi="Times New Roman" w:cs="Times New Roman"/>
          <w:sz w:val="24"/>
          <w:szCs w:val="24"/>
        </w:rPr>
      </w:pPr>
    </w:p>
    <w:p w14:paraId="34B93C01" w14:textId="77777777" w:rsidR="00D30D08" w:rsidRPr="00873B9E" w:rsidRDefault="00473070" w:rsidP="005A2109">
      <w:pPr>
        <w:pStyle w:val="ListParagraph"/>
        <w:numPr>
          <w:ilvl w:val="0"/>
          <w:numId w:val="2"/>
        </w:numPr>
        <w:tabs>
          <w:tab w:val="clear" w:pos="502"/>
          <w:tab w:val="left" w:pos="0"/>
          <w:tab w:val="left" w:pos="993"/>
        </w:tabs>
        <w:ind w:left="0" w:firstLine="720"/>
        <w:jc w:val="both"/>
        <w:rPr>
          <w:b/>
        </w:rPr>
      </w:pPr>
      <w:r w:rsidRPr="00873B9E">
        <w:rPr>
          <w:b/>
        </w:rPr>
        <w:t>Įstatymo projekto</w:t>
      </w:r>
      <w:r w:rsidR="00D30D08" w:rsidRPr="00873B9E">
        <w:rPr>
          <w:b/>
        </w:rPr>
        <w:t xml:space="preserve"> atitiktis Žmogaus teisių ir pagrindinių laisvių apsaugos konvencijos nuostatoms ir Europos Sąjungos dokumentams</w:t>
      </w:r>
    </w:p>
    <w:p w14:paraId="413FB341" w14:textId="24C739AE" w:rsidR="00D30D08" w:rsidRPr="00873B9E" w:rsidRDefault="009C654B"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Įstatym</w:t>
      </w:r>
      <w:r w:rsidR="001D508A" w:rsidRPr="00873B9E">
        <w:rPr>
          <w:rFonts w:ascii="Times New Roman" w:hAnsi="Times New Roman" w:cs="Times New Roman"/>
          <w:sz w:val="24"/>
          <w:szCs w:val="24"/>
        </w:rPr>
        <w:t xml:space="preserve">o </w:t>
      </w:r>
      <w:r w:rsidR="00CF27A5" w:rsidRPr="00873B9E">
        <w:rPr>
          <w:rFonts w:ascii="Times New Roman" w:hAnsi="Times New Roman" w:cs="Times New Roman"/>
          <w:sz w:val="24"/>
          <w:szCs w:val="24"/>
        </w:rPr>
        <w:t>projekta</w:t>
      </w:r>
      <w:r w:rsidR="001D508A" w:rsidRPr="00873B9E">
        <w:rPr>
          <w:rFonts w:ascii="Times New Roman" w:hAnsi="Times New Roman" w:cs="Times New Roman"/>
          <w:sz w:val="24"/>
          <w:szCs w:val="24"/>
        </w:rPr>
        <w:t>s</w:t>
      </w:r>
      <w:r w:rsidR="00D30D08" w:rsidRPr="00873B9E">
        <w:rPr>
          <w:rFonts w:ascii="Times New Roman" w:hAnsi="Times New Roman" w:cs="Times New Roman"/>
          <w:sz w:val="24"/>
          <w:szCs w:val="24"/>
        </w:rPr>
        <w:t xml:space="preserve"> atitinka Žmogaus teisių ir pagrindinių laisvių apsaugos konvencijos nuostatas. </w:t>
      </w:r>
      <w:r w:rsidR="00DE0BB0" w:rsidRPr="00873B9E">
        <w:rPr>
          <w:rFonts w:ascii="Times New Roman" w:hAnsi="Times New Roman" w:cs="Times New Roman"/>
          <w:sz w:val="24"/>
          <w:szCs w:val="24"/>
        </w:rPr>
        <w:t>Įstatym</w:t>
      </w:r>
      <w:r w:rsidR="001D508A" w:rsidRPr="00873B9E">
        <w:rPr>
          <w:rFonts w:ascii="Times New Roman" w:hAnsi="Times New Roman" w:cs="Times New Roman"/>
          <w:sz w:val="24"/>
          <w:szCs w:val="24"/>
        </w:rPr>
        <w:t>o</w:t>
      </w:r>
      <w:r w:rsidR="00CF27A5" w:rsidRPr="00873B9E">
        <w:rPr>
          <w:rFonts w:ascii="Times New Roman" w:hAnsi="Times New Roman" w:cs="Times New Roman"/>
          <w:sz w:val="24"/>
          <w:szCs w:val="24"/>
        </w:rPr>
        <w:t xml:space="preserve"> projekt</w:t>
      </w:r>
      <w:r w:rsidR="001D508A" w:rsidRPr="00873B9E">
        <w:rPr>
          <w:rFonts w:ascii="Times New Roman" w:hAnsi="Times New Roman" w:cs="Times New Roman"/>
          <w:sz w:val="24"/>
          <w:szCs w:val="24"/>
        </w:rPr>
        <w:t xml:space="preserve">u </w:t>
      </w:r>
      <w:r w:rsidR="00C17F84" w:rsidRPr="00873B9E">
        <w:rPr>
          <w:rFonts w:ascii="Times New Roman" w:hAnsi="Times New Roman" w:cs="Times New Roman"/>
          <w:sz w:val="24"/>
          <w:szCs w:val="24"/>
        </w:rPr>
        <w:t>įgyvendinami</w:t>
      </w:r>
      <w:r w:rsidR="00DE0BB0" w:rsidRPr="00873B9E">
        <w:rPr>
          <w:rFonts w:ascii="Times New Roman" w:hAnsi="Times New Roman" w:cs="Times New Roman"/>
          <w:sz w:val="24"/>
          <w:szCs w:val="24"/>
        </w:rPr>
        <w:t xml:space="preserve"> </w:t>
      </w:r>
      <w:r w:rsidR="001D508A" w:rsidRPr="00873B9E">
        <w:rPr>
          <w:rFonts w:ascii="Times New Roman" w:hAnsi="Times New Roman" w:cs="Times New Roman"/>
          <w:sz w:val="24"/>
          <w:szCs w:val="24"/>
        </w:rPr>
        <w:t xml:space="preserve">šio aiškinamojo rašto 1 dalyje nurodyti </w:t>
      </w:r>
      <w:r w:rsidR="00C17F84" w:rsidRPr="00873B9E">
        <w:rPr>
          <w:rFonts w:ascii="Times New Roman" w:hAnsi="Times New Roman" w:cs="Times New Roman"/>
          <w:sz w:val="24"/>
          <w:szCs w:val="24"/>
        </w:rPr>
        <w:t>Europos Sąjungos teisės aktai</w:t>
      </w:r>
      <w:r w:rsidR="00DE0BB0" w:rsidRPr="00873B9E">
        <w:rPr>
          <w:rFonts w:ascii="Times New Roman" w:hAnsi="Times New Roman" w:cs="Times New Roman"/>
          <w:sz w:val="24"/>
          <w:szCs w:val="24"/>
        </w:rPr>
        <w:t>.</w:t>
      </w:r>
    </w:p>
    <w:p w14:paraId="43CC9AA2" w14:textId="77777777" w:rsidR="00D30D08" w:rsidRPr="00873B9E" w:rsidRDefault="00D30D08" w:rsidP="005A2109">
      <w:pPr>
        <w:pStyle w:val="HTMLPreformatted"/>
        <w:ind w:firstLine="720"/>
        <w:jc w:val="both"/>
        <w:rPr>
          <w:rFonts w:ascii="Times New Roman" w:hAnsi="Times New Roman" w:cs="Times New Roman"/>
          <w:sz w:val="24"/>
          <w:szCs w:val="24"/>
        </w:rPr>
      </w:pPr>
    </w:p>
    <w:p w14:paraId="1B550069" w14:textId="2AF0D386" w:rsidR="00D30D08" w:rsidRPr="00873B9E" w:rsidRDefault="00473070" w:rsidP="005A2109">
      <w:pPr>
        <w:pStyle w:val="ListParagraph"/>
        <w:numPr>
          <w:ilvl w:val="0"/>
          <w:numId w:val="2"/>
        </w:numPr>
        <w:tabs>
          <w:tab w:val="clear" w:pos="502"/>
          <w:tab w:val="left" w:pos="0"/>
          <w:tab w:val="left" w:pos="993"/>
        </w:tabs>
        <w:ind w:left="0" w:firstLine="720"/>
        <w:jc w:val="both"/>
        <w:rPr>
          <w:b/>
        </w:rPr>
      </w:pPr>
      <w:r w:rsidRPr="00873B9E">
        <w:rPr>
          <w:b/>
        </w:rPr>
        <w:t>Įstatymui</w:t>
      </w:r>
      <w:r w:rsidR="00D30D08" w:rsidRPr="00873B9E">
        <w:rPr>
          <w:b/>
        </w:rPr>
        <w:t xml:space="preserve"> įgyvendinti reikalingi įgyvendinamieji teisės aktai, šių aktų rengėjai ir parengimo terminai</w:t>
      </w:r>
    </w:p>
    <w:p w14:paraId="26FD8188" w14:textId="2AFF8177" w:rsidR="00BB1B76" w:rsidRDefault="008A47E4"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Įgyvendinant Įstatym</w:t>
      </w:r>
      <w:r w:rsidR="001D508A" w:rsidRPr="00873B9E">
        <w:rPr>
          <w:rFonts w:ascii="Times New Roman" w:hAnsi="Times New Roman" w:cs="Times New Roman"/>
          <w:sz w:val="24"/>
          <w:szCs w:val="24"/>
        </w:rPr>
        <w:t>o</w:t>
      </w:r>
      <w:r w:rsidRPr="00873B9E">
        <w:rPr>
          <w:rFonts w:ascii="Times New Roman" w:hAnsi="Times New Roman" w:cs="Times New Roman"/>
          <w:sz w:val="24"/>
          <w:szCs w:val="24"/>
        </w:rPr>
        <w:t xml:space="preserve"> projekt</w:t>
      </w:r>
      <w:r w:rsidR="006175AA">
        <w:rPr>
          <w:rFonts w:ascii="Times New Roman" w:hAnsi="Times New Roman" w:cs="Times New Roman"/>
          <w:sz w:val="24"/>
          <w:szCs w:val="24"/>
        </w:rPr>
        <w:t>u</w:t>
      </w:r>
      <w:r w:rsidR="00BB1B76" w:rsidRPr="00873B9E">
        <w:rPr>
          <w:rFonts w:ascii="Times New Roman" w:hAnsi="Times New Roman" w:cs="Times New Roman"/>
          <w:sz w:val="24"/>
          <w:szCs w:val="24"/>
        </w:rPr>
        <w:t xml:space="preserve"> siūlomas nuostatas, </w:t>
      </w:r>
      <w:r w:rsidR="00432045" w:rsidRPr="00873B9E">
        <w:rPr>
          <w:rFonts w:ascii="Times New Roman" w:hAnsi="Times New Roman" w:cs="Times New Roman"/>
          <w:sz w:val="24"/>
          <w:szCs w:val="24"/>
        </w:rPr>
        <w:t xml:space="preserve">reikės priimti </w:t>
      </w:r>
      <w:r w:rsidR="001D508A" w:rsidRPr="00873B9E">
        <w:rPr>
          <w:rFonts w:ascii="Times New Roman" w:hAnsi="Times New Roman" w:cs="Times New Roman"/>
          <w:sz w:val="24"/>
          <w:szCs w:val="24"/>
        </w:rPr>
        <w:t xml:space="preserve">šiuos </w:t>
      </w:r>
      <w:r w:rsidR="00432045" w:rsidRPr="00873B9E">
        <w:rPr>
          <w:rFonts w:ascii="Times New Roman" w:hAnsi="Times New Roman" w:cs="Times New Roman"/>
          <w:sz w:val="24"/>
          <w:szCs w:val="24"/>
        </w:rPr>
        <w:t>įstatym</w:t>
      </w:r>
      <w:r w:rsidR="001D508A" w:rsidRPr="00873B9E">
        <w:rPr>
          <w:rFonts w:ascii="Times New Roman" w:hAnsi="Times New Roman" w:cs="Times New Roman"/>
          <w:sz w:val="24"/>
          <w:szCs w:val="24"/>
        </w:rPr>
        <w:t>o</w:t>
      </w:r>
      <w:r w:rsidR="00432045" w:rsidRPr="00873B9E">
        <w:rPr>
          <w:rFonts w:ascii="Times New Roman" w:hAnsi="Times New Roman" w:cs="Times New Roman"/>
          <w:sz w:val="24"/>
          <w:szCs w:val="24"/>
        </w:rPr>
        <w:t xml:space="preserve"> įgyvendinam</w:t>
      </w:r>
      <w:r w:rsidR="001D508A" w:rsidRPr="00873B9E">
        <w:rPr>
          <w:rFonts w:ascii="Times New Roman" w:hAnsi="Times New Roman" w:cs="Times New Roman"/>
          <w:sz w:val="24"/>
          <w:szCs w:val="24"/>
        </w:rPr>
        <w:t>uosius</w:t>
      </w:r>
      <w:r w:rsidR="00432045" w:rsidRPr="00873B9E">
        <w:rPr>
          <w:rFonts w:ascii="Times New Roman" w:hAnsi="Times New Roman" w:cs="Times New Roman"/>
          <w:sz w:val="24"/>
          <w:szCs w:val="24"/>
        </w:rPr>
        <w:t xml:space="preserve"> teisės akt</w:t>
      </w:r>
      <w:r w:rsidR="001D508A" w:rsidRPr="00873B9E">
        <w:rPr>
          <w:rFonts w:ascii="Times New Roman" w:hAnsi="Times New Roman" w:cs="Times New Roman"/>
          <w:sz w:val="24"/>
          <w:szCs w:val="24"/>
        </w:rPr>
        <w:t>us:</w:t>
      </w:r>
    </w:p>
    <w:p w14:paraId="261F8AB0" w14:textId="349CF101" w:rsidR="004A7949" w:rsidRPr="00650DF0" w:rsidRDefault="004A7949" w:rsidP="004A7949">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1</w:t>
      </w:r>
      <w:r w:rsidRPr="00650DF0">
        <w:rPr>
          <w:rFonts w:ascii="Times New Roman" w:hAnsi="Times New Roman" w:cs="Times New Roman"/>
          <w:sz w:val="24"/>
          <w:szCs w:val="24"/>
        </w:rPr>
        <w:t xml:space="preserve">) iki 2022 m. </w:t>
      </w:r>
      <w:r>
        <w:rPr>
          <w:rFonts w:ascii="Times New Roman" w:hAnsi="Times New Roman" w:cs="Times New Roman"/>
          <w:sz w:val="24"/>
          <w:szCs w:val="24"/>
        </w:rPr>
        <w:t>birželio</w:t>
      </w:r>
      <w:r w:rsidRPr="00650DF0">
        <w:rPr>
          <w:rFonts w:ascii="Times New Roman" w:hAnsi="Times New Roman" w:cs="Times New Roman"/>
          <w:sz w:val="24"/>
          <w:szCs w:val="24"/>
        </w:rPr>
        <w:t xml:space="preserve"> </w:t>
      </w:r>
      <w:r>
        <w:rPr>
          <w:rFonts w:ascii="Times New Roman" w:hAnsi="Times New Roman" w:cs="Times New Roman"/>
          <w:sz w:val="24"/>
          <w:szCs w:val="24"/>
        </w:rPr>
        <w:t>30</w:t>
      </w:r>
      <w:r w:rsidRPr="00650DF0">
        <w:rPr>
          <w:rFonts w:ascii="Times New Roman" w:hAnsi="Times New Roman" w:cs="Times New Roman"/>
          <w:sz w:val="24"/>
          <w:szCs w:val="24"/>
        </w:rPr>
        <w:t xml:space="preserve"> d. Lietuvos Respublikos teisingumo ministras turės pakeisti 2016 m. sausio 20 d. įsakymą Nr. 1R-16</w:t>
      </w:r>
      <w:r>
        <w:rPr>
          <w:rFonts w:ascii="Times New Roman" w:hAnsi="Times New Roman" w:cs="Times New Roman"/>
          <w:sz w:val="24"/>
          <w:szCs w:val="24"/>
        </w:rPr>
        <w:t xml:space="preserve"> </w:t>
      </w:r>
      <w:r w:rsidRPr="00650DF0">
        <w:rPr>
          <w:rFonts w:ascii="Times New Roman" w:hAnsi="Times New Roman" w:cs="Times New Roman"/>
          <w:color w:val="000000"/>
          <w:sz w:val="24"/>
          <w:szCs w:val="24"/>
        </w:rPr>
        <w:t>„Dėl Teisminių ir neteisminių dokumentų civilinėse arba komercinėse bylose įteikimo apmokestinimo tvarkos aprašo patvirtinimo“</w:t>
      </w:r>
      <w:r>
        <w:rPr>
          <w:rFonts w:ascii="Times New Roman" w:hAnsi="Times New Roman" w:cs="Times New Roman"/>
          <w:color w:val="000000"/>
          <w:sz w:val="24"/>
          <w:szCs w:val="24"/>
        </w:rPr>
        <w:t>;</w:t>
      </w:r>
    </w:p>
    <w:p w14:paraId="4E7C9F7A" w14:textId="30EF7CA9" w:rsidR="001D508A" w:rsidRPr="00873B9E" w:rsidRDefault="004A7949" w:rsidP="004A7949">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2</w:t>
      </w:r>
      <w:r w:rsidR="00123DA0">
        <w:rPr>
          <w:rFonts w:ascii="Times New Roman" w:hAnsi="Times New Roman" w:cs="Times New Roman"/>
          <w:sz w:val="24"/>
          <w:szCs w:val="24"/>
        </w:rPr>
        <w:t>) iki 2022 m. liepos 31 d.</w:t>
      </w:r>
      <w:r w:rsidR="00CC67D0">
        <w:rPr>
          <w:rFonts w:ascii="Times New Roman" w:hAnsi="Times New Roman" w:cs="Times New Roman"/>
          <w:sz w:val="24"/>
          <w:szCs w:val="24"/>
        </w:rPr>
        <w:t xml:space="preserve"> </w:t>
      </w:r>
      <w:r w:rsidR="002D4A34" w:rsidRPr="002D4A34">
        <w:rPr>
          <w:rFonts w:ascii="Times New Roman" w:hAnsi="Times New Roman" w:cs="Times New Roman"/>
          <w:sz w:val="24"/>
          <w:szCs w:val="24"/>
        </w:rPr>
        <w:t>Valstybės vaiko teisių apsaugos ir įvaikinimo tarnyb</w:t>
      </w:r>
      <w:r w:rsidR="002D4A34">
        <w:rPr>
          <w:rFonts w:ascii="Times New Roman" w:hAnsi="Times New Roman" w:cs="Times New Roman"/>
          <w:sz w:val="24"/>
          <w:szCs w:val="24"/>
        </w:rPr>
        <w:t>os</w:t>
      </w:r>
      <w:r w:rsidR="002D4A34" w:rsidRPr="002D4A34">
        <w:rPr>
          <w:rFonts w:ascii="Times New Roman" w:hAnsi="Times New Roman" w:cs="Times New Roman"/>
          <w:sz w:val="24"/>
          <w:szCs w:val="24"/>
        </w:rPr>
        <w:t xml:space="preserve"> prie Socialinės apsaugos ir darbo ministerijos</w:t>
      </w:r>
      <w:r w:rsidR="002D4A34">
        <w:rPr>
          <w:rFonts w:ascii="Times New Roman" w:hAnsi="Times New Roman" w:cs="Times New Roman"/>
          <w:sz w:val="24"/>
          <w:szCs w:val="24"/>
        </w:rPr>
        <w:t xml:space="preserve"> direktorius </w:t>
      </w:r>
      <w:r w:rsidR="00CC67D0">
        <w:rPr>
          <w:rFonts w:ascii="Times New Roman" w:hAnsi="Times New Roman" w:cs="Times New Roman"/>
          <w:sz w:val="24"/>
          <w:szCs w:val="24"/>
        </w:rPr>
        <w:t>turės patvirtinti p</w:t>
      </w:r>
      <w:r w:rsidR="00CC67D0" w:rsidRPr="00CC67D0">
        <w:rPr>
          <w:rFonts w:ascii="Times New Roman" w:hAnsi="Times New Roman" w:cs="Times New Roman"/>
          <w:sz w:val="24"/>
          <w:szCs w:val="24"/>
        </w:rPr>
        <w:t>rašym</w:t>
      </w:r>
      <w:r w:rsidR="00CC67D0">
        <w:rPr>
          <w:rFonts w:ascii="Times New Roman" w:hAnsi="Times New Roman" w:cs="Times New Roman"/>
          <w:sz w:val="24"/>
          <w:szCs w:val="24"/>
        </w:rPr>
        <w:t>o</w:t>
      </w:r>
      <w:r w:rsidR="00CC67D0" w:rsidRPr="00CC67D0">
        <w:rPr>
          <w:rFonts w:ascii="Times New Roman" w:hAnsi="Times New Roman" w:cs="Times New Roman"/>
          <w:sz w:val="24"/>
          <w:szCs w:val="24"/>
        </w:rPr>
        <w:t xml:space="preserve"> dėl Reglamento (ES) 2019/1111 82 straipsnio 1 dalyje nurodyto sutikimo įkurdinti vaiką</w:t>
      </w:r>
      <w:r w:rsidR="00CC67D0">
        <w:rPr>
          <w:rFonts w:ascii="Times New Roman" w:hAnsi="Times New Roman" w:cs="Times New Roman"/>
          <w:sz w:val="24"/>
          <w:szCs w:val="24"/>
        </w:rPr>
        <w:t xml:space="preserve"> </w:t>
      </w:r>
      <w:r w:rsidR="00CC67D0" w:rsidRPr="00CC67D0">
        <w:rPr>
          <w:rFonts w:ascii="Times New Roman" w:hAnsi="Times New Roman" w:cs="Times New Roman"/>
          <w:sz w:val="24"/>
          <w:szCs w:val="24"/>
        </w:rPr>
        <w:t>padavimo ir nagrinėjimo tvarką</w:t>
      </w:r>
      <w:r>
        <w:rPr>
          <w:rFonts w:ascii="Times New Roman" w:hAnsi="Times New Roman" w:cs="Times New Roman"/>
          <w:sz w:val="24"/>
          <w:szCs w:val="24"/>
        </w:rPr>
        <w:t>.</w:t>
      </w:r>
    </w:p>
    <w:p w14:paraId="665EF986" w14:textId="77777777" w:rsidR="009051AE" w:rsidRPr="00873B9E" w:rsidRDefault="00D30D08" w:rsidP="005A2109">
      <w:pPr>
        <w:tabs>
          <w:tab w:val="left" w:pos="709"/>
          <w:tab w:val="left" w:pos="1080"/>
        </w:tabs>
        <w:ind w:firstLine="720"/>
        <w:jc w:val="both"/>
        <w:rPr>
          <w:b/>
        </w:rPr>
      </w:pPr>
      <w:r w:rsidRPr="00873B9E">
        <w:tab/>
      </w:r>
    </w:p>
    <w:p w14:paraId="64976F95" w14:textId="2D53631E" w:rsidR="00BB1B76" w:rsidRPr="00873B9E" w:rsidRDefault="00D30D08" w:rsidP="005A2109">
      <w:pPr>
        <w:pStyle w:val="ListParagraph"/>
        <w:numPr>
          <w:ilvl w:val="0"/>
          <w:numId w:val="2"/>
        </w:numPr>
        <w:tabs>
          <w:tab w:val="clear" w:pos="502"/>
          <w:tab w:val="left" w:pos="0"/>
          <w:tab w:val="left" w:pos="993"/>
        </w:tabs>
        <w:ind w:left="0" w:firstLine="720"/>
        <w:jc w:val="both"/>
        <w:rPr>
          <w:b/>
        </w:rPr>
      </w:pPr>
      <w:r w:rsidRPr="00873B9E">
        <w:rPr>
          <w:b/>
        </w:rPr>
        <w:t>Valstybės, savivaldybių biudžetų ir kitų valstybės įsteigtų fondų lėšos, kurių prireiks įstatymui įgyvendinti, ar bus galima sutaupyti (pateikiami prognozuojami rodikliai einamaisiais ir artimia</w:t>
      </w:r>
      <w:r w:rsidR="00BB1B76" w:rsidRPr="00873B9E">
        <w:rPr>
          <w:b/>
        </w:rPr>
        <w:t>usiais 3 biudžetiniais metais).</w:t>
      </w:r>
    </w:p>
    <w:p w14:paraId="20A0822B" w14:textId="3B4CAE87" w:rsidR="007D42B7" w:rsidRPr="00873B9E" w:rsidRDefault="008A47E4"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Numatoma, kad Įstatym</w:t>
      </w:r>
      <w:r w:rsidR="001D508A" w:rsidRPr="00873B9E">
        <w:rPr>
          <w:rFonts w:ascii="Times New Roman" w:hAnsi="Times New Roman" w:cs="Times New Roman"/>
          <w:sz w:val="24"/>
          <w:szCs w:val="24"/>
        </w:rPr>
        <w:t>o</w:t>
      </w:r>
      <w:r w:rsidRPr="00873B9E">
        <w:rPr>
          <w:rFonts w:ascii="Times New Roman" w:hAnsi="Times New Roman" w:cs="Times New Roman"/>
          <w:sz w:val="24"/>
          <w:szCs w:val="24"/>
        </w:rPr>
        <w:t xml:space="preserve"> projekt</w:t>
      </w:r>
      <w:r w:rsidR="006175AA">
        <w:rPr>
          <w:rFonts w:ascii="Times New Roman" w:hAnsi="Times New Roman" w:cs="Times New Roman"/>
          <w:sz w:val="24"/>
          <w:szCs w:val="24"/>
        </w:rPr>
        <w:t>u</w:t>
      </w:r>
      <w:r w:rsidR="004733B6" w:rsidRPr="00873B9E">
        <w:rPr>
          <w:rFonts w:ascii="Times New Roman" w:hAnsi="Times New Roman" w:cs="Times New Roman"/>
          <w:sz w:val="24"/>
          <w:szCs w:val="24"/>
        </w:rPr>
        <w:t xml:space="preserve"> siūlomų nuostatų įgyvendinimas nepareikalaus papildomų valstybės biudžeto lėšų.</w:t>
      </w:r>
    </w:p>
    <w:p w14:paraId="48AE79B2" w14:textId="77777777" w:rsidR="00D30D08" w:rsidRPr="00873B9E" w:rsidRDefault="0000426E" w:rsidP="005A2109">
      <w:pPr>
        <w:tabs>
          <w:tab w:val="left" w:pos="709"/>
          <w:tab w:val="left" w:pos="1080"/>
        </w:tabs>
        <w:ind w:firstLine="720"/>
        <w:jc w:val="both"/>
      </w:pPr>
      <w:r w:rsidRPr="00873B9E">
        <w:tab/>
      </w:r>
      <w:r w:rsidR="00473070" w:rsidRPr="00873B9E">
        <w:t xml:space="preserve">            </w:t>
      </w:r>
    </w:p>
    <w:p w14:paraId="687F85D7" w14:textId="1C695909" w:rsidR="00D30D08" w:rsidRPr="00873B9E" w:rsidRDefault="00473070" w:rsidP="005A2109">
      <w:pPr>
        <w:pStyle w:val="ListParagraph"/>
        <w:numPr>
          <w:ilvl w:val="0"/>
          <w:numId w:val="2"/>
        </w:numPr>
        <w:tabs>
          <w:tab w:val="clear" w:pos="502"/>
          <w:tab w:val="left" w:pos="0"/>
          <w:tab w:val="left" w:pos="993"/>
        </w:tabs>
        <w:ind w:left="0" w:firstLine="720"/>
        <w:jc w:val="both"/>
        <w:rPr>
          <w:b/>
        </w:rPr>
      </w:pPr>
      <w:r w:rsidRPr="00873B9E">
        <w:rPr>
          <w:b/>
        </w:rPr>
        <w:t>Įstatymo projekto</w:t>
      </w:r>
      <w:r w:rsidR="00D30D08" w:rsidRPr="00873B9E">
        <w:rPr>
          <w:b/>
        </w:rPr>
        <w:t xml:space="preserve"> rengimo metu gauti specialistų vertinimai ir išvados</w:t>
      </w:r>
    </w:p>
    <w:p w14:paraId="7F3E83AF" w14:textId="6233940F" w:rsidR="0013460F" w:rsidRPr="00873B9E" w:rsidRDefault="001D508A"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Negauta.</w:t>
      </w:r>
    </w:p>
    <w:p w14:paraId="1C4ED713" w14:textId="77777777" w:rsidR="00D30D08" w:rsidRPr="00873B9E" w:rsidRDefault="00D30D08" w:rsidP="005A2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179DA92E" w14:textId="76EE8657" w:rsidR="00D30D08" w:rsidRPr="00873B9E" w:rsidRDefault="00D30D08" w:rsidP="005A2109">
      <w:pPr>
        <w:pStyle w:val="ListParagraph"/>
        <w:numPr>
          <w:ilvl w:val="0"/>
          <w:numId w:val="2"/>
        </w:numPr>
        <w:tabs>
          <w:tab w:val="clear" w:pos="502"/>
          <w:tab w:val="left" w:pos="0"/>
          <w:tab w:val="left" w:pos="993"/>
        </w:tabs>
        <w:ind w:left="0" w:firstLine="720"/>
        <w:jc w:val="both"/>
        <w:rPr>
          <w:b/>
        </w:rPr>
      </w:pPr>
      <w:r w:rsidRPr="00873B9E">
        <w:rPr>
          <w:b/>
        </w:rPr>
        <w:t>Reikšminiai žodžiai, kurių reikia šiam projektui įtraukti į kompiuterinę paieškos sistemą, įskaitant Europos žodyno „</w:t>
      </w:r>
      <w:proofErr w:type="spellStart"/>
      <w:r w:rsidRPr="00873B9E">
        <w:rPr>
          <w:b/>
        </w:rPr>
        <w:t>Eurovoc</w:t>
      </w:r>
      <w:proofErr w:type="spellEnd"/>
      <w:r w:rsidRPr="00873B9E">
        <w:rPr>
          <w:b/>
        </w:rPr>
        <w:t>“ terminus, temas bei sritis</w:t>
      </w:r>
    </w:p>
    <w:p w14:paraId="65D573F2" w14:textId="77777777" w:rsidR="004A7949" w:rsidRPr="004A7949" w:rsidRDefault="004A7949" w:rsidP="004A794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 xml:space="preserve">Sprendimo pripažinimas ir vykdymas, </w:t>
      </w:r>
      <w:r>
        <w:rPr>
          <w:rFonts w:ascii="Times New Roman" w:hAnsi="Times New Roman" w:cs="Times New Roman"/>
          <w:sz w:val="24"/>
          <w:szCs w:val="24"/>
        </w:rPr>
        <w:t xml:space="preserve">dokumentų įteikimas, įrodymų rinkimas, </w:t>
      </w:r>
      <w:r w:rsidRPr="00873B9E">
        <w:rPr>
          <w:rFonts w:ascii="Times New Roman" w:hAnsi="Times New Roman" w:cs="Times New Roman"/>
          <w:sz w:val="24"/>
          <w:szCs w:val="24"/>
        </w:rPr>
        <w:t>centrinė institucija</w:t>
      </w:r>
      <w:r>
        <w:rPr>
          <w:rFonts w:ascii="Times New Roman" w:hAnsi="Times New Roman" w:cs="Times New Roman"/>
          <w:sz w:val="24"/>
          <w:szCs w:val="24"/>
        </w:rPr>
        <w:t xml:space="preserve">, centrinė įstaiga, </w:t>
      </w:r>
      <w:r w:rsidRPr="004A7949">
        <w:rPr>
          <w:rFonts w:ascii="Times New Roman" w:hAnsi="Times New Roman" w:cs="Times New Roman"/>
          <w:sz w:val="24"/>
          <w:szCs w:val="24"/>
        </w:rPr>
        <w:t>priimančios įstaigos, perduodančios įstaigos.</w:t>
      </w:r>
    </w:p>
    <w:p w14:paraId="62288268" w14:textId="77777777" w:rsidR="00D30D08" w:rsidRPr="00873B9E" w:rsidRDefault="00D30D08" w:rsidP="005A2109">
      <w:pPr>
        <w:pStyle w:val="HTMLPreformatted"/>
        <w:ind w:firstLine="720"/>
        <w:jc w:val="both"/>
        <w:rPr>
          <w:rFonts w:ascii="Times New Roman" w:hAnsi="Times New Roman" w:cs="Times New Roman"/>
          <w:sz w:val="24"/>
          <w:szCs w:val="24"/>
        </w:rPr>
      </w:pPr>
    </w:p>
    <w:p w14:paraId="471FCD5C" w14:textId="3231B2D2" w:rsidR="00D30D08" w:rsidRPr="00873B9E" w:rsidRDefault="00D30D08" w:rsidP="005A2109">
      <w:pPr>
        <w:pStyle w:val="ListParagraph"/>
        <w:numPr>
          <w:ilvl w:val="0"/>
          <w:numId w:val="2"/>
        </w:numPr>
        <w:tabs>
          <w:tab w:val="clear" w:pos="502"/>
          <w:tab w:val="left" w:pos="0"/>
          <w:tab w:val="left" w:pos="993"/>
        </w:tabs>
        <w:ind w:left="0" w:firstLine="720"/>
        <w:jc w:val="both"/>
        <w:rPr>
          <w:b/>
        </w:rPr>
      </w:pPr>
      <w:r w:rsidRPr="00873B9E">
        <w:rPr>
          <w:b/>
        </w:rPr>
        <w:t>Kiti, iniciatorių nuomone, reikalingi pagrindimai ir paaiškinimai</w:t>
      </w:r>
    </w:p>
    <w:p w14:paraId="2A162CBF" w14:textId="77777777" w:rsidR="00F46E02" w:rsidRPr="00873B9E" w:rsidRDefault="00D30D08" w:rsidP="005A2109">
      <w:pPr>
        <w:pStyle w:val="HTMLPreformatted"/>
        <w:ind w:firstLine="720"/>
        <w:jc w:val="both"/>
        <w:rPr>
          <w:rFonts w:ascii="Times New Roman" w:hAnsi="Times New Roman" w:cs="Times New Roman"/>
          <w:sz w:val="24"/>
          <w:szCs w:val="24"/>
        </w:rPr>
      </w:pPr>
      <w:r w:rsidRPr="00873B9E">
        <w:rPr>
          <w:rFonts w:ascii="Times New Roman" w:hAnsi="Times New Roman" w:cs="Times New Roman"/>
          <w:sz w:val="24"/>
          <w:szCs w:val="24"/>
        </w:rPr>
        <w:t>Nėra.</w:t>
      </w:r>
    </w:p>
    <w:sectPr w:rsidR="00F46E02" w:rsidRPr="00873B9E" w:rsidSect="00D30D0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19DF" w14:textId="77777777" w:rsidR="00066B9B" w:rsidRDefault="00066B9B">
      <w:r>
        <w:separator/>
      </w:r>
    </w:p>
  </w:endnote>
  <w:endnote w:type="continuationSeparator" w:id="0">
    <w:p w14:paraId="33310DFD" w14:textId="77777777" w:rsidR="00066B9B" w:rsidRDefault="0006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B403" w14:textId="77777777" w:rsidR="00066B9B" w:rsidRDefault="00066B9B">
      <w:r>
        <w:separator/>
      </w:r>
    </w:p>
  </w:footnote>
  <w:footnote w:type="continuationSeparator" w:id="0">
    <w:p w14:paraId="0945F2F9" w14:textId="77777777" w:rsidR="00066B9B" w:rsidRDefault="0006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5057"/>
      <w:docPartObj>
        <w:docPartGallery w:val="Page Numbers (Top of Page)"/>
        <w:docPartUnique/>
      </w:docPartObj>
    </w:sdtPr>
    <w:sdtEndPr/>
    <w:sdtContent>
      <w:p w14:paraId="026FDE3F" w14:textId="77777777" w:rsidR="000420C8" w:rsidRDefault="00F154C2">
        <w:pPr>
          <w:pStyle w:val="Header"/>
          <w:jc w:val="center"/>
        </w:pPr>
        <w:r>
          <w:fldChar w:fldCharType="begin"/>
        </w:r>
        <w:r w:rsidR="00D30D08">
          <w:instrText xml:space="preserve"> PAGE   \* MERGEFORMAT </w:instrText>
        </w:r>
        <w:r>
          <w:fldChar w:fldCharType="separate"/>
        </w:r>
        <w:r w:rsidR="00355B65">
          <w:rPr>
            <w:noProof/>
          </w:rPr>
          <w:t>2</w:t>
        </w:r>
        <w:r>
          <w:rPr>
            <w:noProof/>
          </w:rPr>
          <w:fldChar w:fldCharType="end"/>
        </w:r>
      </w:p>
    </w:sdtContent>
  </w:sdt>
  <w:p w14:paraId="18ADC6C5" w14:textId="77777777" w:rsidR="000420C8" w:rsidRDefault="00066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A673A30"/>
    <w:multiLevelType w:val="hybridMultilevel"/>
    <w:tmpl w:val="AA6098FC"/>
    <w:lvl w:ilvl="0" w:tplc="4F8AB7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624FD5"/>
    <w:multiLevelType w:val="hybridMultilevel"/>
    <w:tmpl w:val="A3789E86"/>
    <w:lvl w:ilvl="0" w:tplc="FE3004E6">
      <w:start w:val="1"/>
      <w:numFmt w:val="bullet"/>
      <w:lvlText w:val="•"/>
      <w:lvlJc w:val="left"/>
      <w:pPr>
        <w:tabs>
          <w:tab w:val="num" w:pos="720"/>
        </w:tabs>
        <w:ind w:left="720" w:hanging="360"/>
      </w:pPr>
      <w:rPr>
        <w:rFonts w:ascii="Arial" w:hAnsi="Arial" w:hint="default"/>
      </w:rPr>
    </w:lvl>
    <w:lvl w:ilvl="1" w:tplc="6D4C7C24" w:tentative="1">
      <w:start w:val="1"/>
      <w:numFmt w:val="bullet"/>
      <w:lvlText w:val="•"/>
      <w:lvlJc w:val="left"/>
      <w:pPr>
        <w:tabs>
          <w:tab w:val="num" w:pos="1440"/>
        </w:tabs>
        <w:ind w:left="1440" w:hanging="360"/>
      </w:pPr>
      <w:rPr>
        <w:rFonts w:ascii="Arial" w:hAnsi="Arial" w:hint="default"/>
      </w:rPr>
    </w:lvl>
    <w:lvl w:ilvl="2" w:tplc="EA402A90" w:tentative="1">
      <w:start w:val="1"/>
      <w:numFmt w:val="bullet"/>
      <w:lvlText w:val="•"/>
      <w:lvlJc w:val="left"/>
      <w:pPr>
        <w:tabs>
          <w:tab w:val="num" w:pos="2160"/>
        </w:tabs>
        <w:ind w:left="2160" w:hanging="360"/>
      </w:pPr>
      <w:rPr>
        <w:rFonts w:ascii="Arial" w:hAnsi="Arial" w:hint="default"/>
      </w:rPr>
    </w:lvl>
    <w:lvl w:ilvl="3" w:tplc="20D61A5A" w:tentative="1">
      <w:start w:val="1"/>
      <w:numFmt w:val="bullet"/>
      <w:lvlText w:val="•"/>
      <w:lvlJc w:val="left"/>
      <w:pPr>
        <w:tabs>
          <w:tab w:val="num" w:pos="2880"/>
        </w:tabs>
        <w:ind w:left="2880" w:hanging="360"/>
      </w:pPr>
      <w:rPr>
        <w:rFonts w:ascii="Arial" w:hAnsi="Arial" w:hint="default"/>
      </w:rPr>
    </w:lvl>
    <w:lvl w:ilvl="4" w:tplc="5C6858A6" w:tentative="1">
      <w:start w:val="1"/>
      <w:numFmt w:val="bullet"/>
      <w:lvlText w:val="•"/>
      <w:lvlJc w:val="left"/>
      <w:pPr>
        <w:tabs>
          <w:tab w:val="num" w:pos="3600"/>
        </w:tabs>
        <w:ind w:left="3600" w:hanging="360"/>
      </w:pPr>
      <w:rPr>
        <w:rFonts w:ascii="Arial" w:hAnsi="Arial" w:hint="default"/>
      </w:rPr>
    </w:lvl>
    <w:lvl w:ilvl="5" w:tplc="5A70D38C" w:tentative="1">
      <w:start w:val="1"/>
      <w:numFmt w:val="bullet"/>
      <w:lvlText w:val="•"/>
      <w:lvlJc w:val="left"/>
      <w:pPr>
        <w:tabs>
          <w:tab w:val="num" w:pos="4320"/>
        </w:tabs>
        <w:ind w:left="4320" w:hanging="360"/>
      </w:pPr>
      <w:rPr>
        <w:rFonts w:ascii="Arial" w:hAnsi="Arial" w:hint="default"/>
      </w:rPr>
    </w:lvl>
    <w:lvl w:ilvl="6" w:tplc="206C1132" w:tentative="1">
      <w:start w:val="1"/>
      <w:numFmt w:val="bullet"/>
      <w:lvlText w:val="•"/>
      <w:lvlJc w:val="left"/>
      <w:pPr>
        <w:tabs>
          <w:tab w:val="num" w:pos="5040"/>
        </w:tabs>
        <w:ind w:left="5040" w:hanging="360"/>
      </w:pPr>
      <w:rPr>
        <w:rFonts w:ascii="Arial" w:hAnsi="Arial" w:hint="default"/>
      </w:rPr>
    </w:lvl>
    <w:lvl w:ilvl="7" w:tplc="2D2C5E46" w:tentative="1">
      <w:start w:val="1"/>
      <w:numFmt w:val="bullet"/>
      <w:lvlText w:val="•"/>
      <w:lvlJc w:val="left"/>
      <w:pPr>
        <w:tabs>
          <w:tab w:val="num" w:pos="5760"/>
        </w:tabs>
        <w:ind w:left="5760" w:hanging="360"/>
      </w:pPr>
      <w:rPr>
        <w:rFonts w:ascii="Arial" w:hAnsi="Arial" w:hint="default"/>
      </w:rPr>
    </w:lvl>
    <w:lvl w:ilvl="8" w:tplc="07A0F6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5"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1AC29C8"/>
    <w:multiLevelType w:val="hybridMultilevel"/>
    <w:tmpl w:val="56067986"/>
    <w:lvl w:ilvl="0" w:tplc="69625B00">
      <w:start w:val="1"/>
      <w:numFmt w:val="bullet"/>
      <w:lvlText w:val="•"/>
      <w:lvlJc w:val="left"/>
      <w:pPr>
        <w:tabs>
          <w:tab w:val="num" w:pos="720"/>
        </w:tabs>
        <w:ind w:left="720" w:hanging="360"/>
      </w:pPr>
      <w:rPr>
        <w:rFonts w:ascii="Arial" w:hAnsi="Arial" w:hint="default"/>
      </w:rPr>
    </w:lvl>
    <w:lvl w:ilvl="1" w:tplc="758ABB06" w:tentative="1">
      <w:start w:val="1"/>
      <w:numFmt w:val="bullet"/>
      <w:lvlText w:val="•"/>
      <w:lvlJc w:val="left"/>
      <w:pPr>
        <w:tabs>
          <w:tab w:val="num" w:pos="1440"/>
        </w:tabs>
        <w:ind w:left="1440" w:hanging="360"/>
      </w:pPr>
      <w:rPr>
        <w:rFonts w:ascii="Arial" w:hAnsi="Arial" w:hint="default"/>
      </w:rPr>
    </w:lvl>
    <w:lvl w:ilvl="2" w:tplc="58EA7F4E" w:tentative="1">
      <w:start w:val="1"/>
      <w:numFmt w:val="bullet"/>
      <w:lvlText w:val="•"/>
      <w:lvlJc w:val="left"/>
      <w:pPr>
        <w:tabs>
          <w:tab w:val="num" w:pos="2160"/>
        </w:tabs>
        <w:ind w:left="2160" w:hanging="360"/>
      </w:pPr>
      <w:rPr>
        <w:rFonts w:ascii="Arial" w:hAnsi="Arial" w:hint="default"/>
      </w:rPr>
    </w:lvl>
    <w:lvl w:ilvl="3" w:tplc="65BEA5C4" w:tentative="1">
      <w:start w:val="1"/>
      <w:numFmt w:val="bullet"/>
      <w:lvlText w:val="•"/>
      <w:lvlJc w:val="left"/>
      <w:pPr>
        <w:tabs>
          <w:tab w:val="num" w:pos="2880"/>
        </w:tabs>
        <w:ind w:left="2880" w:hanging="360"/>
      </w:pPr>
      <w:rPr>
        <w:rFonts w:ascii="Arial" w:hAnsi="Arial" w:hint="default"/>
      </w:rPr>
    </w:lvl>
    <w:lvl w:ilvl="4" w:tplc="F296FCC2" w:tentative="1">
      <w:start w:val="1"/>
      <w:numFmt w:val="bullet"/>
      <w:lvlText w:val="•"/>
      <w:lvlJc w:val="left"/>
      <w:pPr>
        <w:tabs>
          <w:tab w:val="num" w:pos="3600"/>
        </w:tabs>
        <w:ind w:left="3600" w:hanging="360"/>
      </w:pPr>
      <w:rPr>
        <w:rFonts w:ascii="Arial" w:hAnsi="Arial" w:hint="default"/>
      </w:rPr>
    </w:lvl>
    <w:lvl w:ilvl="5" w:tplc="633A0FDC" w:tentative="1">
      <w:start w:val="1"/>
      <w:numFmt w:val="bullet"/>
      <w:lvlText w:val="•"/>
      <w:lvlJc w:val="left"/>
      <w:pPr>
        <w:tabs>
          <w:tab w:val="num" w:pos="4320"/>
        </w:tabs>
        <w:ind w:left="4320" w:hanging="360"/>
      </w:pPr>
      <w:rPr>
        <w:rFonts w:ascii="Arial" w:hAnsi="Arial" w:hint="default"/>
      </w:rPr>
    </w:lvl>
    <w:lvl w:ilvl="6" w:tplc="F154CADA" w:tentative="1">
      <w:start w:val="1"/>
      <w:numFmt w:val="bullet"/>
      <w:lvlText w:val="•"/>
      <w:lvlJc w:val="left"/>
      <w:pPr>
        <w:tabs>
          <w:tab w:val="num" w:pos="5040"/>
        </w:tabs>
        <w:ind w:left="5040" w:hanging="360"/>
      </w:pPr>
      <w:rPr>
        <w:rFonts w:ascii="Arial" w:hAnsi="Arial" w:hint="default"/>
      </w:rPr>
    </w:lvl>
    <w:lvl w:ilvl="7" w:tplc="9E2EB9C6" w:tentative="1">
      <w:start w:val="1"/>
      <w:numFmt w:val="bullet"/>
      <w:lvlText w:val="•"/>
      <w:lvlJc w:val="left"/>
      <w:pPr>
        <w:tabs>
          <w:tab w:val="num" w:pos="5760"/>
        </w:tabs>
        <w:ind w:left="5760" w:hanging="360"/>
      </w:pPr>
      <w:rPr>
        <w:rFonts w:ascii="Arial" w:hAnsi="Arial" w:hint="default"/>
      </w:rPr>
    </w:lvl>
    <w:lvl w:ilvl="8" w:tplc="69B859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B03983"/>
    <w:multiLevelType w:val="hybridMultilevel"/>
    <w:tmpl w:val="17AED512"/>
    <w:lvl w:ilvl="0" w:tplc="ADBCA05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AC41579"/>
    <w:multiLevelType w:val="hybridMultilevel"/>
    <w:tmpl w:val="CCD23658"/>
    <w:lvl w:ilvl="0" w:tplc="2FAE7F1A">
      <w:start w:val="1"/>
      <w:numFmt w:val="bullet"/>
      <w:lvlText w:val="•"/>
      <w:lvlJc w:val="left"/>
      <w:pPr>
        <w:tabs>
          <w:tab w:val="num" w:pos="720"/>
        </w:tabs>
        <w:ind w:left="720" w:hanging="360"/>
      </w:pPr>
      <w:rPr>
        <w:rFonts w:ascii="Arial" w:hAnsi="Arial" w:hint="default"/>
      </w:rPr>
    </w:lvl>
    <w:lvl w:ilvl="1" w:tplc="90F6C568" w:tentative="1">
      <w:start w:val="1"/>
      <w:numFmt w:val="bullet"/>
      <w:lvlText w:val="•"/>
      <w:lvlJc w:val="left"/>
      <w:pPr>
        <w:tabs>
          <w:tab w:val="num" w:pos="1440"/>
        </w:tabs>
        <w:ind w:left="1440" w:hanging="360"/>
      </w:pPr>
      <w:rPr>
        <w:rFonts w:ascii="Arial" w:hAnsi="Arial" w:hint="default"/>
      </w:rPr>
    </w:lvl>
    <w:lvl w:ilvl="2" w:tplc="C722FAE8" w:tentative="1">
      <w:start w:val="1"/>
      <w:numFmt w:val="bullet"/>
      <w:lvlText w:val="•"/>
      <w:lvlJc w:val="left"/>
      <w:pPr>
        <w:tabs>
          <w:tab w:val="num" w:pos="2160"/>
        </w:tabs>
        <w:ind w:left="2160" w:hanging="360"/>
      </w:pPr>
      <w:rPr>
        <w:rFonts w:ascii="Arial" w:hAnsi="Arial" w:hint="default"/>
      </w:rPr>
    </w:lvl>
    <w:lvl w:ilvl="3" w:tplc="236659D0" w:tentative="1">
      <w:start w:val="1"/>
      <w:numFmt w:val="bullet"/>
      <w:lvlText w:val="•"/>
      <w:lvlJc w:val="left"/>
      <w:pPr>
        <w:tabs>
          <w:tab w:val="num" w:pos="2880"/>
        </w:tabs>
        <w:ind w:left="2880" w:hanging="360"/>
      </w:pPr>
      <w:rPr>
        <w:rFonts w:ascii="Arial" w:hAnsi="Arial" w:hint="default"/>
      </w:rPr>
    </w:lvl>
    <w:lvl w:ilvl="4" w:tplc="EA740DB6" w:tentative="1">
      <w:start w:val="1"/>
      <w:numFmt w:val="bullet"/>
      <w:lvlText w:val="•"/>
      <w:lvlJc w:val="left"/>
      <w:pPr>
        <w:tabs>
          <w:tab w:val="num" w:pos="3600"/>
        </w:tabs>
        <w:ind w:left="3600" w:hanging="360"/>
      </w:pPr>
      <w:rPr>
        <w:rFonts w:ascii="Arial" w:hAnsi="Arial" w:hint="default"/>
      </w:rPr>
    </w:lvl>
    <w:lvl w:ilvl="5" w:tplc="5CE8A0A6" w:tentative="1">
      <w:start w:val="1"/>
      <w:numFmt w:val="bullet"/>
      <w:lvlText w:val="•"/>
      <w:lvlJc w:val="left"/>
      <w:pPr>
        <w:tabs>
          <w:tab w:val="num" w:pos="4320"/>
        </w:tabs>
        <w:ind w:left="4320" w:hanging="360"/>
      </w:pPr>
      <w:rPr>
        <w:rFonts w:ascii="Arial" w:hAnsi="Arial" w:hint="default"/>
      </w:rPr>
    </w:lvl>
    <w:lvl w:ilvl="6" w:tplc="82CE8C02" w:tentative="1">
      <w:start w:val="1"/>
      <w:numFmt w:val="bullet"/>
      <w:lvlText w:val="•"/>
      <w:lvlJc w:val="left"/>
      <w:pPr>
        <w:tabs>
          <w:tab w:val="num" w:pos="5040"/>
        </w:tabs>
        <w:ind w:left="5040" w:hanging="360"/>
      </w:pPr>
      <w:rPr>
        <w:rFonts w:ascii="Arial" w:hAnsi="Arial" w:hint="default"/>
      </w:rPr>
    </w:lvl>
    <w:lvl w:ilvl="7" w:tplc="BD3E9D58" w:tentative="1">
      <w:start w:val="1"/>
      <w:numFmt w:val="bullet"/>
      <w:lvlText w:val="•"/>
      <w:lvlJc w:val="left"/>
      <w:pPr>
        <w:tabs>
          <w:tab w:val="num" w:pos="5760"/>
        </w:tabs>
        <w:ind w:left="5760" w:hanging="360"/>
      </w:pPr>
      <w:rPr>
        <w:rFonts w:ascii="Arial" w:hAnsi="Arial" w:hint="default"/>
      </w:rPr>
    </w:lvl>
    <w:lvl w:ilvl="8" w:tplc="EA4AB0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A50203"/>
    <w:multiLevelType w:val="hybridMultilevel"/>
    <w:tmpl w:val="C8085A56"/>
    <w:lvl w:ilvl="0" w:tplc="0F4AF826">
      <w:start w:val="1"/>
      <w:numFmt w:val="bullet"/>
      <w:lvlText w:val="•"/>
      <w:lvlJc w:val="left"/>
      <w:pPr>
        <w:tabs>
          <w:tab w:val="num" w:pos="720"/>
        </w:tabs>
        <w:ind w:left="720" w:hanging="360"/>
      </w:pPr>
      <w:rPr>
        <w:rFonts w:ascii="Arial" w:hAnsi="Arial" w:hint="default"/>
      </w:rPr>
    </w:lvl>
    <w:lvl w:ilvl="1" w:tplc="68DC2B74" w:tentative="1">
      <w:start w:val="1"/>
      <w:numFmt w:val="bullet"/>
      <w:lvlText w:val="•"/>
      <w:lvlJc w:val="left"/>
      <w:pPr>
        <w:tabs>
          <w:tab w:val="num" w:pos="1440"/>
        </w:tabs>
        <w:ind w:left="1440" w:hanging="360"/>
      </w:pPr>
      <w:rPr>
        <w:rFonts w:ascii="Arial" w:hAnsi="Arial" w:hint="default"/>
      </w:rPr>
    </w:lvl>
    <w:lvl w:ilvl="2" w:tplc="8EB403E4" w:tentative="1">
      <w:start w:val="1"/>
      <w:numFmt w:val="bullet"/>
      <w:lvlText w:val="•"/>
      <w:lvlJc w:val="left"/>
      <w:pPr>
        <w:tabs>
          <w:tab w:val="num" w:pos="2160"/>
        </w:tabs>
        <w:ind w:left="2160" w:hanging="360"/>
      </w:pPr>
      <w:rPr>
        <w:rFonts w:ascii="Arial" w:hAnsi="Arial" w:hint="default"/>
      </w:rPr>
    </w:lvl>
    <w:lvl w:ilvl="3" w:tplc="A364BE9E" w:tentative="1">
      <w:start w:val="1"/>
      <w:numFmt w:val="bullet"/>
      <w:lvlText w:val="•"/>
      <w:lvlJc w:val="left"/>
      <w:pPr>
        <w:tabs>
          <w:tab w:val="num" w:pos="2880"/>
        </w:tabs>
        <w:ind w:left="2880" w:hanging="360"/>
      </w:pPr>
      <w:rPr>
        <w:rFonts w:ascii="Arial" w:hAnsi="Arial" w:hint="default"/>
      </w:rPr>
    </w:lvl>
    <w:lvl w:ilvl="4" w:tplc="64FA214E" w:tentative="1">
      <w:start w:val="1"/>
      <w:numFmt w:val="bullet"/>
      <w:lvlText w:val="•"/>
      <w:lvlJc w:val="left"/>
      <w:pPr>
        <w:tabs>
          <w:tab w:val="num" w:pos="3600"/>
        </w:tabs>
        <w:ind w:left="3600" w:hanging="360"/>
      </w:pPr>
      <w:rPr>
        <w:rFonts w:ascii="Arial" w:hAnsi="Arial" w:hint="default"/>
      </w:rPr>
    </w:lvl>
    <w:lvl w:ilvl="5" w:tplc="0BFAB1B2" w:tentative="1">
      <w:start w:val="1"/>
      <w:numFmt w:val="bullet"/>
      <w:lvlText w:val="•"/>
      <w:lvlJc w:val="left"/>
      <w:pPr>
        <w:tabs>
          <w:tab w:val="num" w:pos="4320"/>
        </w:tabs>
        <w:ind w:left="4320" w:hanging="360"/>
      </w:pPr>
      <w:rPr>
        <w:rFonts w:ascii="Arial" w:hAnsi="Arial" w:hint="default"/>
      </w:rPr>
    </w:lvl>
    <w:lvl w:ilvl="6" w:tplc="7FCC1F24" w:tentative="1">
      <w:start w:val="1"/>
      <w:numFmt w:val="bullet"/>
      <w:lvlText w:val="•"/>
      <w:lvlJc w:val="left"/>
      <w:pPr>
        <w:tabs>
          <w:tab w:val="num" w:pos="5040"/>
        </w:tabs>
        <w:ind w:left="5040" w:hanging="360"/>
      </w:pPr>
      <w:rPr>
        <w:rFonts w:ascii="Arial" w:hAnsi="Arial" w:hint="default"/>
      </w:rPr>
    </w:lvl>
    <w:lvl w:ilvl="7" w:tplc="1F486FF0" w:tentative="1">
      <w:start w:val="1"/>
      <w:numFmt w:val="bullet"/>
      <w:lvlText w:val="•"/>
      <w:lvlJc w:val="left"/>
      <w:pPr>
        <w:tabs>
          <w:tab w:val="num" w:pos="5760"/>
        </w:tabs>
        <w:ind w:left="5760" w:hanging="360"/>
      </w:pPr>
      <w:rPr>
        <w:rFonts w:ascii="Arial" w:hAnsi="Arial" w:hint="default"/>
      </w:rPr>
    </w:lvl>
    <w:lvl w:ilvl="8" w:tplc="D7A45C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344CF"/>
    <w:multiLevelType w:val="hybridMultilevel"/>
    <w:tmpl w:val="F508F31C"/>
    <w:lvl w:ilvl="0" w:tplc="AB545568">
      <w:start w:val="1"/>
      <w:numFmt w:val="decimal"/>
      <w:suff w:val="space"/>
      <w:lvlText w:val="%1)"/>
      <w:lvlJc w:val="left"/>
      <w:pPr>
        <w:ind w:left="0" w:firstLine="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DEB42EF"/>
    <w:multiLevelType w:val="hybridMultilevel"/>
    <w:tmpl w:val="53985D5C"/>
    <w:lvl w:ilvl="0" w:tplc="03205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6F23CF3"/>
    <w:multiLevelType w:val="hybridMultilevel"/>
    <w:tmpl w:val="FB441FEC"/>
    <w:lvl w:ilvl="0" w:tplc="83000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B9048F"/>
    <w:multiLevelType w:val="hybridMultilevel"/>
    <w:tmpl w:val="2F9AA29A"/>
    <w:lvl w:ilvl="0" w:tplc="8380394C">
      <w:start w:val="1"/>
      <w:numFmt w:val="bullet"/>
      <w:lvlText w:val="-"/>
      <w:lvlJc w:val="left"/>
      <w:pPr>
        <w:tabs>
          <w:tab w:val="num" w:pos="720"/>
        </w:tabs>
        <w:ind w:left="720" w:hanging="360"/>
      </w:pPr>
      <w:rPr>
        <w:rFonts w:ascii="Times New Roman" w:hAnsi="Times New Roman" w:hint="default"/>
      </w:rPr>
    </w:lvl>
    <w:lvl w:ilvl="1" w:tplc="9C82C142" w:tentative="1">
      <w:start w:val="1"/>
      <w:numFmt w:val="bullet"/>
      <w:lvlText w:val="-"/>
      <w:lvlJc w:val="left"/>
      <w:pPr>
        <w:tabs>
          <w:tab w:val="num" w:pos="1440"/>
        </w:tabs>
        <w:ind w:left="1440" w:hanging="360"/>
      </w:pPr>
      <w:rPr>
        <w:rFonts w:ascii="Times New Roman" w:hAnsi="Times New Roman" w:hint="default"/>
      </w:rPr>
    </w:lvl>
    <w:lvl w:ilvl="2" w:tplc="B5EC9C0C" w:tentative="1">
      <w:start w:val="1"/>
      <w:numFmt w:val="bullet"/>
      <w:lvlText w:val="-"/>
      <w:lvlJc w:val="left"/>
      <w:pPr>
        <w:tabs>
          <w:tab w:val="num" w:pos="2160"/>
        </w:tabs>
        <w:ind w:left="2160" w:hanging="360"/>
      </w:pPr>
      <w:rPr>
        <w:rFonts w:ascii="Times New Roman" w:hAnsi="Times New Roman" w:hint="default"/>
      </w:rPr>
    </w:lvl>
    <w:lvl w:ilvl="3" w:tplc="0E6ED228" w:tentative="1">
      <w:start w:val="1"/>
      <w:numFmt w:val="bullet"/>
      <w:lvlText w:val="-"/>
      <w:lvlJc w:val="left"/>
      <w:pPr>
        <w:tabs>
          <w:tab w:val="num" w:pos="2880"/>
        </w:tabs>
        <w:ind w:left="2880" w:hanging="360"/>
      </w:pPr>
      <w:rPr>
        <w:rFonts w:ascii="Times New Roman" w:hAnsi="Times New Roman" w:hint="default"/>
      </w:rPr>
    </w:lvl>
    <w:lvl w:ilvl="4" w:tplc="F2684772" w:tentative="1">
      <w:start w:val="1"/>
      <w:numFmt w:val="bullet"/>
      <w:lvlText w:val="-"/>
      <w:lvlJc w:val="left"/>
      <w:pPr>
        <w:tabs>
          <w:tab w:val="num" w:pos="3600"/>
        </w:tabs>
        <w:ind w:left="3600" w:hanging="360"/>
      </w:pPr>
      <w:rPr>
        <w:rFonts w:ascii="Times New Roman" w:hAnsi="Times New Roman" w:hint="default"/>
      </w:rPr>
    </w:lvl>
    <w:lvl w:ilvl="5" w:tplc="54F004DE" w:tentative="1">
      <w:start w:val="1"/>
      <w:numFmt w:val="bullet"/>
      <w:lvlText w:val="-"/>
      <w:lvlJc w:val="left"/>
      <w:pPr>
        <w:tabs>
          <w:tab w:val="num" w:pos="4320"/>
        </w:tabs>
        <w:ind w:left="4320" w:hanging="360"/>
      </w:pPr>
      <w:rPr>
        <w:rFonts w:ascii="Times New Roman" w:hAnsi="Times New Roman" w:hint="default"/>
      </w:rPr>
    </w:lvl>
    <w:lvl w:ilvl="6" w:tplc="176CC9EC" w:tentative="1">
      <w:start w:val="1"/>
      <w:numFmt w:val="bullet"/>
      <w:lvlText w:val="-"/>
      <w:lvlJc w:val="left"/>
      <w:pPr>
        <w:tabs>
          <w:tab w:val="num" w:pos="5040"/>
        </w:tabs>
        <w:ind w:left="5040" w:hanging="360"/>
      </w:pPr>
      <w:rPr>
        <w:rFonts w:ascii="Times New Roman" w:hAnsi="Times New Roman" w:hint="default"/>
      </w:rPr>
    </w:lvl>
    <w:lvl w:ilvl="7" w:tplc="EE68D04C" w:tentative="1">
      <w:start w:val="1"/>
      <w:numFmt w:val="bullet"/>
      <w:lvlText w:val="-"/>
      <w:lvlJc w:val="left"/>
      <w:pPr>
        <w:tabs>
          <w:tab w:val="num" w:pos="5760"/>
        </w:tabs>
        <w:ind w:left="5760" w:hanging="360"/>
      </w:pPr>
      <w:rPr>
        <w:rFonts w:ascii="Times New Roman" w:hAnsi="Times New Roman" w:hint="default"/>
      </w:rPr>
    </w:lvl>
    <w:lvl w:ilvl="8" w:tplc="6AC2290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764522"/>
    <w:multiLevelType w:val="hybridMultilevel"/>
    <w:tmpl w:val="D1261F32"/>
    <w:lvl w:ilvl="0" w:tplc="4BA6B362">
      <w:start w:val="1"/>
      <w:numFmt w:val="bullet"/>
      <w:lvlText w:val="•"/>
      <w:lvlJc w:val="left"/>
      <w:pPr>
        <w:tabs>
          <w:tab w:val="num" w:pos="720"/>
        </w:tabs>
        <w:ind w:left="720" w:hanging="360"/>
      </w:pPr>
      <w:rPr>
        <w:rFonts w:ascii="Arial" w:hAnsi="Arial" w:hint="default"/>
      </w:rPr>
    </w:lvl>
    <w:lvl w:ilvl="1" w:tplc="6B283B90" w:tentative="1">
      <w:start w:val="1"/>
      <w:numFmt w:val="bullet"/>
      <w:lvlText w:val="•"/>
      <w:lvlJc w:val="left"/>
      <w:pPr>
        <w:tabs>
          <w:tab w:val="num" w:pos="1440"/>
        </w:tabs>
        <w:ind w:left="1440" w:hanging="360"/>
      </w:pPr>
      <w:rPr>
        <w:rFonts w:ascii="Arial" w:hAnsi="Arial" w:hint="default"/>
      </w:rPr>
    </w:lvl>
    <w:lvl w:ilvl="2" w:tplc="900ECD58" w:tentative="1">
      <w:start w:val="1"/>
      <w:numFmt w:val="bullet"/>
      <w:lvlText w:val="•"/>
      <w:lvlJc w:val="left"/>
      <w:pPr>
        <w:tabs>
          <w:tab w:val="num" w:pos="2160"/>
        </w:tabs>
        <w:ind w:left="2160" w:hanging="360"/>
      </w:pPr>
      <w:rPr>
        <w:rFonts w:ascii="Arial" w:hAnsi="Arial" w:hint="default"/>
      </w:rPr>
    </w:lvl>
    <w:lvl w:ilvl="3" w:tplc="4B5804B8" w:tentative="1">
      <w:start w:val="1"/>
      <w:numFmt w:val="bullet"/>
      <w:lvlText w:val="•"/>
      <w:lvlJc w:val="left"/>
      <w:pPr>
        <w:tabs>
          <w:tab w:val="num" w:pos="2880"/>
        </w:tabs>
        <w:ind w:left="2880" w:hanging="360"/>
      </w:pPr>
      <w:rPr>
        <w:rFonts w:ascii="Arial" w:hAnsi="Arial" w:hint="default"/>
      </w:rPr>
    </w:lvl>
    <w:lvl w:ilvl="4" w:tplc="77CAFDB4" w:tentative="1">
      <w:start w:val="1"/>
      <w:numFmt w:val="bullet"/>
      <w:lvlText w:val="•"/>
      <w:lvlJc w:val="left"/>
      <w:pPr>
        <w:tabs>
          <w:tab w:val="num" w:pos="3600"/>
        </w:tabs>
        <w:ind w:left="3600" w:hanging="360"/>
      </w:pPr>
      <w:rPr>
        <w:rFonts w:ascii="Arial" w:hAnsi="Arial" w:hint="default"/>
      </w:rPr>
    </w:lvl>
    <w:lvl w:ilvl="5" w:tplc="86E2FF44" w:tentative="1">
      <w:start w:val="1"/>
      <w:numFmt w:val="bullet"/>
      <w:lvlText w:val="•"/>
      <w:lvlJc w:val="left"/>
      <w:pPr>
        <w:tabs>
          <w:tab w:val="num" w:pos="4320"/>
        </w:tabs>
        <w:ind w:left="4320" w:hanging="360"/>
      </w:pPr>
      <w:rPr>
        <w:rFonts w:ascii="Arial" w:hAnsi="Arial" w:hint="default"/>
      </w:rPr>
    </w:lvl>
    <w:lvl w:ilvl="6" w:tplc="9D86BFFA" w:tentative="1">
      <w:start w:val="1"/>
      <w:numFmt w:val="bullet"/>
      <w:lvlText w:val="•"/>
      <w:lvlJc w:val="left"/>
      <w:pPr>
        <w:tabs>
          <w:tab w:val="num" w:pos="5040"/>
        </w:tabs>
        <w:ind w:left="5040" w:hanging="360"/>
      </w:pPr>
      <w:rPr>
        <w:rFonts w:ascii="Arial" w:hAnsi="Arial" w:hint="default"/>
      </w:rPr>
    </w:lvl>
    <w:lvl w:ilvl="7" w:tplc="6AD4DDAC" w:tentative="1">
      <w:start w:val="1"/>
      <w:numFmt w:val="bullet"/>
      <w:lvlText w:val="•"/>
      <w:lvlJc w:val="left"/>
      <w:pPr>
        <w:tabs>
          <w:tab w:val="num" w:pos="5760"/>
        </w:tabs>
        <w:ind w:left="5760" w:hanging="360"/>
      </w:pPr>
      <w:rPr>
        <w:rFonts w:ascii="Arial" w:hAnsi="Arial" w:hint="default"/>
      </w:rPr>
    </w:lvl>
    <w:lvl w:ilvl="8" w:tplc="AFC6E0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9A3BF0"/>
    <w:multiLevelType w:val="hybridMultilevel"/>
    <w:tmpl w:val="656A12FE"/>
    <w:lvl w:ilvl="0" w:tplc="F3745FB6">
      <w:start w:val="1"/>
      <w:numFmt w:val="bullet"/>
      <w:lvlText w:val="•"/>
      <w:lvlJc w:val="left"/>
      <w:pPr>
        <w:tabs>
          <w:tab w:val="num" w:pos="720"/>
        </w:tabs>
        <w:ind w:left="720" w:hanging="360"/>
      </w:pPr>
      <w:rPr>
        <w:rFonts w:ascii="Arial" w:hAnsi="Arial" w:hint="default"/>
      </w:rPr>
    </w:lvl>
    <w:lvl w:ilvl="1" w:tplc="5F689FF8" w:tentative="1">
      <w:start w:val="1"/>
      <w:numFmt w:val="bullet"/>
      <w:lvlText w:val="•"/>
      <w:lvlJc w:val="left"/>
      <w:pPr>
        <w:tabs>
          <w:tab w:val="num" w:pos="1440"/>
        </w:tabs>
        <w:ind w:left="1440" w:hanging="360"/>
      </w:pPr>
      <w:rPr>
        <w:rFonts w:ascii="Arial" w:hAnsi="Arial" w:hint="default"/>
      </w:rPr>
    </w:lvl>
    <w:lvl w:ilvl="2" w:tplc="8990CF0E" w:tentative="1">
      <w:start w:val="1"/>
      <w:numFmt w:val="bullet"/>
      <w:lvlText w:val="•"/>
      <w:lvlJc w:val="left"/>
      <w:pPr>
        <w:tabs>
          <w:tab w:val="num" w:pos="2160"/>
        </w:tabs>
        <w:ind w:left="2160" w:hanging="360"/>
      </w:pPr>
      <w:rPr>
        <w:rFonts w:ascii="Arial" w:hAnsi="Arial" w:hint="default"/>
      </w:rPr>
    </w:lvl>
    <w:lvl w:ilvl="3" w:tplc="DF5C4A2C" w:tentative="1">
      <w:start w:val="1"/>
      <w:numFmt w:val="bullet"/>
      <w:lvlText w:val="•"/>
      <w:lvlJc w:val="left"/>
      <w:pPr>
        <w:tabs>
          <w:tab w:val="num" w:pos="2880"/>
        </w:tabs>
        <w:ind w:left="2880" w:hanging="360"/>
      </w:pPr>
      <w:rPr>
        <w:rFonts w:ascii="Arial" w:hAnsi="Arial" w:hint="default"/>
      </w:rPr>
    </w:lvl>
    <w:lvl w:ilvl="4" w:tplc="125A5D62" w:tentative="1">
      <w:start w:val="1"/>
      <w:numFmt w:val="bullet"/>
      <w:lvlText w:val="•"/>
      <w:lvlJc w:val="left"/>
      <w:pPr>
        <w:tabs>
          <w:tab w:val="num" w:pos="3600"/>
        </w:tabs>
        <w:ind w:left="3600" w:hanging="360"/>
      </w:pPr>
      <w:rPr>
        <w:rFonts w:ascii="Arial" w:hAnsi="Arial" w:hint="default"/>
      </w:rPr>
    </w:lvl>
    <w:lvl w:ilvl="5" w:tplc="1340F584" w:tentative="1">
      <w:start w:val="1"/>
      <w:numFmt w:val="bullet"/>
      <w:lvlText w:val="•"/>
      <w:lvlJc w:val="left"/>
      <w:pPr>
        <w:tabs>
          <w:tab w:val="num" w:pos="4320"/>
        </w:tabs>
        <w:ind w:left="4320" w:hanging="360"/>
      </w:pPr>
      <w:rPr>
        <w:rFonts w:ascii="Arial" w:hAnsi="Arial" w:hint="default"/>
      </w:rPr>
    </w:lvl>
    <w:lvl w:ilvl="6" w:tplc="65A2866E" w:tentative="1">
      <w:start w:val="1"/>
      <w:numFmt w:val="bullet"/>
      <w:lvlText w:val="•"/>
      <w:lvlJc w:val="left"/>
      <w:pPr>
        <w:tabs>
          <w:tab w:val="num" w:pos="5040"/>
        </w:tabs>
        <w:ind w:left="5040" w:hanging="360"/>
      </w:pPr>
      <w:rPr>
        <w:rFonts w:ascii="Arial" w:hAnsi="Arial" w:hint="default"/>
      </w:rPr>
    </w:lvl>
    <w:lvl w:ilvl="7" w:tplc="9DC2B774" w:tentative="1">
      <w:start w:val="1"/>
      <w:numFmt w:val="bullet"/>
      <w:lvlText w:val="•"/>
      <w:lvlJc w:val="left"/>
      <w:pPr>
        <w:tabs>
          <w:tab w:val="num" w:pos="5760"/>
        </w:tabs>
        <w:ind w:left="5760" w:hanging="360"/>
      </w:pPr>
      <w:rPr>
        <w:rFonts w:ascii="Arial" w:hAnsi="Arial" w:hint="default"/>
      </w:rPr>
    </w:lvl>
    <w:lvl w:ilvl="8" w:tplc="4DA07B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9711D7"/>
    <w:multiLevelType w:val="hybridMultilevel"/>
    <w:tmpl w:val="C1DCA11E"/>
    <w:lvl w:ilvl="0" w:tplc="2BACC08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7A303F9"/>
    <w:multiLevelType w:val="hybridMultilevel"/>
    <w:tmpl w:val="D95C28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0"/>
  </w:num>
  <w:num w:numId="7">
    <w:abstractNumId w:val="15"/>
  </w:num>
  <w:num w:numId="8">
    <w:abstractNumId w:val="3"/>
  </w:num>
  <w:num w:numId="9">
    <w:abstractNumId w:val="14"/>
  </w:num>
  <w:num w:numId="10">
    <w:abstractNumId w:val="16"/>
  </w:num>
  <w:num w:numId="11">
    <w:abstractNumId w:val="9"/>
  </w:num>
  <w:num w:numId="12">
    <w:abstractNumId w:val="8"/>
  </w:num>
  <w:num w:numId="13">
    <w:abstractNumId w:val="6"/>
  </w:num>
  <w:num w:numId="14">
    <w:abstractNumId w:val="10"/>
  </w:num>
  <w:num w:numId="15">
    <w:abstractNumId w:val="17"/>
  </w:num>
  <w:num w:numId="16">
    <w:abstractNumId w:val="7"/>
  </w:num>
  <w:num w:numId="17">
    <w:abstractNumId w:val="18"/>
  </w:num>
  <w:num w:numId="18">
    <w:abstractNumId w:val="2"/>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95"/>
    <w:rsid w:val="00002E76"/>
    <w:rsid w:val="0000426E"/>
    <w:rsid w:val="00013855"/>
    <w:rsid w:val="0001386A"/>
    <w:rsid w:val="0001425F"/>
    <w:rsid w:val="000164A0"/>
    <w:rsid w:val="000174AA"/>
    <w:rsid w:val="00026A04"/>
    <w:rsid w:val="0003117A"/>
    <w:rsid w:val="00031206"/>
    <w:rsid w:val="000427A3"/>
    <w:rsid w:val="000439CE"/>
    <w:rsid w:val="00046D99"/>
    <w:rsid w:val="00046DAE"/>
    <w:rsid w:val="000537D1"/>
    <w:rsid w:val="00056045"/>
    <w:rsid w:val="000572A5"/>
    <w:rsid w:val="000605B7"/>
    <w:rsid w:val="000640ED"/>
    <w:rsid w:val="00064B25"/>
    <w:rsid w:val="000651B3"/>
    <w:rsid w:val="00066B9B"/>
    <w:rsid w:val="00073C11"/>
    <w:rsid w:val="00075F92"/>
    <w:rsid w:val="000771A0"/>
    <w:rsid w:val="000910D7"/>
    <w:rsid w:val="00091F8C"/>
    <w:rsid w:val="000A0077"/>
    <w:rsid w:val="000A14D2"/>
    <w:rsid w:val="000A77DF"/>
    <w:rsid w:val="000B0AFC"/>
    <w:rsid w:val="000B1CBB"/>
    <w:rsid w:val="000B28CA"/>
    <w:rsid w:val="000B552F"/>
    <w:rsid w:val="000D3E77"/>
    <w:rsid w:val="000E3D8E"/>
    <w:rsid w:val="000E5923"/>
    <w:rsid w:val="000F0046"/>
    <w:rsid w:val="000F1183"/>
    <w:rsid w:val="000F3312"/>
    <w:rsid w:val="00112C99"/>
    <w:rsid w:val="00122450"/>
    <w:rsid w:val="00123DA0"/>
    <w:rsid w:val="0012676B"/>
    <w:rsid w:val="001345DE"/>
    <w:rsid w:val="0013460F"/>
    <w:rsid w:val="001357DC"/>
    <w:rsid w:val="0013607B"/>
    <w:rsid w:val="00143D3F"/>
    <w:rsid w:val="00151B95"/>
    <w:rsid w:val="00163699"/>
    <w:rsid w:val="00164F23"/>
    <w:rsid w:val="00166E48"/>
    <w:rsid w:val="00167E79"/>
    <w:rsid w:val="00174B13"/>
    <w:rsid w:val="0018019D"/>
    <w:rsid w:val="001822B1"/>
    <w:rsid w:val="00182AD9"/>
    <w:rsid w:val="00182B67"/>
    <w:rsid w:val="00182D4C"/>
    <w:rsid w:val="001840BA"/>
    <w:rsid w:val="00192443"/>
    <w:rsid w:val="001B41CA"/>
    <w:rsid w:val="001B542B"/>
    <w:rsid w:val="001B559C"/>
    <w:rsid w:val="001B7999"/>
    <w:rsid w:val="001C1258"/>
    <w:rsid w:val="001C306C"/>
    <w:rsid w:val="001C79D8"/>
    <w:rsid w:val="001D1EEB"/>
    <w:rsid w:val="001D508A"/>
    <w:rsid w:val="001E18DA"/>
    <w:rsid w:val="001E20B1"/>
    <w:rsid w:val="001E593E"/>
    <w:rsid w:val="001F00FB"/>
    <w:rsid w:val="001F01C2"/>
    <w:rsid w:val="001F3AF1"/>
    <w:rsid w:val="001F58B5"/>
    <w:rsid w:val="001F6F74"/>
    <w:rsid w:val="001F737B"/>
    <w:rsid w:val="001F73EF"/>
    <w:rsid w:val="00203CD3"/>
    <w:rsid w:val="00205C34"/>
    <w:rsid w:val="00214D2B"/>
    <w:rsid w:val="002167A8"/>
    <w:rsid w:val="002169E0"/>
    <w:rsid w:val="00216C67"/>
    <w:rsid w:val="00216C97"/>
    <w:rsid w:val="00235B74"/>
    <w:rsid w:val="00240F10"/>
    <w:rsid w:val="00245050"/>
    <w:rsid w:val="00252A54"/>
    <w:rsid w:val="00260C52"/>
    <w:rsid w:val="00260EDD"/>
    <w:rsid w:val="00261AA2"/>
    <w:rsid w:val="00262AF2"/>
    <w:rsid w:val="00264639"/>
    <w:rsid w:val="00264841"/>
    <w:rsid w:val="00280FAA"/>
    <w:rsid w:val="00285589"/>
    <w:rsid w:val="002916F7"/>
    <w:rsid w:val="00295A16"/>
    <w:rsid w:val="0029612D"/>
    <w:rsid w:val="002970CA"/>
    <w:rsid w:val="00297B9F"/>
    <w:rsid w:val="002A0EE3"/>
    <w:rsid w:val="002A3202"/>
    <w:rsid w:val="002A3251"/>
    <w:rsid w:val="002A4561"/>
    <w:rsid w:val="002B339F"/>
    <w:rsid w:val="002B3959"/>
    <w:rsid w:val="002B4DF3"/>
    <w:rsid w:val="002B58EA"/>
    <w:rsid w:val="002C015D"/>
    <w:rsid w:val="002C2A31"/>
    <w:rsid w:val="002D37AD"/>
    <w:rsid w:val="002D4A34"/>
    <w:rsid w:val="002D5C82"/>
    <w:rsid w:val="002E3641"/>
    <w:rsid w:val="002F24BF"/>
    <w:rsid w:val="002F3F95"/>
    <w:rsid w:val="00300B01"/>
    <w:rsid w:val="003025D0"/>
    <w:rsid w:val="00302E16"/>
    <w:rsid w:val="003044E9"/>
    <w:rsid w:val="00305D9F"/>
    <w:rsid w:val="00307B6C"/>
    <w:rsid w:val="003105B0"/>
    <w:rsid w:val="00310EF4"/>
    <w:rsid w:val="0031756F"/>
    <w:rsid w:val="003179F6"/>
    <w:rsid w:val="0032316B"/>
    <w:rsid w:val="00326066"/>
    <w:rsid w:val="003262D9"/>
    <w:rsid w:val="00333982"/>
    <w:rsid w:val="00333FB5"/>
    <w:rsid w:val="0034784A"/>
    <w:rsid w:val="003518C8"/>
    <w:rsid w:val="00355B65"/>
    <w:rsid w:val="00362EAB"/>
    <w:rsid w:val="003726EF"/>
    <w:rsid w:val="003757D7"/>
    <w:rsid w:val="00382EA8"/>
    <w:rsid w:val="003834A7"/>
    <w:rsid w:val="003852AE"/>
    <w:rsid w:val="00386277"/>
    <w:rsid w:val="00390698"/>
    <w:rsid w:val="003916CA"/>
    <w:rsid w:val="00392774"/>
    <w:rsid w:val="003A6986"/>
    <w:rsid w:val="003B0C6C"/>
    <w:rsid w:val="003B4139"/>
    <w:rsid w:val="003B69CE"/>
    <w:rsid w:val="003C2B00"/>
    <w:rsid w:val="003D7B2C"/>
    <w:rsid w:val="00400B92"/>
    <w:rsid w:val="004019FF"/>
    <w:rsid w:val="0040373E"/>
    <w:rsid w:val="00411E09"/>
    <w:rsid w:val="00413C69"/>
    <w:rsid w:val="0041581C"/>
    <w:rsid w:val="0043149B"/>
    <w:rsid w:val="00432045"/>
    <w:rsid w:val="00434B03"/>
    <w:rsid w:val="00441A6B"/>
    <w:rsid w:val="0045002C"/>
    <w:rsid w:val="0045521E"/>
    <w:rsid w:val="004641DF"/>
    <w:rsid w:val="004645C6"/>
    <w:rsid w:val="00464F8F"/>
    <w:rsid w:val="00473070"/>
    <w:rsid w:val="004733B6"/>
    <w:rsid w:val="0047485E"/>
    <w:rsid w:val="00477A38"/>
    <w:rsid w:val="0048117E"/>
    <w:rsid w:val="004904E7"/>
    <w:rsid w:val="00493253"/>
    <w:rsid w:val="00493B18"/>
    <w:rsid w:val="004A347A"/>
    <w:rsid w:val="004A68EA"/>
    <w:rsid w:val="004A7949"/>
    <w:rsid w:val="004B1940"/>
    <w:rsid w:val="004B3BB5"/>
    <w:rsid w:val="004B7BCD"/>
    <w:rsid w:val="004C1314"/>
    <w:rsid w:val="004D1CDC"/>
    <w:rsid w:val="004D23C5"/>
    <w:rsid w:val="004E17B2"/>
    <w:rsid w:val="004F100F"/>
    <w:rsid w:val="004F6EDC"/>
    <w:rsid w:val="004F7373"/>
    <w:rsid w:val="00502F41"/>
    <w:rsid w:val="005079CA"/>
    <w:rsid w:val="00513717"/>
    <w:rsid w:val="00513FD8"/>
    <w:rsid w:val="00530B79"/>
    <w:rsid w:val="00531964"/>
    <w:rsid w:val="00534807"/>
    <w:rsid w:val="00545EFF"/>
    <w:rsid w:val="00560408"/>
    <w:rsid w:val="00564FB5"/>
    <w:rsid w:val="00574062"/>
    <w:rsid w:val="005859A7"/>
    <w:rsid w:val="005874B6"/>
    <w:rsid w:val="00591C18"/>
    <w:rsid w:val="0059717E"/>
    <w:rsid w:val="00597A41"/>
    <w:rsid w:val="005A0256"/>
    <w:rsid w:val="005A05B9"/>
    <w:rsid w:val="005A0BFA"/>
    <w:rsid w:val="005A2109"/>
    <w:rsid w:val="005A5485"/>
    <w:rsid w:val="005B316F"/>
    <w:rsid w:val="005C0A76"/>
    <w:rsid w:val="005C11A0"/>
    <w:rsid w:val="005C65C2"/>
    <w:rsid w:val="005C7EEE"/>
    <w:rsid w:val="005D0C5D"/>
    <w:rsid w:val="005D4B00"/>
    <w:rsid w:val="005D6F99"/>
    <w:rsid w:val="005E19B9"/>
    <w:rsid w:val="005E40E0"/>
    <w:rsid w:val="005E4A03"/>
    <w:rsid w:val="005E4CDB"/>
    <w:rsid w:val="005F0F14"/>
    <w:rsid w:val="005F6477"/>
    <w:rsid w:val="006007FD"/>
    <w:rsid w:val="00602465"/>
    <w:rsid w:val="006052ED"/>
    <w:rsid w:val="00605BD5"/>
    <w:rsid w:val="0061038B"/>
    <w:rsid w:val="006144EC"/>
    <w:rsid w:val="00614D94"/>
    <w:rsid w:val="006175AA"/>
    <w:rsid w:val="006243F7"/>
    <w:rsid w:val="00625296"/>
    <w:rsid w:val="00631DCF"/>
    <w:rsid w:val="00632CA2"/>
    <w:rsid w:val="00635618"/>
    <w:rsid w:val="00651500"/>
    <w:rsid w:val="006605B4"/>
    <w:rsid w:val="006605F3"/>
    <w:rsid w:val="006631E8"/>
    <w:rsid w:val="006710AF"/>
    <w:rsid w:val="00683247"/>
    <w:rsid w:val="00695939"/>
    <w:rsid w:val="006979E6"/>
    <w:rsid w:val="00697F6A"/>
    <w:rsid w:val="006B2232"/>
    <w:rsid w:val="006B49B9"/>
    <w:rsid w:val="006B6ED3"/>
    <w:rsid w:val="006B6F5D"/>
    <w:rsid w:val="006C0A71"/>
    <w:rsid w:val="006C1EBA"/>
    <w:rsid w:val="006D309A"/>
    <w:rsid w:val="006F0914"/>
    <w:rsid w:val="006F5629"/>
    <w:rsid w:val="0070086F"/>
    <w:rsid w:val="00704B06"/>
    <w:rsid w:val="007159DC"/>
    <w:rsid w:val="00721DE8"/>
    <w:rsid w:val="00721E04"/>
    <w:rsid w:val="0072317E"/>
    <w:rsid w:val="007254F1"/>
    <w:rsid w:val="007308D5"/>
    <w:rsid w:val="00741BD0"/>
    <w:rsid w:val="00746550"/>
    <w:rsid w:val="007472E0"/>
    <w:rsid w:val="00760186"/>
    <w:rsid w:val="00761CCA"/>
    <w:rsid w:val="0076237F"/>
    <w:rsid w:val="00763F64"/>
    <w:rsid w:val="007648A9"/>
    <w:rsid w:val="0077624E"/>
    <w:rsid w:val="00786D9C"/>
    <w:rsid w:val="007873E6"/>
    <w:rsid w:val="00792268"/>
    <w:rsid w:val="00793BE4"/>
    <w:rsid w:val="00797D23"/>
    <w:rsid w:val="007A0EAF"/>
    <w:rsid w:val="007A4FC2"/>
    <w:rsid w:val="007C017C"/>
    <w:rsid w:val="007D42B7"/>
    <w:rsid w:val="007D5197"/>
    <w:rsid w:val="007E2FEC"/>
    <w:rsid w:val="007E7654"/>
    <w:rsid w:val="007F0E8B"/>
    <w:rsid w:val="00801475"/>
    <w:rsid w:val="0080192E"/>
    <w:rsid w:val="00801D2B"/>
    <w:rsid w:val="008149A4"/>
    <w:rsid w:val="00823D52"/>
    <w:rsid w:val="00825FE6"/>
    <w:rsid w:val="0083061C"/>
    <w:rsid w:val="00830F69"/>
    <w:rsid w:val="008323B1"/>
    <w:rsid w:val="00832EE4"/>
    <w:rsid w:val="00837143"/>
    <w:rsid w:val="00840C46"/>
    <w:rsid w:val="00840DAA"/>
    <w:rsid w:val="008420C4"/>
    <w:rsid w:val="008438C7"/>
    <w:rsid w:val="008500F4"/>
    <w:rsid w:val="00860D83"/>
    <w:rsid w:val="00861C6F"/>
    <w:rsid w:val="008657CC"/>
    <w:rsid w:val="00870EDE"/>
    <w:rsid w:val="00873B9E"/>
    <w:rsid w:val="008919D1"/>
    <w:rsid w:val="0089567D"/>
    <w:rsid w:val="0089756A"/>
    <w:rsid w:val="008A03A1"/>
    <w:rsid w:val="008A47E4"/>
    <w:rsid w:val="008A52DF"/>
    <w:rsid w:val="008B29B3"/>
    <w:rsid w:val="008B7B13"/>
    <w:rsid w:val="008C0274"/>
    <w:rsid w:val="008C2B7B"/>
    <w:rsid w:val="008C3EA9"/>
    <w:rsid w:val="008C7862"/>
    <w:rsid w:val="008D13DE"/>
    <w:rsid w:val="008D14B8"/>
    <w:rsid w:val="008D7CB9"/>
    <w:rsid w:val="008E5FC8"/>
    <w:rsid w:val="008F767E"/>
    <w:rsid w:val="00904214"/>
    <w:rsid w:val="009051AE"/>
    <w:rsid w:val="00913A7A"/>
    <w:rsid w:val="00915275"/>
    <w:rsid w:val="00927D39"/>
    <w:rsid w:val="00931B62"/>
    <w:rsid w:val="00936166"/>
    <w:rsid w:val="0094744E"/>
    <w:rsid w:val="009512D4"/>
    <w:rsid w:val="009516EE"/>
    <w:rsid w:val="00951954"/>
    <w:rsid w:val="00951AF5"/>
    <w:rsid w:val="00952D80"/>
    <w:rsid w:val="00954B0F"/>
    <w:rsid w:val="00980707"/>
    <w:rsid w:val="0098096E"/>
    <w:rsid w:val="009949CD"/>
    <w:rsid w:val="009959B5"/>
    <w:rsid w:val="00996793"/>
    <w:rsid w:val="009A578F"/>
    <w:rsid w:val="009B36AA"/>
    <w:rsid w:val="009B3CC1"/>
    <w:rsid w:val="009B54C4"/>
    <w:rsid w:val="009B7284"/>
    <w:rsid w:val="009C3BC9"/>
    <w:rsid w:val="009C5CAF"/>
    <w:rsid w:val="009C654B"/>
    <w:rsid w:val="009D1985"/>
    <w:rsid w:val="009D2F47"/>
    <w:rsid w:val="009E3C7E"/>
    <w:rsid w:val="009E429A"/>
    <w:rsid w:val="009E4D18"/>
    <w:rsid w:val="009F35B5"/>
    <w:rsid w:val="009F3FB1"/>
    <w:rsid w:val="009F6564"/>
    <w:rsid w:val="00A0105C"/>
    <w:rsid w:val="00A23A02"/>
    <w:rsid w:val="00A240A5"/>
    <w:rsid w:val="00A25B78"/>
    <w:rsid w:val="00A300CC"/>
    <w:rsid w:val="00A41670"/>
    <w:rsid w:val="00A44A6B"/>
    <w:rsid w:val="00A533EA"/>
    <w:rsid w:val="00A53592"/>
    <w:rsid w:val="00A55E59"/>
    <w:rsid w:val="00A62E14"/>
    <w:rsid w:val="00A666B8"/>
    <w:rsid w:val="00A7058B"/>
    <w:rsid w:val="00A84D44"/>
    <w:rsid w:val="00AC07A7"/>
    <w:rsid w:val="00AD54E8"/>
    <w:rsid w:val="00AE2B48"/>
    <w:rsid w:val="00AE44A8"/>
    <w:rsid w:val="00AF2ACD"/>
    <w:rsid w:val="00AF4264"/>
    <w:rsid w:val="00AF66B5"/>
    <w:rsid w:val="00AF7CCA"/>
    <w:rsid w:val="00B0637D"/>
    <w:rsid w:val="00B107DD"/>
    <w:rsid w:val="00B30CDA"/>
    <w:rsid w:val="00B36A9D"/>
    <w:rsid w:val="00B37D57"/>
    <w:rsid w:val="00B42B12"/>
    <w:rsid w:val="00B432CE"/>
    <w:rsid w:val="00B4484A"/>
    <w:rsid w:val="00B4718B"/>
    <w:rsid w:val="00B50C74"/>
    <w:rsid w:val="00B52433"/>
    <w:rsid w:val="00B528E0"/>
    <w:rsid w:val="00B54F0A"/>
    <w:rsid w:val="00B57467"/>
    <w:rsid w:val="00B636CB"/>
    <w:rsid w:val="00B661AC"/>
    <w:rsid w:val="00B66FD8"/>
    <w:rsid w:val="00B90E20"/>
    <w:rsid w:val="00B937AE"/>
    <w:rsid w:val="00B94E8E"/>
    <w:rsid w:val="00BB1B76"/>
    <w:rsid w:val="00BB1DC6"/>
    <w:rsid w:val="00BB50D5"/>
    <w:rsid w:val="00BD1C53"/>
    <w:rsid w:val="00BD7C4E"/>
    <w:rsid w:val="00BD7F83"/>
    <w:rsid w:val="00BE1799"/>
    <w:rsid w:val="00BE46FE"/>
    <w:rsid w:val="00BE6548"/>
    <w:rsid w:val="00BE738D"/>
    <w:rsid w:val="00BF241C"/>
    <w:rsid w:val="00C00A3D"/>
    <w:rsid w:val="00C03C09"/>
    <w:rsid w:val="00C04BAF"/>
    <w:rsid w:val="00C12D68"/>
    <w:rsid w:val="00C15E45"/>
    <w:rsid w:val="00C16C65"/>
    <w:rsid w:val="00C17F84"/>
    <w:rsid w:val="00C21F7E"/>
    <w:rsid w:val="00C2373D"/>
    <w:rsid w:val="00C31450"/>
    <w:rsid w:val="00C5205B"/>
    <w:rsid w:val="00C54F1B"/>
    <w:rsid w:val="00C57BA2"/>
    <w:rsid w:val="00C60FDA"/>
    <w:rsid w:val="00C62011"/>
    <w:rsid w:val="00C640FA"/>
    <w:rsid w:val="00C661AF"/>
    <w:rsid w:val="00C66C4E"/>
    <w:rsid w:val="00C673C8"/>
    <w:rsid w:val="00C705EC"/>
    <w:rsid w:val="00C70A97"/>
    <w:rsid w:val="00C7558F"/>
    <w:rsid w:val="00C76831"/>
    <w:rsid w:val="00C932B1"/>
    <w:rsid w:val="00C96FFF"/>
    <w:rsid w:val="00CC67D0"/>
    <w:rsid w:val="00CD129C"/>
    <w:rsid w:val="00CD61CE"/>
    <w:rsid w:val="00CD6F6B"/>
    <w:rsid w:val="00CD7CA9"/>
    <w:rsid w:val="00CE150D"/>
    <w:rsid w:val="00CE57D4"/>
    <w:rsid w:val="00CF27A5"/>
    <w:rsid w:val="00CF526A"/>
    <w:rsid w:val="00D02293"/>
    <w:rsid w:val="00D0304C"/>
    <w:rsid w:val="00D04100"/>
    <w:rsid w:val="00D115D4"/>
    <w:rsid w:val="00D1318E"/>
    <w:rsid w:val="00D2501E"/>
    <w:rsid w:val="00D25CF9"/>
    <w:rsid w:val="00D30D08"/>
    <w:rsid w:val="00D35D8A"/>
    <w:rsid w:val="00D371EB"/>
    <w:rsid w:val="00D404FD"/>
    <w:rsid w:val="00D427E2"/>
    <w:rsid w:val="00D46841"/>
    <w:rsid w:val="00D53CD5"/>
    <w:rsid w:val="00D55552"/>
    <w:rsid w:val="00D64AD4"/>
    <w:rsid w:val="00D654FD"/>
    <w:rsid w:val="00D668F7"/>
    <w:rsid w:val="00D7067A"/>
    <w:rsid w:val="00D71CB0"/>
    <w:rsid w:val="00D73DB6"/>
    <w:rsid w:val="00D82356"/>
    <w:rsid w:val="00D83FDA"/>
    <w:rsid w:val="00D860EC"/>
    <w:rsid w:val="00D862D2"/>
    <w:rsid w:val="00D967A3"/>
    <w:rsid w:val="00DA0380"/>
    <w:rsid w:val="00DA1CC9"/>
    <w:rsid w:val="00DA49AD"/>
    <w:rsid w:val="00DA50E9"/>
    <w:rsid w:val="00DA5736"/>
    <w:rsid w:val="00DA5E7B"/>
    <w:rsid w:val="00DA6B0A"/>
    <w:rsid w:val="00DB3C0A"/>
    <w:rsid w:val="00DB52D7"/>
    <w:rsid w:val="00DE0BB0"/>
    <w:rsid w:val="00DE33D3"/>
    <w:rsid w:val="00DE5BCE"/>
    <w:rsid w:val="00DF24A1"/>
    <w:rsid w:val="00E101E5"/>
    <w:rsid w:val="00E11ADF"/>
    <w:rsid w:val="00E14DEC"/>
    <w:rsid w:val="00E21EEE"/>
    <w:rsid w:val="00E241B5"/>
    <w:rsid w:val="00E24555"/>
    <w:rsid w:val="00E2652A"/>
    <w:rsid w:val="00E27E7B"/>
    <w:rsid w:val="00E376F6"/>
    <w:rsid w:val="00E439FE"/>
    <w:rsid w:val="00E507C7"/>
    <w:rsid w:val="00E545E7"/>
    <w:rsid w:val="00E5542F"/>
    <w:rsid w:val="00E655E9"/>
    <w:rsid w:val="00E776A0"/>
    <w:rsid w:val="00E77FC2"/>
    <w:rsid w:val="00E85945"/>
    <w:rsid w:val="00E907E4"/>
    <w:rsid w:val="00E91560"/>
    <w:rsid w:val="00E918C6"/>
    <w:rsid w:val="00E91EFE"/>
    <w:rsid w:val="00E95B36"/>
    <w:rsid w:val="00EA10EC"/>
    <w:rsid w:val="00EB0B6F"/>
    <w:rsid w:val="00EB34BB"/>
    <w:rsid w:val="00EB3F9A"/>
    <w:rsid w:val="00EC240D"/>
    <w:rsid w:val="00EC26B3"/>
    <w:rsid w:val="00EC3165"/>
    <w:rsid w:val="00EC512A"/>
    <w:rsid w:val="00EC7896"/>
    <w:rsid w:val="00EF26A8"/>
    <w:rsid w:val="00EF27CC"/>
    <w:rsid w:val="00EF6470"/>
    <w:rsid w:val="00F0011D"/>
    <w:rsid w:val="00F003DA"/>
    <w:rsid w:val="00F0089A"/>
    <w:rsid w:val="00F00D1E"/>
    <w:rsid w:val="00F0274B"/>
    <w:rsid w:val="00F02814"/>
    <w:rsid w:val="00F06F8E"/>
    <w:rsid w:val="00F10820"/>
    <w:rsid w:val="00F120F3"/>
    <w:rsid w:val="00F12754"/>
    <w:rsid w:val="00F154C2"/>
    <w:rsid w:val="00F2093F"/>
    <w:rsid w:val="00F21BF8"/>
    <w:rsid w:val="00F32D11"/>
    <w:rsid w:val="00F33ED3"/>
    <w:rsid w:val="00F354E8"/>
    <w:rsid w:val="00F457B9"/>
    <w:rsid w:val="00F5510B"/>
    <w:rsid w:val="00F55888"/>
    <w:rsid w:val="00F60091"/>
    <w:rsid w:val="00F66097"/>
    <w:rsid w:val="00F73F53"/>
    <w:rsid w:val="00F74AD7"/>
    <w:rsid w:val="00F75257"/>
    <w:rsid w:val="00F758CD"/>
    <w:rsid w:val="00F8741B"/>
    <w:rsid w:val="00F915E7"/>
    <w:rsid w:val="00F97A03"/>
    <w:rsid w:val="00FA1FE4"/>
    <w:rsid w:val="00FA2F0E"/>
    <w:rsid w:val="00FA3603"/>
    <w:rsid w:val="00FA5455"/>
    <w:rsid w:val="00FC6111"/>
    <w:rsid w:val="00FD2195"/>
    <w:rsid w:val="00FE0B74"/>
    <w:rsid w:val="00FE3748"/>
    <w:rsid w:val="00FE6667"/>
    <w:rsid w:val="00FE7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A58"/>
  <w15:docId w15:val="{F8F695DA-2B2E-41EB-B791-BB0D607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D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30D08"/>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D30D08"/>
    <w:pPr>
      <w:tabs>
        <w:tab w:val="center" w:pos="4819"/>
        <w:tab w:val="right" w:pos="9638"/>
      </w:tabs>
    </w:pPr>
  </w:style>
  <w:style w:type="character" w:customStyle="1" w:styleId="HeaderChar">
    <w:name w:val="Header Char"/>
    <w:basedOn w:val="DefaultParagraphFont"/>
    <w:link w:val="Header"/>
    <w:uiPriority w:val="99"/>
    <w:rsid w:val="00D30D08"/>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D30D08"/>
    <w:pPr>
      <w:jc w:val="center"/>
    </w:pPr>
    <w:rPr>
      <w:b/>
      <w:bCs/>
      <w:lang w:eastAsia="en-US"/>
    </w:rPr>
  </w:style>
  <w:style w:type="character" w:customStyle="1" w:styleId="BodyTextChar">
    <w:name w:val="Body Text Char"/>
    <w:basedOn w:val="DefaultParagraphFont"/>
    <w:link w:val="BodyText"/>
    <w:semiHidden/>
    <w:rsid w:val="00D30D08"/>
    <w:rPr>
      <w:rFonts w:ascii="Times New Roman" w:eastAsia="Times New Roman" w:hAnsi="Times New Roman" w:cs="Times New Roman"/>
      <w:b/>
      <w:bCs/>
      <w:sz w:val="24"/>
      <w:szCs w:val="24"/>
    </w:rPr>
  </w:style>
  <w:style w:type="paragraph" w:styleId="ListParagraph">
    <w:name w:val="List Paragraph"/>
    <w:basedOn w:val="Normal"/>
    <w:uiPriority w:val="34"/>
    <w:qFormat/>
    <w:rsid w:val="00D30D08"/>
    <w:pPr>
      <w:ind w:left="720"/>
      <w:contextualSpacing/>
    </w:pPr>
  </w:style>
  <w:style w:type="paragraph" w:customStyle="1" w:styleId="Sraopastraipa1">
    <w:name w:val="Sąrašo pastraipa1"/>
    <w:basedOn w:val="Normal"/>
    <w:rsid w:val="00122450"/>
    <w:pPr>
      <w:spacing w:after="200" w:line="276" w:lineRule="auto"/>
      <w:ind w:left="720"/>
      <w:contextualSpacing/>
    </w:pPr>
    <w:rPr>
      <w:sz w:val="22"/>
      <w:szCs w:val="22"/>
      <w:lang w:eastAsia="en-US"/>
    </w:rPr>
  </w:style>
  <w:style w:type="paragraph" w:styleId="CommentText">
    <w:name w:val="annotation text"/>
    <w:basedOn w:val="Normal"/>
    <w:link w:val="CommentTextChar"/>
    <w:uiPriority w:val="99"/>
    <w:semiHidden/>
    <w:unhideWhenUsed/>
    <w:rsid w:val="007E7654"/>
    <w:rPr>
      <w:sz w:val="20"/>
      <w:szCs w:val="20"/>
    </w:rPr>
  </w:style>
  <w:style w:type="character" w:customStyle="1" w:styleId="CommentTextChar">
    <w:name w:val="Comment Text Char"/>
    <w:basedOn w:val="DefaultParagraphFont"/>
    <w:link w:val="CommentText"/>
    <w:uiPriority w:val="99"/>
    <w:semiHidden/>
    <w:rsid w:val="007E765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7654"/>
    <w:rPr>
      <w:rFonts w:ascii="Times New Roman" w:eastAsia="Times New Roman" w:hAnsi="Times New Roman" w:cs="Times New Roman"/>
      <w:b/>
      <w:bCs/>
      <w:sz w:val="20"/>
      <w:szCs w:val="20"/>
      <w:lang w:eastAsia="lt-LT"/>
    </w:rPr>
  </w:style>
  <w:style w:type="character" w:styleId="CommentReference">
    <w:name w:val="annotation reference"/>
    <w:basedOn w:val="DefaultParagraphFont"/>
    <w:uiPriority w:val="99"/>
    <w:semiHidden/>
    <w:unhideWhenUsed/>
    <w:rsid w:val="00FE6667"/>
    <w:rPr>
      <w:sz w:val="16"/>
      <w:szCs w:val="16"/>
    </w:rPr>
  </w:style>
  <w:style w:type="paragraph" w:styleId="BalloonText">
    <w:name w:val="Balloon Text"/>
    <w:basedOn w:val="Normal"/>
    <w:link w:val="BalloonTextChar"/>
    <w:uiPriority w:val="99"/>
    <w:semiHidden/>
    <w:unhideWhenUsed/>
    <w:rsid w:val="00FE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7"/>
    <w:rPr>
      <w:rFonts w:ascii="Segoe UI" w:eastAsia="Times New Roman" w:hAnsi="Segoe UI" w:cs="Segoe UI"/>
      <w:sz w:val="18"/>
      <w:szCs w:val="18"/>
      <w:lang w:eastAsia="lt-LT"/>
    </w:rPr>
  </w:style>
  <w:style w:type="paragraph" w:styleId="DocumentMap">
    <w:name w:val="Document Map"/>
    <w:basedOn w:val="Normal"/>
    <w:link w:val="DocumentMapChar"/>
    <w:uiPriority w:val="99"/>
    <w:semiHidden/>
    <w:unhideWhenUsed/>
    <w:rsid w:val="00DB52D7"/>
    <w:rPr>
      <w:rFonts w:ascii="Tahoma" w:hAnsi="Tahoma" w:cs="Tahoma"/>
      <w:sz w:val="16"/>
      <w:szCs w:val="16"/>
    </w:rPr>
  </w:style>
  <w:style w:type="character" w:customStyle="1" w:styleId="DocumentMapChar">
    <w:name w:val="Document Map Char"/>
    <w:basedOn w:val="DefaultParagraphFont"/>
    <w:link w:val="DocumentMap"/>
    <w:uiPriority w:val="99"/>
    <w:semiHidden/>
    <w:rsid w:val="00DB52D7"/>
    <w:rPr>
      <w:rFonts w:ascii="Tahoma" w:eastAsia="Times New Roman" w:hAnsi="Tahoma" w:cs="Tahoma"/>
      <w:sz w:val="16"/>
      <w:szCs w:val="16"/>
      <w:lang w:eastAsia="lt-LT"/>
    </w:rPr>
  </w:style>
  <w:style w:type="paragraph" w:styleId="Footer">
    <w:name w:val="footer"/>
    <w:basedOn w:val="Normal"/>
    <w:link w:val="FooterChar"/>
    <w:uiPriority w:val="99"/>
    <w:unhideWhenUsed/>
    <w:rsid w:val="007308D5"/>
    <w:pPr>
      <w:tabs>
        <w:tab w:val="center" w:pos="4819"/>
        <w:tab w:val="right" w:pos="9638"/>
      </w:tabs>
    </w:pPr>
  </w:style>
  <w:style w:type="character" w:customStyle="1" w:styleId="FooterChar">
    <w:name w:val="Footer Char"/>
    <w:basedOn w:val="DefaultParagraphFont"/>
    <w:link w:val="Footer"/>
    <w:uiPriority w:val="99"/>
    <w:rsid w:val="007308D5"/>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25296"/>
    <w:rPr>
      <w:b/>
      <w:bCs/>
    </w:rPr>
  </w:style>
  <w:style w:type="paragraph" w:customStyle="1" w:styleId="prastasis1">
    <w:name w:val="Įprastasis1"/>
    <w:basedOn w:val="Normal"/>
    <w:rsid w:val="005E4CDB"/>
    <w:pPr>
      <w:spacing w:before="120"/>
      <w:jc w:val="both"/>
    </w:pPr>
  </w:style>
  <w:style w:type="paragraph" w:styleId="PlainText">
    <w:name w:val="Plain Text"/>
    <w:basedOn w:val="Normal"/>
    <w:link w:val="PlainTextChar"/>
    <w:uiPriority w:val="99"/>
    <w:semiHidden/>
    <w:unhideWhenUsed/>
    <w:rsid w:val="0039069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90698"/>
    <w:rPr>
      <w:rFonts w:ascii="Calibri" w:hAnsi="Calibri"/>
      <w:szCs w:val="21"/>
    </w:rPr>
  </w:style>
  <w:style w:type="character" w:customStyle="1" w:styleId="FootnoteTextChar">
    <w:name w:val="Footnote Text Char"/>
    <w:basedOn w:val="DefaultParagraphFont"/>
    <w:link w:val="FootnoteText"/>
    <w:uiPriority w:val="99"/>
    <w:semiHidden/>
    <w:qFormat/>
    <w:rsid w:val="000B0AFC"/>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0B0AFC"/>
    <w:pPr>
      <w:suppressAutoHyphens/>
    </w:pPr>
    <w:rPr>
      <w:sz w:val="20"/>
      <w:szCs w:val="20"/>
      <w:lang w:val="en-US" w:eastAsia="en-US"/>
    </w:rPr>
  </w:style>
  <w:style w:type="character" w:customStyle="1" w:styleId="FootnoteTextChar1">
    <w:name w:val="Footnote Text Char1"/>
    <w:basedOn w:val="DefaultParagraphFont"/>
    <w:uiPriority w:val="99"/>
    <w:semiHidden/>
    <w:rsid w:val="000B0AFC"/>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0B0AFC"/>
    <w:rPr>
      <w:color w:val="0000FF" w:themeColor="hyperlink"/>
      <w:u w:val="single"/>
    </w:rPr>
  </w:style>
  <w:style w:type="character" w:styleId="FootnoteReference">
    <w:name w:val="footnote reference"/>
    <w:basedOn w:val="DefaultParagraphFont"/>
    <w:uiPriority w:val="99"/>
    <w:semiHidden/>
    <w:unhideWhenUsed/>
    <w:rsid w:val="000B0AFC"/>
    <w:rPr>
      <w:vertAlign w:val="superscript"/>
    </w:rPr>
  </w:style>
  <w:style w:type="paragraph" w:customStyle="1" w:styleId="tajtip">
    <w:name w:val="tajtip"/>
    <w:basedOn w:val="Normal"/>
    <w:rsid w:val="00CE150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90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249">
          <w:marLeft w:val="547"/>
          <w:marRight w:val="0"/>
          <w:marTop w:val="154"/>
          <w:marBottom w:val="0"/>
          <w:divBdr>
            <w:top w:val="none" w:sz="0" w:space="0" w:color="auto"/>
            <w:left w:val="none" w:sz="0" w:space="0" w:color="auto"/>
            <w:bottom w:val="none" w:sz="0" w:space="0" w:color="auto"/>
            <w:right w:val="none" w:sz="0" w:space="0" w:color="auto"/>
          </w:divBdr>
        </w:div>
        <w:div w:id="505872799">
          <w:marLeft w:val="547"/>
          <w:marRight w:val="0"/>
          <w:marTop w:val="154"/>
          <w:marBottom w:val="0"/>
          <w:divBdr>
            <w:top w:val="none" w:sz="0" w:space="0" w:color="auto"/>
            <w:left w:val="none" w:sz="0" w:space="0" w:color="auto"/>
            <w:bottom w:val="none" w:sz="0" w:space="0" w:color="auto"/>
            <w:right w:val="none" w:sz="0" w:space="0" w:color="auto"/>
          </w:divBdr>
        </w:div>
        <w:div w:id="2127960844">
          <w:marLeft w:val="547"/>
          <w:marRight w:val="0"/>
          <w:marTop w:val="154"/>
          <w:marBottom w:val="0"/>
          <w:divBdr>
            <w:top w:val="none" w:sz="0" w:space="0" w:color="auto"/>
            <w:left w:val="none" w:sz="0" w:space="0" w:color="auto"/>
            <w:bottom w:val="none" w:sz="0" w:space="0" w:color="auto"/>
            <w:right w:val="none" w:sz="0" w:space="0" w:color="auto"/>
          </w:divBdr>
        </w:div>
        <w:div w:id="11611874">
          <w:marLeft w:val="547"/>
          <w:marRight w:val="0"/>
          <w:marTop w:val="154"/>
          <w:marBottom w:val="0"/>
          <w:divBdr>
            <w:top w:val="none" w:sz="0" w:space="0" w:color="auto"/>
            <w:left w:val="none" w:sz="0" w:space="0" w:color="auto"/>
            <w:bottom w:val="none" w:sz="0" w:space="0" w:color="auto"/>
            <w:right w:val="none" w:sz="0" w:space="0" w:color="auto"/>
          </w:divBdr>
        </w:div>
        <w:div w:id="202787672">
          <w:marLeft w:val="547"/>
          <w:marRight w:val="0"/>
          <w:marTop w:val="154"/>
          <w:marBottom w:val="0"/>
          <w:divBdr>
            <w:top w:val="none" w:sz="0" w:space="0" w:color="auto"/>
            <w:left w:val="none" w:sz="0" w:space="0" w:color="auto"/>
            <w:bottom w:val="none" w:sz="0" w:space="0" w:color="auto"/>
            <w:right w:val="none" w:sz="0" w:space="0" w:color="auto"/>
          </w:divBdr>
        </w:div>
      </w:divsChild>
    </w:div>
    <w:div w:id="290013009">
      <w:bodyDiv w:val="1"/>
      <w:marLeft w:val="0"/>
      <w:marRight w:val="0"/>
      <w:marTop w:val="0"/>
      <w:marBottom w:val="0"/>
      <w:divBdr>
        <w:top w:val="none" w:sz="0" w:space="0" w:color="auto"/>
        <w:left w:val="none" w:sz="0" w:space="0" w:color="auto"/>
        <w:bottom w:val="none" w:sz="0" w:space="0" w:color="auto"/>
        <w:right w:val="none" w:sz="0" w:space="0" w:color="auto"/>
      </w:divBdr>
      <w:divsChild>
        <w:div w:id="1149591846">
          <w:marLeft w:val="547"/>
          <w:marRight w:val="0"/>
          <w:marTop w:val="154"/>
          <w:marBottom w:val="0"/>
          <w:divBdr>
            <w:top w:val="none" w:sz="0" w:space="0" w:color="auto"/>
            <w:left w:val="none" w:sz="0" w:space="0" w:color="auto"/>
            <w:bottom w:val="none" w:sz="0" w:space="0" w:color="auto"/>
            <w:right w:val="none" w:sz="0" w:space="0" w:color="auto"/>
          </w:divBdr>
        </w:div>
        <w:div w:id="955908106">
          <w:marLeft w:val="547"/>
          <w:marRight w:val="0"/>
          <w:marTop w:val="154"/>
          <w:marBottom w:val="0"/>
          <w:divBdr>
            <w:top w:val="none" w:sz="0" w:space="0" w:color="auto"/>
            <w:left w:val="none" w:sz="0" w:space="0" w:color="auto"/>
            <w:bottom w:val="none" w:sz="0" w:space="0" w:color="auto"/>
            <w:right w:val="none" w:sz="0" w:space="0" w:color="auto"/>
          </w:divBdr>
        </w:div>
        <w:div w:id="435559342">
          <w:marLeft w:val="547"/>
          <w:marRight w:val="0"/>
          <w:marTop w:val="154"/>
          <w:marBottom w:val="0"/>
          <w:divBdr>
            <w:top w:val="none" w:sz="0" w:space="0" w:color="auto"/>
            <w:left w:val="none" w:sz="0" w:space="0" w:color="auto"/>
            <w:bottom w:val="none" w:sz="0" w:space="0" w:color="auto"/>
            <w:right w:val="none" w:sz="0" w:space="0" w:color="auto"/>
          </w:divBdr>
        </w:div>
        <w:div w:id="465858989">
          <w:marLeft w:val="547"/>
          <w:marRight w:val="0"/>
          <w:marTop w:val="154"/>
          <w:marBottom w:val="0"/>
          <w:divBdr>
            <w:top w:val="none" w:sz="0" w:space="0" w:color="auto"/>
            <w:left w:val="none" w:sz="0" w:space="0" w:color="auto"/>
            <w:bottom w:val="none" w:sz="0" w:space="0" w:color="auto"/>
            <w:right w:val="none" w:sz="0" w:space="0" w:color="auto"/>
          </w:divBdr>
        </w:div>
      </w:divsChild>
    </w:div>
    <w:div w:id="342099196">
      <w:bodyDiv w:val="1"/>
      <w:marLeft w:val="0"/>
      <w:marRight w:val="0"/>
      <w:marTop w:val="0"/>
      <w:marBottom w:val="0"/>
      <w:divBdr>
        <w:top w:val="none" w:sz="0" w:space="0" w:color="auto"/>
        <w:left w:val="none" w:sz="0" w:space="0" w:color="auto"/>
        <w:bottom w:val="none" w:sz="0" w:space="0" w:color="auto"/>
        <w:right w:val="none" w:sz="0" w:space="0" w:color="auto"/>
      </w:divBdr>
    </w:div>
    <w:div w:id="837578580">
      <w:bodyDiv w:val="1"/>
      <w:marLeft w:val="0"/>
      <w:marRight w:val="0"/>
      <w:marTop w:val="0"/>
      <w:marBottom w:val="0"/>
      <w:divBdr>
        <w:top w:val="none" w:sz="0" w:space="0" w:color="auto"/>
        <w:left w:val="none" w:sz="0" w:space="0" w:color="auto"/>
        <w:bottom w:val="none" w:sz="0" w:space="0" w:color="auto"/>
        <w:right w:val="none" w:sz="0" w:space="0" w:color="auto"/>
      </w:divBdr>
    </w:div>
    <w:div w:id="1046249397">
      <w:bodyDiv w:val="1"/>
      <w:marLeft w:val="0"/>
      <w:marRight w:val="0"/>
      <w:marTop w:val="0"/>
      <w:marBottom w:val="0"/>
      <w:divBdr>
        <w:top w:val="none" w:sz="0" w:space="0" w:color="auto"/>
        <w:left w:val="none" w:sz="0" w:space="0" w:color="auto"/>
        <w:bottom w:val="none" w:sz="0" w:space="0" w:color="auto"/>
        <w:right w:val="none" w:sz="0" w:space="0" w:color="auto"/>
      </w:divBdr>
      <w:divsChild>
        <w:div w:id="70811482">
          <w:marLeft w:val="547"/>
          <w:marRight w:val="0"/>
          <w:marTop w:val="154"/>
          <w:marBottom w:val="0"/>
          <w:divBdr>
            <w:top w:val="none" w:sz="0" w:space="0" w:color="auto"/>
            <w:left w:val="none" w:sz="0" w:space="0" w:color="auto"/>
            <w:bottom w:val="none" w:sz="0" w:space="0" w:color="auto"/>
            <w:right w:val="none" w:sz="0" w:space="0" w:color="auto"/>
          </w:divBdr>
        </w:div>
      </w:divsChild>
    </w:div>
    <w:div w:id="1144926839">
      <w:bodyDiv w:val="1"/>
      <w:marLeft w:val="0"/>
      <w:marRight w:val="0"/>
      <w:marTop w:val="0"/>
      <w:marBottom w:val="0"/>
      <w:divBdr>
        <w:top w:val="none" w:sz="0" w:space="0" w:color="auto"/>
        <w:left w:val="none" w:sz="0" w:space="0" w:color="auto"/>
        <w:bottom w:val="none" w:sz="0" w:space="0" w:color="auto"/>
        <w:right w:val="none" w:sz="0" w:space="0" w:color="auto"/>
      </w:divBdr>
    </w:div>
    <w:div w:id="1528255682">
      <w:bodyDiv w:val="1"/>
      <w:marLeft w:val="0"/>
      <w:marRight w:val="0"/>
      <w:marTop w:val="0"/>
      <w:marBottom w:val="0"/>
      <w:divBdr>
        <w:top w:val="none" w:sz="0" w:space="0" w:color="auto"/>
        <w:left w:val="none" w:sz="0" w:space="0" w:color="auto"/>
        <w:bottom w:val="none" w:sz="0" w:space="0" w:color="auto"/>
        <w:right w:val="none" w:sz="0" w:space="0" w:color="auto"/>
      </w:divBdr>
      <w:divsChild>
        <w:div w:id="566384582">
          <w:marLeft w:val="547"/>
          <w:marRight w:val="0"/>
          <w:marTop w:val="154"/>
          <w:marBottom w:val="0"/>
          <w:divBdr>
            <w:top w:val="none" w:sz="0" w:space="0" w:color="auto"/>
            <w:left w:val="none" w:sz="0" w:space="0" w:color="auto"/>
            <w:bottom w:val="none" w:sz="0" w:space="0" w:color="auto"/>
            <w:right w:val="none" w:sz="0" w:space="0" w:color="auto"/>
          </w:divBdr>
        </w:div>
      </w:divsChild>
    </w:div>
    <w:div w:id="1532499735">
      <w:bodyDiv w:val="1"/>
      <w:marLeft w:val="390"/>
      <w:marRight w:val="390"/>
      <w:marTop w:val="0"/>
      <w:marBottom w:val="0"/>
      <w:divBdr>
        <w:top w:val="none" w:sz="0" w:space="0" w:color="auto"/>
        <w:left w:val="none" w:sz="0" w:space="0" w:color="auto"/>
        <w:bottom w:val="none" w:sz="0" w:space="0" w:color="auto"/>
        <w:right w:val="none" w:sz="0" w:space="0" w:color="auto"/>
      </w:divBdr>
    </w:div>
    <w:div w:id="1568374275">
      <w:bodyDiv w:val="1"/>
      <w:marLeft w:val="0"/>
      <w:marRight w:val="0"/>
      <w:marTop w:val="0"/>
      <w:marBottom w:val="0"/>
      <w:divBdr>
        <w:top w:val="none" w:sz="0" w:space="0" w:color="auto"/>
        <w:left w:val="none" w:sz="0" w:space="0" w:color="auto"/>
        <w:bottom w:val="none" w:sz="0" w:space="0" w:color="auto"/>
        <w:right w:val="none" w:sz="0" w:space="0" w:color="auto"/>
      </w:divBdr>
      <w:divsChild>
        <w:div w:id="1435902784">
          <w:marLeft w:val="547"/>
          <w:marRight w:val="0"/>
          <w:marTop w:val="154"/>
          <w:marBottom w:val="0"/>
          <w:divBdr>
            <w:top w:val="none" w:sz="0" w:space="0" w:color="auto"/>
            <w:left w:val="none" w:sz="0" w:space="0" w:color="auto"/>
            <w:bottom w:val="none" w:sz="0" w:space="0" w:color="auto"/>
            <w:right w:val="none" w:sz="0" w:space="0" w:color="auto"/>
          </w:divBdr>
        </w:div>
      </w:divsChild>
    </w:div>
    <w:div w:id="1638876321">
      <w:bodyDiv w:val="1"/>
      <w:marLeft w:val="0"/>
      <w:marRight w:val="0"/>
      <w:marTop w:val="0"/>
      <w:marBottom w:val="0"/>
      <w:divBdr>
        <w:top w:val="none" w:sz="0" w:space="0" w:color="auto"/>
        <w:left w:val="none" w:sz="0" w:space="0" w:color="auto"/>
        <w:bottom w:val="none" w:sz="0" w:space="0" w:color="auto"/>
        <w:right w:val="none" w:sz="0" w:space="0" w:color="auto"/>
      </w:divBdr>
      <w:divsChild>
        <w:div w:id="514852824">
          <w:marLeft w:val="547"/>
          <w:marRight w:val="0"/>
          <w:marTop w:val="154"/>
          <w:marBottom w:val="0"/>
          <w:divBdr>
            <w:top w:val="none" w:sz="0" w:space="0" w:color="auto"/>
            <w:left w:val="none" w:sz="0" w:space="0" w:color="auto"/>
            <w:bottom w:val="none" w:sz="0" w:space="0" w:color="auto"/>
            <w:right w:val="none" w:sz="0" w:space="0" w:color="auto"/>
          </w:divBdr>
        </w:div>
      </w:divsChild>
    </w:div>
    <w:div w:id="1671712172">
      <w:bodyDiv w:val="1"/>
      <w:marLeft w:val="0"/>
      <w:marRight w:val="0"/>
      <w:marTop w:val="0"/>
      <w:marBottom w:val="0"/>
      <w:divBdr>
        <w:top w:val="none" w:sz="0" w:space="0" w:color="auto"/>
        <w:left w:val="none" w:sz="0" w:space="0" w:color="auto"/>
        <w:bottom w:val="none" w:sz="0" w:space="0" w:color="auto"/>
        <w:right w:val="none" w:sz="0" w:space="0" w:color="auto"/>
      </w:divBdr>
    </w:div>
    <w:div w:id="21393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9FC1-EEAA-441A-ABE5-C67EC82B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5072</Words>
  <Characters>28915</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2021-08-05T05:09:00Z</dcterms:created>
  <dc:creator>Jolita Meškelytė</dc:creator>
  <cp:lastModifiedBy>app10 app10</cp:lastModifiedBy>
  <cp:lastPrinted>2018-09-05T11:32:00Z</cp:lastPrinted>
  <dcterms:modified xsi:type="dcterms:W3CDTF">2021-08-05T05:09:00Z</dcterms:modified>
  <cp:revision>2</cp:revision>
</cp:coreProperties>
</file>