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08" w:rsidRPr="008424A7" w:rsidRDefault="001D6DEB" w:rsidP="00E31ECE">
      <w:pPr>
        <w:jc w:val="center"/>
        <w:rPr>
          <w:b/>
        </w:rPr>
      </w:pPr>
      <w:r w:rsidRPr="008424A7">
        <w:rPr>
          <w:rFonts w:eastAsia="Times New Roman"/>
          <w:b/>
          <w:bCs/>
          <w:color w:val="000000"/>
          <w:kern w:val="0"/>
          <w:lang w:eastAsia="en-US"/>
        </w:rPr>
        <w:t xml:space="preserve">LIETUVOS RESPUBLIKOS </w:t>
      </w:r>
      <w:r w:rsidR="006E2C89" w:rsidRPr="008424A7">
        <w:rPr>
          <w:b/>
          <w:bCs/>
        </w:rPr>
        <w:t xml:space="preserve">VYRIAUSYBĖS </w:t>
      </w:r>
      <w:r w:rsidR="006E2C89" w:rsidRPr="008424A7">
        <w:rPr>
          <w:b/>
          <w:bCs/>
          <w:caps/>
          <w:kern w:val="24"/>
        </w:rPr>
        <w:t>2006 m. lapkričio 24 d.</w:t>
      </w:r>
      <w:r w:rsidR="006E2C89" w:rsidRPr="008424A7">
        <w:rPr>
          <w:b/>
          <w:bCs/>
        </w:rPr>
        <w:t xml:space="preserve"> NUTARIMO </w:t>
      </w:r>
      <w:r w:rsidR="006E2C89" w:rsidRPr="008424A7">
        <w:rPr>
          <w:b/>
          <w:bCs/>
          <w:caps/>
          <w:kern w:val="24"/>
        </w:rPr>
        <w:t>Nr.</w:t>
      </w:r>
      <w:r w:rsidR="006E2C89" w:rsidRPr="008424A7">
        <w:rPr>
          <w:b/>
          <w:bCs/>
        </w:rPr>
        <w:t xml:space="preserve"> 1168 „DĖL APMOKESTINAMŲJŲ GAMINIŲ IR PAKUOČIŲ ATLIEKŲ NAUDOJIMO IR (AR) PERDIRBIMO UŽDUOČIŲ PATVIRTINIMO“ PAKEITIMO</w:t>
      </w:r>
      <w:r w:rsidR="006E2C89" w:rsidRPr="008424A7">
        <w:rPr>
          <w:b/>
        </w:rPr>
        <w:t xml:space="preserve"> </w:t>
      </w:r>
      <w:r w:rsidRPr="008424A7">
        <w:rPr>
          <w:b/>
        </w:rPr>
        <w:t>PROJEKT</w:t>
      </w:r>
      <w:r w:rsidR="00862884" w:rsidRPr="008424A7">
        <w:rPr>
          <w:b/>
        </w:rPr>
        <w:t>O</w:t>
      </w:r>
    </w:p>
    <w:p w:rsidR="0019422D" w:rsidRPr="008424A7" w:rsidRDefault="00D97334" w:rsidP="001D6DEB">
      <w:pPr>
        <w:jc w:val="center"/>
        <w:rPr>
          <w:b/>
          <w:kern w:val="24"/>
        </w:rPr>
      </w:pPr>
      <w:r w:rsidRPr="008424A7">
        <w:rPr>
          <w:b/>
        </w:rPr>
        <w:t>DERINIMO PAŽYMA</w:t>
      </w:r>
    </w:p>
    <w:p w:rsidR="00995008" w:rsidRPr="008424A7" w:rsidRDefault="00995008" w:rsidP="003168C3">
      <w:pPr>
        <w:rPr>
          <w:sz w:val="16"/>
          <w:szCs w:val="16"/>
        </w:rPr>
      </w:pPr>
    </w:p>
    <w:tbl>
      <w:tblPr>
        <w:tblStyle w:val="TableGrid"/>
        <w:tblW w:w="0" w:type="auto"/>
        <w:tblLook w:val="04A0" w:firstRow="1" w:lastRow="0" w:firstColumn="1" w:lastColumn="0" w:noHBand="0" w:noVBand="1"/>
      </w:tblPr>
      <w:tblGrid>
        <w:gridCol w:w="2235"/>
        <w:gridCol w:w="6378"/>
        <w:gridCol w:w="6740"/>
      </w:tblGrid>
      <w:tr w:rsidR="006408A4" w:rsidRPr="008424A7" w:rsidTr="008424A7">
        <w:tc>
          <w:tcPr>
            <w:tcW w:w="2235" w:type="dxa"/>
          </w:tcPr>
          <w:p w:rsidR="006408A4" w:rsidRPr="008424A7" w:rsidRDefault="006408A4" w:rsidP="006408A4">
            <w:pPr>
              <w:jc w:val="center"/>
              <w:rPr>
                <w:b/>
                <w:iCs/>
              </w:rPr>
            </w:pPr>
            <w:r w:rsidRPr="008424A7">
              <w:rPr>
                <w:b/>
                <w:iCs/>
              </w:rPr>
              <w:t>Institucija,</w:t>
            </w:r>
          </w:p>
          <w:p w:rsidR="006408A4" w:rsidRPr="008424A7" w:rsidRDefault="006408A4" w:rsidP="006408A4">
            <w:r w:rsidRPr="008424A7">
              <w:rPr>
                <w:b/>
                <w:iCs/>
              </w:rPr>
              <w:t>rašto data ir Nr.</w:t>
            </w:r>
          </w:p>
        </w:tc>
        <w:tc>
          <w:tcPr>
            <w:tcW w:w="6378" w:type="dxa"/>
          </w:tcPr>
          <w:p w:rsidR="006408A4" w:rsidRPr="008424A7" w:rsidRDefault="006408A4" w:rsidP="003168C3">
            <w:r w:rsidRPr="008424A7">
              <w:rPr>
                <w:rFonts w:eastAsia="Times New Roman"/>
                <w:b/>
                <w:lang w:eastAsia="ar-SA"/>
              </w:rPr>
              <w:t>Pastabos ir pasiūlymai</w:t>
            </w:r>
          </w:p>
        </w:tc>
        <w:tc>
          <w:tcPr>
            <w:tcW w:w="6740" w:type="dxa"/>
          </w:tcPr>
          <w:p w:rsidR="006408A4" w:rsidRPr="008424A7" w:rsidRDefault="006408A4" w:rsidP="003168C3">
            <w:r w:rsidRPr="008424A7">
              <w:rPr>
                <w:b/>
              </w:rPr>
              <w:t>Žyma apie pastabas ir pasiūlymus</w:t>
            </w:r>
          </w:p>
        </w:tc>
      </w:tr>
      <w:tr w:rsidR="006408A4" w:rsidRPr="008424A7" w:rsidTr="0095458D">
        <w:tc>
          <w:tcPr>
            <w:tcW w:w="2235" w:type="dxa"/>
          </w:tcPr>
          <w:p w:rsidR="006408A4" w:rsidRPr="008424A7" w:rsidRDefault="006408A4" w:rsidP="003168C3">
            <w:r w:rsidRPr="008424A7">
              <w:rPr>
                <w:rFonts w:eastAsia="Times New Roman"/>
                <w:kern w:val="0"/>
              </w:rPr>
              <w:t>Viešoji įstaiga „Užstato sistemos administratorius“ 2021-04-08 Nr. 2021/234</w:t>
            </w:r>
          </w:p>
        </w:tc>
        <w:tc>
          <w:tcPr>
            <w:tcW w:w="6378" w:type="dxa"/>
          </w:tcPr>
          <w:p w:rsidR="006408A4" w:rsidRPr="008424A7" w:rsidRDefault="006408A4" w:rsidP="006408A4">
            <w:pPr>
              <w:jc w:val="both"/>
            </w:pPr>
            <w:r w:rsidRPr="008424A7">
              <w:rPr>
                <w:rFonts w:eastAsia="Times New Roman"/>
                <w:kern w:val="0"/>
              </w:rPr>
              <w:t xml:space="preserve">90 proc. dydžio užduoties stiklinei </w:t>
            </w:r>
            <w:proofErr w:type="spellStart"/>
            <w:r w:rsidRPr="008424A7">
              <w:rPr>
                <w:rFonts w:eastAsia="Times New Roman"/>
                <w:kern w:val="0"/>
              </w:rPr>
              <w:t>užstatinei</w:t>
            </w:r>
            <w:proofErr w:type="spellEnd"/>
            <w:r w:rsidRPr="008424A7">
              <w:rPr>
                <w:rFonts w:eastAsia="Times New Roman"/>
                <w:kern w:val="0"/>
              </w:rPr>
              <w:t xml:space="preserve"> pakuotei taikymas nėra pagrįstas ir, kaip rodo, faktiniai duomenys, yra praktiškai neįgyvendinamas. Todėl, atsižvelgdami į visas aukščiau išdėstytas aplinkybes, </w:t>
            </w:r>
            <w:r w:rsidRPr="008424A7">
              <w:rPr>
                <w:rFonts w:eastAsia="Times New Roman"/>
                <w:bCs/>
                <w:kern w:val="0"/>
              </w:rPr>
              <w:t xml:space="preserve">prašome patikslinti Nutarimo projektą </w:t>
            </w:r>
            <w:r w:rsidRPr="008424A7">
              <w:rPr>
                <w:rFonts w:eastAsia="Times New Roman"/>
                <w:kern w:val="0"/>
              </w:rPr>
              <w:t>ir analogiškai kaip ir kitoms stiklinės pakuotės atliekoms taip ir užstatinės stiklinės pakuotės atliekoms nuo 2021 metų sumažinti nustatytą užduotį iki realaus, įgyvendinamo dydžio - 85 proc.</w:t>
            </w:r>
          </w:p>
        </w:tc>
        <w:tc>
          <w:tcPr>
            <w:tcW w:w="6740" w:type="dxa"/>
          </w:tcPr>
          <w:p w:rsidR="006408A4" w:rsidRPr="008424A7" w:rsidRDefault="006408A4" w:rsidP="006408A4">
            <w:pPr>
              <w:jc w:val="both"/>
              <w:rPr>
                <w:b/>
              </w:rPr>
            </w:pPr>
            <w:r w:rsidRPr="008424A7">
              <w:rPr>
                <w:b/>
              </w:rPr>
              <w:t>Atsižvelgta iš dalies.</w:t>
            </w:r>
          </w:p>
          <w:p w:rsidR="006408A4" w:rsidRPr="008424A7" w:rsidRDefault="006408A4" w:rsidP="006408A4">
            <w:pPr>
              <w:jc w:val="both"/>
            </w:pPr>
            <w:r w:rsidRPr="008424A7">
              <w:rPr>
                <w:color w:val="000000" w:themeColor="text1"/>
                <w:spacing w:val="2"/>
                <w:shd w:val="clear" w:color="auto" w:fill="FFFFFF"/>
              </w:rPr>
              <w:t xml:space="preserve">Atsižvelgiant į tai, kad </w:t>
            </w:r>
            <w:r w:rsidRPr="008424A7">
              <w:rPr>
                <w:rFonts w:eastAsia="Times New Roman"/>
                <w:kern w:val="0"/>
              </w:rPr>
              <w:t xml:space="preserve">stiklinės užstatinės pakuotės mažesnis grįžtamumas į užstato sistemą nėra susijęs su pačia užstato sistema ir (ar) užstato sistemos administratoriaus veiksmais, į užstato sistemą vartotojai stiklinės užstatinės pakuotės grąžina mažiau nei kitų rūšių pakuočių dėl objektyvių priežasčių: (1) stiklinė pakuotė dūžta; (2) stiklinės pakuotės turi popierines etiketes, ant kurių nurodomas brūkšninis kodas, tokios etiketės greičiau pažeidžiamos ir dėl to tampa neįmanoma identifikuoti pakuotės, kuri dalyvauja užstato sistemoje, ir atsižvelgiant į tai, kad VšĮ „Užstato sistemos administratorius“ siūloma nustatyti užduotis 2019 metais jau pasiekta (užstato sistemoje surinkta ir perdirbta 85 proc. stiklinių užstatinių pakuočių atliekų), siūloma nuo 2021 metų stiklinei </w:t>
            </w:r>
            <w:proofErr w:type="spellStart"/>
            <w:r w:rsidRPr="008424A7">
              <w:rPr>
                <w:rFonts w:eastAsia="Times New Roman"/>
                <w:kern w:val="0"/>
              </w:rPr>
              <w:t>užstatinei</w:t>
            </w:r>
            <w:proofErr w:type="spellEnd"/>
            <w:r w:rsidRPr="008424A7">
              <w:rPr>
                <w:rFonts w:eastAsia="Times New Roman"/>
                <w:kern w:val="0"/>
              </w:rPr>
              <w:t xml:space="preserve"> pakuotei nustatyti 88 proc. surinkimo ir perdirbimo užduotį.</w:t>
            </w:r>
          </w:p>
        </w:tc>
      </w:tr>
      <w:tr w:rsidR="008424A7" w:rsidRPr="008424A7" w:rsidTr="0095458D">
        <w:tc>
          <w:tcPr>
            <w:tcW w:w="2235" w:type="dxa"/>
            <w:vMerge w:val="restart"/>
          </w:tcPr>
          <w:p w:rsidR="008424A7" w:rsidRPr="008424A7" w:rsidRDefault="008424A7" w:rsidP="003168C3">
            <w:r w:rsidRPr="008424A7">
              <w:t>Lietuvos regioninių atliekų tvarkymo centrų asociacija 2021-04-15 Nr. IS-15</w:t>
            </w:r>
          </w:p>
        </w:tc>
        <w:tc>
          <w:tcPr>
            <w:tcW w:w="6378" w:type="dxa"/>
          </w:tcPr>
          <w:p w:rsidR="008424A7" w:rsidRPr="008424A7" w:rsidRDefault="008424A7" w:rsidP="006408A4">
            <w:pPr>
              <w:jc w:val="both"/>
            </w:pPr>
            <w:r w:rsidRPr="008424A7">
              <w:t>Nutarimo Nr. 1168 „Dėl apmokestinamųjų gaminių ir pakuočių atliekų naudojimo ir (ar) perdribimo užduočių patvirtinimo“ projekte (toliau – Nutarimo projektas) nustatomos atliekų naudojimo ir (ar) perdirbimo užduotys nėra ambicingos. Atsižvelgiant į tai, kad komunalinių atliekų šalinimo mažinimui sąvartynuose nustatytos ambicingesnės užduotys nei reikalaujama pagal Direktyvos 1999/31/EB 5 straipsnio 5 dalį, atliekų naudojimo ir (ar) perdirbimo užduotys turi būti nustatytos ambicingos.</w:t>
            </w:r>
          </w:p>
        </w:tc>
        <w:tc>
          <w:tcPr>
            <w:tcW w:w="6740" w:type="dxa"/>
          </w:tcPr>
          <w:p w:rsidR="008424A7" w:rsidRPr="008424A7" w:rsidRDefault="008424A7" w:rsidP="006408A4">
            <w:pPr>
              <w:jc w:val="both"/>
              <w:rPr>
                <w:b/>
              </w:rPr>
            </w:pPr>
            <w:r w:rsidRPr="008424A7">
              <w:rPr>
                <w:b/>
              </w:rPr>
              <w:t>Neatsižvelgta.</w:t>
            </w:r>
          </w:p>
          <w:p w:rsidR="008424A7" w:rsidRPr="008424A7" w:rsidRDefault="008424A7" w:rsidP="006408A4">
            <w:pPr>
              <w:jc w:val="both"/>
            </w:pPr>
            <w:r w:rsidRPr="008424A7">
              <w:t xml:space="preserve">Pakuočių atliekų naudojimo ir (ar) perdirbimo užduotys nustatomos siekiant įgyvendinti </w:t>
            </w:r>
            <w:r w:rsidRPr="008424A7">
              <w:rPr>
                <w:lang w:bidi="en-US"/>
              </w:rPr>
              <w:t xml:space="preserve">1994 m. Europos Parlamento ir Tarybos direktyvoje 94/62/EB dėl pakuočių ir pakuočių atliekų (toliau – Direktyva 94/62/EB) </w:t>
            </w:r>
            <w:r w:rsidRPr="008424A7">
              <w:t>nustatytus naudojimo ir perdirbimo tikslus pakuočių atliekoms, atsižvelgiant į pakuočių atliekų surinkimo problematiką ir pastarųjų metų atliekų surinkimo ir perdirbimo duomenis, todėl Nutarimo projekte vienoms atliekų rūšims nustatomos ambicingesnės, didesnės už Direktyvoje 94/62/EB nurodytas minimalias pakuočių atliekų perdirbimo užduotys, kitoms – minimalios Direktyvoje 94/62/EB nustatytos perdirbimo užduotys.</w:t>
            </w:r>
          </w:p>
        </w:tc>
      </w:tr>
      <w:tr w:rsidR="008424A7" w:rsidRPr="008424A7" w:rsidTr="0095458D">
        <w:tc>
          <w:tcPr>
            <w:tcW w:w="2235" w:type="dxa"/>
            <w:vMerge/>
          </w:tcPr>
          <w:p w:rsidR="008424A7" w:rsidRPr="008424A7" w:rsidRDefault="008424A7" w:rsidP="003168C3"/>
        </w:tc>
        <w:tc>
          <w:tcPr>
            <w:tcW w:w="6378" w:type="dxa"/>
          </w:tcPr>
          <w:p w:rsidR="008424A7" w:rsidRPr="008424A7" w:rsidRDefault="008424A7" w:rsidP="006408A4">
            <w:pPr>
              <w:jc w:val="both"/>
            </w:pPr>
            <w:r w:rsidRPr="008424A7">
              <w:t xml:space="preserve">Projekte nustatomos atliekų naudojimo ir (ar) perdirbimo užduotys neskatina komunalinių atliekų (didelių gabaritų bei kitų atliekų surinkimo aikštelėse surenkamų apmokestinamųjų gaminių ir pakuočių atliekų bei mechaninio rūšiavimo </w:t>
            </w:r>
            <w:r w:rsidRPr="008424A7">
              <w:lastRenderedPageBreak/>
              <w:t>įrenginiuose atkirtų pakuočių atliekų) perdirbimo ir finansavimo.</w:t>
            </w:r>
          </w:p>
        </w:tc>
        <w:tc>
          <w:tcPr>
            <w:tcW w:w="6740" w:type="dxa"/>
          </w:tcPr>
          <w:p w:rsidR="008424A7" w:rsidRPr="008424A7" w:rsidRDefault="008424A7" w:rsidP="006408A4">
            <w:pPr>
              <w:tabs>
                <w:tab w:val="left" w:pos="540"/>
              </w:tabs>
              <w:jc w:val="both"/>
              <w:rPr>
                <w:b/>
              </w:rPr>
            </w:pPr>
            <w:r w:rsidRPr="008424A7">
              <w:rPr>
                <w:b/>
              </w:rPr>
              <w:lastRenderedPageBreak/>
              <w:t>Atsižvelgta iš dalies.</w:t>
            </w:r>
          </w:p>
          <w:p w:rsidR="008424A7" w:rsidRPr="008424A7" w:rsidRDefault="008424A7" w:rsidP="006408A4">
            <w:pPr>
              <w:jc w:val="both"/>
            </w:pPr>
            <w:r w:rsidRPr="008424A7">
              <w:rPr>
                <w:lang w:eastAsia="ar-SA"/>
              </w:rPr>
              <w:t xml:space="preserve">Nutarimo projekte nustatoma, kad gamintojams ir importuotojams, kurie vienkartines pripildytas pakuotes, kurioms netaikoma užstato už vienkartines pakuotes sistema, tiekia Lietuvos Respublikos </w:t>
            </w:r>
            <w:r w:rsidRPr="008424A7">
              <w:rPr>
                <w:lang w:eastAsia="ar-SA"/>
              </w:rPr>
              <w:lastRenderedPageBreak/>
              <w:t xml:space="preserve">vidaus rinkai jas perleisdami kitiems </w:t>
            </w:r>
            <w:r w:rsidRPr="008424A7">
              <w:t>asmenims Lietuvos Respublikos teritorijoje, taikoma</w:t>
            </w:r>
            <w:r w:rsidRPr="008424A7">
              <w:rPr>
                <w:lang w:eastAsia="ar-SA"/>
              </w:rPr>
              <w:t xml:space="preserve"> užduotis finansuoti visų </w:t>
            </w:r>
            <w:r w:rsidRPr="008424A7">
              <w:t>pakuočių atliekų rūšiuojamąjį surinkimą</w:t>
            </w:r>
            <w:r w:rsidRPr="008424A7">
              <w:rPr>
                <w:b/>
              </w:rPr>
              <w:t xml:space="preserve"> </w:t>
            </w:r>
            <w:r w:rsidRPr="008424A7">
              <w:t xml:space="preserve">komunalinių atliekų tvarkymo sistemoje ir vežimą ir </w:t>
            </w:r>
            <w:r w:rsidRPr="008424A7">
              <w:rPr>
                <w:lang w:eastAsia="ar-SA"/>
              </w:rPr>
              <w:t xml:space="preserve">užtikrinti visų </w:t>
            </w:r>
            <w:r w:rsidRPr="008424A7">
              <w:rPr>
                <w:lang w:bidi="en-US"/>
              </w:rPr>
              <w:t xml:space="preserve">rūšiuojamuoju būdu </w:t>
            </w:r>
            <w:r w:rsidRPr="008424A7">
              <w:t>komunalinių atliekų tvarkymo sistemoje</w:t>
            </w:r>
            <w:r w:rsidRPr="008424A7">
              <w:rPr>
                <w:lang w:bidi="en-US"/>
              </w:rPr>
              <w:t xml:space="preserve"> surinktų pakuočių atliekų panaudojimą ir (ar) perdirbimą.</w:t>
            </w:r>
          </w:p>
        </w:tc>
      </w:tr>
      <w:tr w:rsidR="008424A7" w:rsidRPr="008424A7" w:rsidTr="0095458D">
        <w:tc>
          <w:tcPr>
            <w:tcW w:w="2235" w:type="dxa"/>
            <w:vMerge/>
          </w:tcPr>
          <w:p w:rsidR="008424A7" w:rsidRPr="008424A7" w:rsidRDefault="008424A7" w:rsidP="0095458D">
            <w:pPr>
              <w:jc w:val="both"/>
            </w:pPr>
          </w:p>
        </w:tc>
        <w:tc>
          <w:tcPr>
            <w:tcW w:w="6378" w:type="dxa"/>
          </w:tcPr>
          <w:p w:rsidR="008424A7" w:rsidRPr="008424A7" w:rsidRDefault="008424A7" w:rsidP="0095458D">
            <w:pPr>
              <w:jc w:val="both"/>
            </w:pPr>
            <w:r w:rsidRPr="008424A7">
              <w:t>Atsižvelgiant į tai, kad ateityje didės mokestis už sąvartynuose šalinamas atliekas bei atliekų deginimo kaina, projekte siūlomos nustatyti neambicingos užduotys įtakos komunalinių atliekų tvarkymo kaštų augimą bei padidins finansinę naštą gyventojams.</w:t>
            </w:r>
          </w:p>
        </w:tc>
        <w:tc>
          <w:tcPr>
            <w:tcW w:w="6740" w:type="dxa"/>
          </w:tcPr>
          <w:p w:rsidR="008424A7" w:rsidRPr="008424A7" w:rsidRDefault="008424A7" w:rsidP="0095458D">
            <w:pPr>
              <w:tabs>
                <w:tab w:val="left" w:pos="540"/>
              </w:tabs>
              <w:jc w:val="both"/>
              <w:rPr>
                <w:b/>
              </w:rPr>
            </w:pPr>
            <w:r w:rsidRPr="008424A7">
              <w:rPr>
                <w:b/>
              </w:rPr>
              <w:t>Atsižvelgta iš dalies.</w:t>
            </w:r>
          </w:p>
          <w:p w:rsidR="008424A7" w:rsidRPr="008424A7" w:rsidRDefault="008424A7" w:rsidP="0095458D">
            <w:pPr>
              <w:jc w:val="both"/>
            </w:pPr>
            <w:r w:rsidRPr="008424A7">
              <w:rPr>
                <w:lang w:eastAsia="ar-SA"/>
              </w:rPr>
              <w:t xml:space="preserve">Nutarimo projekte nustatoma, kad gamintojams ir importuotojams, kurie vienkartines pripildytas pakuotes, kurioms netaikoma užstato už vienkartines pakuotes sistema, tiekia Lietuvos Respublikos vidaus rinkai jas perleisdami kitiems </w:t>
            </w:r>
            <w:r w:rsidRPr="008424A7">
              <w:t>asmenims Lietuvos Respublikos teritorijoje, taikoma</w:t>
            </w:r>
            <w:r w:rsidRPr="008424A7">
              <w:rPr>
                <w:lang w:eastAsia="ar-SA"/>
              </w:rPr>
              <w:t xml:space="preserve"> užduotis finansuoti visų </w:t>
            </w:r>
            <w:r w:rsidRPr="008424A7">
              <w:rPr>
                <w:color w:val="000000"/>
              </w:rPr>
              <w:t>pakuočių atliekų rūšiuojamąjį surinkimą</w:t>
            </w:r>
            <w:r w:rsidRPr="008424A7">
              <w:rPr>
                <w:b/>
              </w:rPr>
              <w:t xml:space="preserve"> </w:t>
            </w:r>
            <w:r w:rsidRPr="008424A7">
              <w:t xml:space="preserve">komunalinių atliekų tvarkymo sistemoje ir vežimą ir </w:t>
            </w:r>
            <w:r w:rsidRPr="008424A7">
              <w:rPr>
                <w:lang w:eastAsia="ar-SA"/>
              </w:rPr>
              <w:t xml:space="preserve">užtikrinti visų </w:t>
            </w:r>
            <w:r w:rsidRPr="008424A7">
              <w:rPr>
                <w:lang w:bidi="en-US"/>
              </w:rPr>
              <w:t xml:space="preserve">rūšiuojamuoju būdu </w:t>
            </w:r>
            <w:r w:rsidRPr="008424A7">
              <w:t>komunalinių atliekų tvarkymo sistemoje</w:t>
            </w:r>
            <w:r w:rsidRPr="008424A7">
              <w:rPr>
                <w:lang w:bidi="en-US"/>
              </w:rPr>
              <w:t xml:space="preserve"> surinktų pakuočių atliekų panaudojimą ir (ar) perdirbimą, todėl nustatomos užduotys neįtakos komunalinių atliekų tvarkymo kaštų augimo ir nesudarys papildomos naštos gyventojams.</w:t>
            </w:r>
          </w:p>
        </w:tc>
      </w:tr>
      <w:tr w:rsidR="006408A4" w:rsidRPr="008424A7" w:rsidTr="0095458D">
        <w:tc>
          <w:tcPr>
            <w:tcW w:w="2235" w:type="dxa"/>
          </w:tcPr>
          <w:p w:rsidR="006408A4" w:rsidRPr="008424A7" w:rsidRDefault="006408A4" w:rsidP="0095458D">
            <w:pPr>
              <w:jc w:val="both"/>
            </w:pPr>
            <w:r w:rsidRPr="008424A7">
              <w:t>UAB „Kauno švara“ 2021-04</w:t>
            </w:r>
          </w:p>
        </w:tc>
        <w:tc>
          <w:tcPr>
            <w:tcW w:w="6378" w:type="dxa"/>
          </w:tcPr>
          <w:p w:rsidR="006408A4" w:rsidRPr="008424A7" w:rsidRDefault="006408A4" w:rsidP="0095458D">
            <w:pPr>
              <w:tabs>
                <w:tab w:val="left" w:pos="567"/>
                <w:tab w:val="left" w:pos="993"/>
              </w:tabs>
              <w:contextualSpacing/>
              <w:jc w:val="both"/>
              <w:rPr>
                <w:bCs/>
                <w:shd w:val="clear" w:color="auto" w:fill="FFFFFF"/>
              </w:rPr>
            </w:pPr>
            <w:r w:rsidRPr="008424A7">
              <w:rPr>
                <w:bCs/>
                <w:color w:val="000000"/>
                <w:shd w:val="clear" w:color="auto" w:fill="FFFFFF"/>
              </w:rPr>
              <w:t>N</w:t>
            </w:r>
            <w:r w:rsidRPr="008424A7">
              <w:rPr>
                <w:bCs/>
                <w:shd w:val="clear" w:color="auto" w:fill="FFFFFF"/>
              </w:rPr>
              <w:t>uo 2025 metų gamintojams ir importuotojams palikti galimybę tam tikrą pakuočių atliekų dalį sutvarkyti jas naudojant*.</w:t>
            </w:r>
          </w:p>
          <w:p w:rsidR="006408A4" w:rsidRPr="008424A7" w:rsidRDefault="006408A4" w:rsidP="0095458D">
            <w:pPr>
              <w:jc w:val="both"/>
            </w:pPr>
            <w:r w:rsidRPr="008424A7">
              <w:t>* „naudojimas“ – bet kokia operacija, kurios pagrindinis rezultatas yra atliekų panaudojimas naudingu tikslu, pakeičiant jomis kitas medžiagas, kurios priešingu atveju būtų buvusios panaudotos konkrečiai funkcijai atlikti, arba kurios rezultatas yra tai, kad atliekos parengiamos tai funkcijai atlikti, įmonėje ar visoje ekonomikoje.</w:t>
            </w:r>
          </w:p>
        </w:tc>
        <w:tc>
          <w:tcPr>
            <w:tcW w:w="6740" w:type="dxa"/>
          </w:tcPr>
          <w:p w:rsidR="006408A4" w:rsidRPr="008424A7" w:rsidRDefault="006408A4" w:rsidP="0095458D">
            <w:pPr>
              <w:jc w:val="both"/>
              <w:rPr>
                <w:b/>
              </w:rPr>
            </w:pPr>
            <w:r w:rsidRPr="008424A7">
              <w:rPr>
                <w:b/>
              </w:rPr>
              <w:t>Neatsižvelgta.</w:t>
            </w:r>
          </w:p>
          <w:p w:rsidR="006408A4" w:rsidRPr="008424A7" w:rsidRDefault="006408A4" w:rsidP="0095458D">
            <w:pPr>
              <w:jc w:val="both"/>
            </w:pPr>
            <w:r w:rsidRPr="008424A7">
              <w:t>Siekiant teisingai įgyvendinti Direktyvos 94/62/EB reikalavimus ir atsižvelgiant į tai, kad Direktyvos 94/62/EB 6 straipsnio f ir h dalyse pakuočių atliekų (pagal svorį) numatoma kiek pakuočių turi būti perdirbama, nenumatant užduočių kitokiam pakuočių atliekų sutvarkymo būdui, Nutarimo projekte nuo 2025 metų taip pat nustatomas pakuočių atliekų sutvarkymo būdas – perdirbimas.</w:t>
            </w:r>
          </w:p>
        </w:tc>
      </w:tr>
      <w:tr w:rsidR="008424A7" w:rsidRPr="008424A7" w:rsidTr="0095458D">
        <w:tc>
          <w:tcPr>
            <w:tcW w:w="2235" w:type="dxa"/>
            <w:vMerge w:val="restart"/>
          </w:tcPr>
          <w:p w:rsidR="008424A7" w:rsidRPr="008424A7" w:rsidRDefault="008424A7" w:rsidP="003168C3">
            <w:r w:rsidRPr="008424A7">
              <w:t>UAB „VAATC“ 2021-04-15 Nr. 1.13-20/</w:t>
            </w:r>
          </w:p>
        </w:tc>
        <w:tc>
          <w:tcPr>
            <w:tcW w:w="6378" w:type="dxa"/>
          </w:tcPr>
          <w:p w:rsidR="008424A7" w:rsidRPr="008424A7" w:rsidRDefault="008424A7" w:rsidP="0095458D">
            <w:pPr>
              <w:jc w:val="both"/>
            </w:pPr>
            <w:r w:rsidRPr="008424A7">
              <w:rPr>
                <w:lang w:bidi="en-US"/>
              </w:rPr>
              <w:t xml:space="preserve">Direktyvos 94/62/EB 6 straipsnio 1 dalies f ir h punktuose nustatoma, kad valstybės narės turi imtis priemonių, kad iki nustatytų terminų būtų perdirbama nustatyta dalis </w:t>
            </w:r>
            <w:r w:rsidRPr="008424A7">
              <w:rPr>
                <w:u w:val="single"/>
                <w:lang w:bidi="en-US"/>
              </w:rPr>
              <w:t>visų pakuočių atliekų</w:t>
            </w:r>
            <w:r w:rsidRPr="008424A7">
              <w:rPr>
                <w:lang w:bidi="en-US"/>
              </w:rPr>
              <w:t xml:space="preserve"> („ne vėliau kaip 2025 m. gruodžio 31 d. mažiausiai 65 % visų pakuočių atliekų (pagal svorį)“; „ne vėliau kaip 2030 m. gruodžio 31 d. mažiausiai 70 % visų pakuočių atliekų (pagal svorį)“). Pastebėtina, kad Nutarimo projekte, kaip ir nurodyta jo lydraštyje, pakuočių perdirbimo </w:t>
            </w:r>
            <w:r w:rsidRPr="008424A7">
              <w:rPr>
                <w:lang w:bidi="en-US"/>
              </w:rPr>
              <w:lastRenderedPageBreak/>
              <w:t xml:space="preserve">užduotys nustatomos atsižvelgiant į Direktyvos g ir i punktų papunkčiuose nustatytas užduotis, kurios nustatytos </w:t>
            </w:r>
            <w:r w:rsidRPr="008424A7">
              <w:rPr>
                <w:u w:val="single"/>
                <w:lang w:bidi="en-US"/>
              </w:rPr>
              <w:t>pakuočių atliekose esančių medžiagų</w:t>
            </w:r>
            <w:r w:rsidRPr="008424A7">
              <w:rPr>
                <w:lang w:bidi="en-US"/>
              </w:rPr>
              <w:t xml:space="preserve"> atžvilgiu. Atkreipiant dėmesį į tai, kad pakuočių atliekų perdirbimas ir pakuočių atliekose esančių medžiagų perdirbimas nėra tapatūs dalykai, Nutarimo projekto rengėjams siūlytina pagrįsti Nutarimo projekto atitikimą Direktyvos 94/62/EB) 6 straipsnio 1 dalies  f ir h punktams.</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pPr>
            <w:r w:rsidRPr="008424A7">
              <w:rPr>
                <w:lang w:bidi="en-US"/>
              </w:rPr>
              <w:t xml:space="preserve">Direktyvos 94/62/EB 6 straipsnio 1 dalies f ir h punktuose nustatomas bendras tikslas visam pakuočių atliekų srautui („visų pakuočių atliekų“). Kalbant apie tam tikras pakuočių atliekų rūšis, Direktyvoje naudojamas terminas „pakuočių atliekose esančių medžiagų“, kuris suprantamas kaip pakuotės rūšį pagal medžiagų kilmę nurodantis terminas. Kadangi pakuočių atliekų naudojimo ir (ar) perdirbimo užduotys nustatomos kiekvienai pakuotės rūšiai </w:t>
            </w:r>
            <w:r w:rsidRPr="008424A7">
              <w:rPr>
                <w:lang w:bidi="en-US"/>
              </w:rPr>
              <w:lastRenderedPageBreak/>
              <w:t>atskirai, tikslinga užduotis nustatyti atsižvelgiant į Direktyvos 6 straipsnio 1 dalies g ir i punktų papunkčiuose nustatytus tikslus.</w:t>
            </w:r>
          </w:p>
        </w:tc>
      </w:tr>
      <w:tr w:rsidR="008424A7" w:rsidRPr="008424A7" w:rsidTr="008424A7">
        <w:tc>
          <w:tcPr>
            <w:tcW w:w="2235" w:type="dxa"/>
            <w:vMerge/>
          </w:tcPr>
          <w:p w:rsidR="008424A7" w:rsidRPr="008424A7" w:rsidRDefault="008424A7" w:rsidP="003168C3"/>
        </w:tc>
        <w:tc>
          <w:tcPr>
            <w:tcW w:w="6378" w:type="dxa"/>
          </w:tcPr>
          <w:p w:rsidR="008424A7" w:rsidRPr="008424A7" w:rsidRDefault="008424A7" w:rsidP="0095458D">
            <w:pPr>
              <w:jc w:val="both"/>
            </w:pPr>
            <w:r w:rsidRPr="008424A7">
              <w:rPr>
                <w:lang w:bidi="en-US"/>
              </w:rPr>
              <w:t xml:space="preserve">Nutarimo projekte siūloma nustatyti, kad jame įtvirtintos pakuočių atliekų panaudojimo ir (ar) perdirbimo užduotys skaičiuojamos procentais, atsižvelgiant į tiektų Lietuvos Respublikos vidaus rinkai vienkartinių pakuočių kiekį, ir vadovaujantis Direktyvoje 94/62/EB nustatytas siektinas užduotis. Pastebėtina, kad Direktyvos 94/62/EB 6 straipsnio 1 dalies f–i punktuose nustatytos užduotys apima visas pakuotes ir tik 5 straipsnio 2 dalyje numatytos 6 straipsnio 1 dalies f–i punktuose nustatytų tikslų koregavimo atsižvelgiant į pakuočių pakartotinio naudojimo mastą taisyklės. Manytina, jog, pasirinkus siūlomą įtvirtinti užduočių nuo rinkai tiektų vienkartinių pakuočių skaičiavimą ir jam pritariant kaip skatinančiam daugkartinių pakuočių naudojimą, siekiant užtikrinti Direktyvos 94/62/EB užduočių įgyvendinimą, Nutarimo projekte nustatomos užduotys turi būti padidinamos atsižvelgiant į rinkai tiekiamų daugkartinių pakuočių kiekį. Taip pat Direktyvos 94/62/EB 5 straipsnyje akcentuojama būtinybė imtis priemonių, kurios skatintų didinti rinkai pateiktų daugkartinių pakuočių ir pakartotinio pakuočių naudojimo sistemų procentinę dalį, tame tarpe ir koreguojant šios direktyvos 6 straipsnio 1 dalies f–i punktuose nustatytas užduotis. Pastebėtina, kad atsižvelgiant į tai, kad Lietuvos Respublikos atliekų tvarkymo įstatymo (toliau – Atliekų tvarkymo įstatymas) 2 straipsnio 50 dalyje pakartotinis naudojimas apibrėžiamas kaip veikla, kai prie atliekų nepriskiriami produktai ar jų sudedamosios dalys vėl naudojami tam pačiam tikslui, kuriam buvo sukurti, pakuočių pakartotinis naudojimas negali būti įskaičiuojamas kaip įvykdytos gaminių </w:t>
            </w:r>
            <w:r w:rsidRPr="008424A7">
              <w:rPr>
                <w:lang w:bidi="en-US"/>
              </w:rPr>
              <w:lastRenderedPageBreak/>
              <w:t>ir (ar) pakuočių atliekų naudojimo ir (ar) perdirbimo užduoties dalis pagal Lietuvos Respublikos mokesčio už aplinkos teršimą įstatymo 6 straipsnio 4 dalį (,,Mokesčio mokėtojai atleidžiami nuo mokesčio už aplinkos teršimą gaminių ir (ar) pakuočių atliekomis už tą gaminių ar pripildytų pakuočių kiekį, kuris proporcingas įvykdytos gaminių ir (ar) pakuočių atliekų naudojimo ir (ar) perdirbimo užduoties daliai.“). Atsižvelgiant į tai, Nutarimo projektą siūlytina tobulinti mažinant jame nustatytas pakuočių perdirbimo ir (ar) naudojimo užduotis pakartotinai panaudotų pakuočių kiekiu.</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pPr>
            <w:r w:rsidRPr="008424A7">
              <w:t xml:space="preserve">Direktyvoje 94/62/EB 5 straipsnio 2 dalyje nustatytos 6 straipsnio 1 dalies f-i punktuose nustatytų koreguotinų siektinų rodiklių apskaičiavimas, kuris taikomas Valstybės nariai </w:t>
            </w:r>
            <w:r w:rsidRPr="008424A7">
              <w:rPr>
                <w:u w:val="single"/>
              </w:rPr>
              <w:t>nusprendus atitinkamais metais</w:t>
            </w:r>
            <w:r w:rsidRPr="008424A7">
              <w:t xml:space="preserve"> koreguoti nustatytus tikslus, atsižvelgiant į daugkartinių prekinių pakuočių, pirmą kartą pateiktų rinkai ir pakartotinai panaudotų taikant pakuočių pakartotinio naudojimo sistemą, vidutinę procentinę dalį, per praėjusius trejus metus. Atsižvelgiant į tai, kad šis nustatytų pakuočių atliekų naudojimo ir (ar) perdirbimo užduočių koregavimo procesas galimas atskiru valstybės narės nutarimu </w:t>
            </w:r>
            <w:r w:rsidRPr="008424A7">
              <w:rPr>
                <w:i/>
              </w:rPr>
              <w:t>atitinkamais metais</w:t>
            </w:r>
            <w:r w:rsidRPr="008424A7">
              <w:t>, manytina, kad užduočių padidinimas/mažinimas atsižvelgiant į rinkai teikiamų daugkartinių pakuočių kiekį nuo 2021 m. neatitiktų Direktyvoje 94/62/EB numatytos galimybės vykdyti koregavimo procesą atitinkamais metais.</w:t>
            </w:r>
          </w:p>
        </w:tc>
      </w:tr>
      <w:tr w:rsidR="008424A7" w:rsidRPr="008424A7" w:rsidTr="00EE54C4">
        <w:trPr>
          <w:trHeight w:val="5520"/>
        </w:trPr>
        <w:tc>
          <w:tcPr>
            <w:tcW w:w="2235" w:type="dxa"/>
          </w:tcPr>
          <w:p w:rsidR="008424A7" w:rsidRPr="008424A7" w:rsidRDefault="008424A7" w:rsidP="003168C3">
            <w:r w:rsidRPr="008424A7">
              <w:lastRenderedPageBreak/>
              <w:t>Lietuvos Respublikos ekonomikos ir inovacijų ministerija 2021-04 Nr. (4.6-82Mr)-</w:t>
            </w:r>
          </w:p>
        </w:tc>
        <w:tc>
          <w:tcPr>
            <w:tcW w:w="6378" w:type="dxa"/>
          </w:tcPr>
          <w:p w:rsidR="008424A7" w:rsidRPr="008424A7" w:rsidRDefault="008424A7" w:rsidP="00F30A71">
            <w:pPr>
              <w:jc w:val="both"/>
            </w:pPr>
            <w:r w:rsidRPr="008424A7">
              <w:t xml:space="preserve">Nutarimo projektu, įvertinus pastarųjų metų plastikinių ir metalinių pakuočių tiekimo vidaus rinkai ir atliekų tvarkymo duomenis, siūloma nustatyti didesnes nei nurodytos Direktyvoje (ES) 2018/852 minimalias pakuočių perdirbimo užduotis: plastikinių pakuočių: nuo 2025 metų – 65 proc., nuo 2030 metų – 70 proc., metalinės (juodųjų metalų) pakuotės: nuo 2025 metų – 75 proc., nuo 2030 metų – 85 proc., metalinės (aliuminio) pakuotės: nuo 2025 metų – 55 proc., nuo 2030 metų – 65 proc. (Nutarimo projektu tvirtinamų Gaminių ir pakuočių atliekų naudojimo ir (ar) perdirbimo užduočių (toliau – Užduotys) 7 punktas ir 12–13 punktai. Ekonomikos ir inovacijų ministerijos nuomone, tokie Užduotimis nustatyti perdirbimo rodikliai, viršijantys Direktyvos </w:t>
            </w:r>
            <w:r w:rsidRPr="008424A7">
              <w:rPr>
                <w:bCs/>
              </w:rPr>
              <w:t>1 straipsnio 5 dalies a punkte</w:t>
            </w:r>
            <w:r w:rsidRPr="008424A7">
              <w:rPr>
                <w:b/>
              </w:rPr>
              <w:t xml:space="preserve"> </w:t>
            </w:r>
            <w:r w:rsidRPr="008424A7">
              <w:t>nurodytus minimalius perdirbimo rodiklius, gali turėti įtakos laisvam prekių – gaminių, supakuotų šiose pakuotėse, – judėjimui</w:t>
            </w:r>
            <w:r w:rsidRPr="008424A7">
              <w:rPr>
                <w:b/>
                <w:bCs/>
              </w:rPr>
              <w:t xml:space="preserve"> </w:t>
            </w:r>
            <w:r w:rsidRPr="008424A7">
              <w:t>vidaus rinkoje</w:t>
            </w:r>
            <w:r w:rsidRPr="008424A7">
              <w:rPr>
                <w:b/>
                <w:bCs/>
              </w:rPr>
              <w:t xml:space="preserve"> </w:t>
            </w:r>
            <w:r w:rsidRPr="008424A7">
              <w:t xml:space="preserve">(Užduotys bus taikomos Lietuvos rinkai tiekiamiems plastikinėse ir metalinėse pakuotėse supakuotiems gaminiams nepriklausomai nuo to, ar šie gaminiai būtų pagaminti ir supakuoti Lietuvoje, ar kitose Europos Sąjungos valstybėse narėse), todėl turėtų būti iš anksto notifikuoti Europos Komisijai ir kitoms Europos Sąjungos valstybėms narėms laikantis 2015 m. rugsėjo 9 d. Europos Parlamento ir Tarybos direktyvoje (ES) 2015/1535, kuria nustatoma informacijos apie techninius reglamentus ir informacinės visuomenės paslaugų taisykles teikimo tvarka, </w:t>
            </w:r>
            <w:r w:rsidRPr="008424A7">
              <w:lastRenderedPageBreak/>
              <w:t>nustatytų reikalavimų ir vadovaujantis ją įgyvendinančiu Lietuvos Respublikos Vyriausybės 1999 m. gegužės 20 d. nutarimu Nr. 617 „Dėl Informacijos apie techninius reglamentus ir atitikties įvertinimo procedūras teikimo taisyklių patvirtinimo“. Europos Komisija, gavusi Lietuvos notifikaciją, turėtų įvertinti, ar Nutarimo projektu tvirtinamų Užduočių 7 ir 12–13 punktai neprieštarauja bendrosioms prekybos nuostatoms, įtvirtintoms Sutartyje dėl Europos Sąjungos veikimo.</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rPr>
                <w:b/>
              </w:rPr>
            </w:pPr>
            <w:r w:rsidRPr="008424A7">
              <w:t>Nutarimu nenustatomi reikalavimai produktams (pvz., kokius reikalavimus atitinkantys produktai gali būti tiekiami Lietuvos rinkai). Šiuo nutarimu nustatomos nacionalinės pakuočių atliekų tvarkymo užduotys Direktyvoje 94/62/EB, kuri pakeista Direktyva (ES) 2018/852, nurodytiems tikslams (užduotims) pasiekti.</w:t>
            </w:r>
          </w:p>
          <w:p w:rsidR="008424A7" w:rsidRPr="008424A7" w:rsidRDefault="008424A7" w:rsidP="0095458D">
            <w:pPr>
              <w:jc w:val="both"/>
            </w:pPr>
            <w:r w:rsidRPr="008424A7">
              <w:t xml:space="preserve">Direktyvos 94/62/EB 6 straipsnio 1 dalies f ir h punktuose nustatyta, kad ne vėliau kaip 2025 m. gruodžio 31 d. </w:t>
            </w:r>
            <w:r w:rsidR="003033A8" w:rsidRPr="008424A7">
              <w:t xml:space="preserve">turi būti perdirbama </w:t>
            </w:r>
            <w:r w:rsidRPr="008424A7">
              <w:t xml:space="preserve">mažiausiai 65 % </w:t>
            </w:r>
            <w:r w:rsidRPr="008424A7">
              <w:rPr>
                <w:u w:val="single"/>
              </w:rPr>
              <w:t>visų pakuočių</w:t>
            </w:r>
            <w:r w:rsidRPr="008424A7">
              <w:t xml:space="preserve"> atliekų (pagal svorį) ir ne vėliau kaip 2030 m. gruodžio 31 d. </w:t>
            </w:r>
            <w:r w:rsidR="003033A8">
              <w:t xml:space="preserve">– </w:t>
            </w:r>
            <w:r w:rsidRPr="008424A7">
              <w:t xml:space="preserve">mažiausiai 70 % </w:t>
            </w:r>
            <w:r w:rsidRPr="008424A7">
              <w:rPr>
                <w:u w:val="single"/>
              </w:rPr>
              <w:t>visų pakuočių</w:t>
            </w:r>
            <w:r w:rsidRPr="008424A7">
              <w:t xml:space="preserve"> atliekų (pagal svorį) turi būti perdirbama, t. y. </w:t>
            </w:r>
            <w:r w:rsidR="003033A8">
              <w:t xml:space="preserve">nustatyta, </w:t>
            </w:r>
            <w:r w:rsidRPr="008424A7">
              <w:t>kokia mažiausia dalis visų rūšių rinkai patiektų pakuočių (bendrai sudėjus) atliekų turi būti perdirbta. Vadinasi, Nutarimo projektu nustatomomis užduotimis pagal pakuočių rūšis reikia pasiekti ir visoms pakuočių atliekoms Direktyvoje 94/62/EB nustatytą bendrą minimalią užduotį. Nutarimo projektu nustačius tik minimalias Direktyvoje 94/62/EB atskiroms pakuočių rūšims nustatytas perdirbimo užduotis, įvertinus tokių pakuočių tiekimo rinkai duomenis, nebūtų pasiekiama visų rūšių pakuočių atliekų perdirbimui Direktyvoje 94/62/EB nustatyta minimali užduotis.</w:t>
            </w:r>
          </w:p>
          <w:p w:rsidR="008424A7" w:rsidRPr="008424A7" w:rsidRDefault="008424A7" w:rsidP="0095458D">
            <w:pPr>
              <w:jc w:val="both"/>
            </w:pPr>
            <w:r w:rsidRPr="008424A7">
              <w:t xml:space="preserve">Taigi, Direktyvoje 94/62/EB nustatyta, kokį </w:t>
            </w:r>
            <w:r w:rsidRPr="003033A8">
              <w:rPr>
                <w:u w:val="single"/>
              </w:rPr>
              <w:t>mažiausią</w:t>
            </w:r>
            <w:r w:rsidRPr="008424A7">
              <w:t xml:space="preserve"> pakuočių atliekų perdirbimo lygį turi pasiekti valstybės narės, tačiau nenustatyta viršutinė </w:t>
            </w:r>
            <w:r w:rsidR="003033A8">
              <w:t xml:space="preserve">galima </w:t>
            </w:r>
            <w:r w:rsidRPr="008424A7">
              <w:t xml:space="preserve">perdirbimo </w:t>
            </w:r>
            <w:r w:rsidRPr="008424A7">
              <w:rPr>
                <w:shd w:val="clear" w:color="auto" w:fill="FFFFFF"/>
              </w:rPr>
              <w:t xml:space="preserve">užduoties </w:t>
            </w:r>
            <w:r w:rsidR="003033A8">
              <w:rPr>
                <w:shd w:val="clear" w:color="auto" w:fill="FFFFFF"/>
              </w:rPr>
              <w:t xml:space="preserve">dydžio </w:t>
            </w:r>
            <w:r w:rsidRPr="008424A7">
              <w:rPr>
                <w:shd w:val="clear" w:color="auto" w:fill="FFFFFF"/>
              </w:rPr>
              <w:t xml:space="preserve">riba. Todėl manytina, kad valstybės narėms suteikta teisė, atsižvelgiant į faktinę šalies situaciją (pakuočių tiekimo rinkai statistiką) ir </w:t>
            </w:r>
            <w:r w:rsidRPr="008424A7">
              <w:rPr>
                <w:shd w:val="clear" w:color="auto" w:fill="FFFFFF"/>
              </w:rPr>
              <w:lastRenderedPageBreak/>
              <w:t xml:space="preserve">siekiant pasiekti </w:t>
            </w:r>
            <w:r w:rsidRPr="008424A7">
              <w:t xml:space="preserve">Direktyvoje 94/62/EB nustatytą </w:t>
            </w:r>
            <w:r w:rsidRPr="008424A7">
              <w:rPr>
                <w:shd w:val="clear" w:color="auto" w:fill="FFFFFF"/>
              </w:rPr>
              <w:t xml:space="preserve">minimalų visų pakuočių perdirbimo tikslą, atskiroms pakuočių rūšims atitinkamai nustatyti didesnio dydžio perdirbimo užduotis už </w:t>
            </w:r>
            <w:r w:rsidRPr="008424A7">
              <w:t>Direktyvoje 94/62/EB</w:t>
            </w:r>
            <w:r w:rsidRPr="008424A7">
              <w:rPr>
                <w:shd w:val="clear" w:color="auto" w:fill="FFFFFF"/>
              </w:rPr>
              <w:t xml:space="preserve"> numatytas minimalias užduotis atskiroms pakuočių rūšims</w:t>
            </w:r>
            <w:r w:rsidRPr="008424A7">
              <w:t>.</w:t>
            </w:r>
          </w:p>
          <w:p w:rsidR="008424A7" w:rsidRPr="008424A7" w:rsidRDefault="008424A7" w:rsidP="0099731C">
            <w:pPr>
              <w:jc w:val="both"/>
            </w:pPr>
            <w:r w:rsidRPr="008424A7">
              <w:t>Be to, informuodama Europos Komisiją apie Direktyvos (ES) 2018/852 perkėlimo eigą, Aplinkos ministerija nurodė tiek apie planuojamus nutarimo projektu patvirtinti pakuočių atliekų perdirbimo užduočių dydžius, tiek apie terminą, kada toks nutarimas turėtų būti priimtas. Tačiau negautas pranešimas iš Europos Komisijos, kad tokios užduotys prieštarauja</w:t>
            </w:r>
            <w:r w:rsidR="0099731C">
              <w:t xml:space="preserve"> </w:t>
            </w:r>
            <w:r w:rsidRPr="008424A7">
              <w:t>/</w:t>
            </w:r>
            <w:r w:rsidR="0099731C">
              <w:t xml:space="preserve"> </w:t>
            </w:r>
            <w:r w:rsidRPr="008424A7">
              <w:t>gali prieštarauti bendrosioms prekybos nuostatoms, įtvirtintoms Sutartyje dėl Europos Sąjungos veikimo, ir (ar) kad nutarimo projektas laikytinas techniniu reglamentu ir kad šiame nutarimo projekte numatytų užduočių patvirtinimo procesas atitinkamai turėtų būti sustabdytas</w:t>
            </w:r>
            <w:r w:rsidR="0099731C">
              <w:t>,</w:t>
            </w:r>
            <w:r w:rsidRPr="008424A7">
              <w:t xml:space="preserve"> ir turėtų būti vykdomas jame nurodytų užduočių </w:t>
            </w:r>
            <w:proofErr w:type="spellStart"/>
            <w:r w:rsidRPr="008424A7">
              <w:t>notifikavimas</w:t>
            </w:r>
            <w:proofErr w:type="spellEnd"/>
            <w:r w:rsidRPr="008424A7">
              <w:t xml:space="preserve"> vadovaujantis </w:t>
            </w:r>
            <w:r w:rsidR="0099731C" w:rsidRPr="008424A7">
              <w:t>2015 m. rugsėjo 9 d. Europos Parlamento ir Tarybos direktyv</w:t>
            </w:r>
            <w:r w:rsidR="0099731C">
              <w:t>a</w:t>
            </w:r>
            <w:bookmarkStart w:id="0" w:name="_GoBack"/>
            <w:bookmarkEnd w:id="0"/>
            <w:r w:rsidR="0099731C" w:rsidRPr="008424A7">
              <w:t xml:space="preserve"> (ES) 2015/1535, kuria nustatoma informacijos apie techninius reglamentus ir informacinės visuomenės paslaugų taisykles teikimo tvarka</w:t>
            </w:r>
            <w:r w:rsidRPr="008424A7">
              <w:t>.</w:t>
            </w:r>
          </w:p>
        </w:tc>
      </w:tr>
    </w:tbl>
    <w:p w:rsidR="003817CB" w:rsidRPr="008424A7" w:rsidRDefault="003817CB">
      <w:pPr>
        <w:rPr>
          <w:sz w:val="16"/>
          <w:szCs w:val="16"/>
        </w:rPr>
      </w:pPr>
    </w:p>
    <w:sectPr w:rsidR="003817CB" w:rsidRPr="008424A7" w:rsidSect="002D542B">
      <w:headerReference w:type="default" r:id="rId9"/>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40" w:rsidRDefault="007E4740" w:rsidP="002D542B">
      <w:r>
        <w:separator/>
      </w:r>
    </w:p>
  </w:endnote>
  <w:endnote w:type="continuationSeparator" w:id="0">
    <w:p w:rsidR="007E4740" w:rsidRDefault="007E4740"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40" w:rsidRDefault="007E4740" w:rsidP="002D542B">
      <w:r>
        <w:separator/>
      </w:r>
    </w:p>
  </w:footnote>
  <w:footnote w:type="continuationSeparator" w:id="0">
    <w:p w:rsidR="007E4740" w:rsidRDefault="007E4740"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40" w:rsidRDefault="007E4740">
    <w:pPr>
      <w:pStyle w:val="Header"/>
      <w:jc w:val="center"/>
    </w:pPr>
    <w:r>
      <w:fldChar w:fldCharType="begin"/>
    </w:r>
    <w:r>
      <w:instrText xml:space="preserve"> PAGE   \* MERGEFORMAT </w:instrText>
    </w:r>
    <w:r>
      <w:fldChar w:fldCharType="separate"/>
    </w:r>
    <w:r w:rsidR="0099731C">
      <w:rPr>
        <w:noProof/>
      </w:rPr>
      <w:t>5</w:t>
    </w:r>
    <w:r>
      <w:rPr>
        <w:noProof/>
      </w:rPr>
      <w:fldChar w:fldCharType="end"/>
    </w:r>
  </w:p>
  <w:p w:rsidR="007E4740" w:rsidRDefault="007E4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E05A99"/>
    <w:multiLevelType w:val="multilevel"/>
    <w:tmpl w:val="A42843DC"/>
    <w:lvl w:ilvl="0">
      <w:start w:val="3"/>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2569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287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2C5E75"/>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7">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313D3F"/>
    <w:multiLevelType w:val="hybridMultilevel"/>
    <w:tmpl w:val="217CD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BEC3F55"/>
    <w:multiLevelType w:val="hybridMultilevel"/>
    <w:tmpl w:val="9D649B16"/>
    <w:lvl w:ilvl="0" w:tplc="219E2A82">
      <w:start w:val="1"/>
      <w:numFmt w:val="decimal"/>
      <w:lvlText w:val="%1."/>
      <w:lvlJc w:val="left"/>
      <w:pPr>
        <w:ind w:left="156" w:hanging="727"/>
        <w:jc w:val="right"/>
      </w:pPr>
      <w:rPr>
        <w:rFonts w:hint="default"/>
        <w:spacing w:val="-1"/>
        <w:w w:val="96"/>
        <w:lang w:val="lt-LT" w:eastAsia="en-US" w:bidi="ar-SA"/>
      </w:rPr>
    </w:lvl>
    <w:lvl w:ilvl="1" w:tplc="3F38A7CA">
      <w:numFmt w:val="bullet"/>
      <w:lvlText w:val="•"/>
      <w:lvlJc w:val="left"/>
      <w:pPr>
        <w:ind w:left="1184" w:hanging="727"/>
      </w:pPr>
      <w:rPr>
        <w:rFonts w:hint="default"/>
        <w:lang w:val="lt-LT" w:eastAsia="en-US" w:bidi="ar-SA"/>
      </w:rPr>
    </w:lvl>
    <w:lvl w:ilvl="2" w:tplc="70A603C4">
      <w:numFmt w:val="bullet"/>
      <w:lvlText w:val="•"/>
      <w:lvlJc w:val="left"/>
      <w:pPr>
        <w:ind w:left="2208" w:hanging="727"/>
      </w:pPr>
      <w:rPr>
        <w:rFonts w:hint="default"/>
        <w:lang w:val="lt-LT" w:eastAsia="en-US" w:bidi="ar-SA"/>
      </w:rPr>
    </w:lvl>
    <w:lvl w:ilvl="3" w:tplc="E49AAE34">
      <w:numFmt w:val="bullet"/>
      <w:lvlText w:val="•"/>
      <w:lvlJc w:val="left"/>
      <w:pPr>
        <w:ind w:left="3232" w:hanging="727"/>
      </w:pPr>
      <w:rPr>
        <w:rFonts w:hint="default"/>
        <w:lang w:val="lt-LT" w:eastAsia="en-US" w:bidi="ar-SA"/>
      </w:rPr>
    </w:lvl>
    <w:lvl w:ilvl="4" w:tplc="819CD07C">
      <w:numFmt w:val="bullet"/>
      <w:lvlText w:val="•"/>
      <w:lvlJc w:val="left"/>
      <w:pPr>
        <w:ind w:left="4256" w:hanging="727"/>
      </w:pPr>
      <w:rPr>
        <w:rFonts w:hint="default"/>
        <w:lang w:val="lt-LT" w:eastAsia="en-US" w:bidi="ar-SA"/>
      </w:rPr>
    </w:lvl>
    <w:lvl w:ilvl="5" w:tplc="AB627B56">
      <w:numFmt w:val="bullet"/>
      <w:lvlText w:val="•"/>
      <w:lvlJc w:val="left"/>
      <w:pPr>
        <w:ind w:left="5280" w:hanging="727"/>
      </w:pPr>
      <w:rPr>
        <w:rFonts w:hint="default"/>
        <w:lang w:val="lt-LT" w:eastAsia="en-US" w:bidi="ar-SA"/>
      </w:rPr>
    </w:lvl>
    <w:lvl w:ilvl="6" w:tplc="261A40FC">
      <w:numFmt w:val="bullet"/>
      <w:lvlText w:val="•"/>
      <w:lvlJc w:val="left"/>
      <w:pPr>
        <w:ind w:left="6304" w:hanging="727"/>
      </w:pPr>
      <w:rPr>
        <w:rFonts w:hint="default"/>
        <w:lang w:val="lt-LT" w:eastAsia="en-US" w:bidi="ar-SA"/>
      </w:rPr>
    </w:lvl>
    <w:lvl w:ilvl="7" w:tplc="84869BE6">
      <w:numFmt w:val="bullet"/>
      <w:lvlText w:val="•"/>
      <w:lvlJc w:val="left"/>
      <w:pPr>
        <w:ind w:left="7328" w:hanging="727"/>
      </w:pPr>
      <w:rPr>
        <w:rFonts w:hint="default"/>
        <w:lang w:val="lt-LT" w:eastAsia="en-US" w:bidi="ar-SA"/>
      </w:rPr>
    </w:lvl>
    <w:lvl w:ilvl="8" w:tplc="629C5B70">
      <w:numFmt w:val="bullet"/>
      <w:lvlText w:val="•"/>
      <w:lvlJc w:val="left"/>
      <w:pPr>
        <w:ind w:left="8352" w:hanging="727"/>
      </w:pPr>
      <w:rPr>
        <w:rFonts w:hint="default"/>
        <w:lang w:val="lt-LT" w:eastAsia="en-US" w:bidi="ar-SA"/>
      </w:rPr>
    </w:lvl>
  </w:abstractNum>
  <w:abstractNum w:abstractNumId="11">
    <w:nsid w:val="2C394EB4"/>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12">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502FAD"/>
    <w:multiLevelType w:val="hybridMultilevel"/>
    <w:tmpl w:val="5CB4C5D6"/>
    <w:lvl w:ilvl="0" w:tplc="0D664D3C">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CE13682"/>
    <w:multiLevelType w:val="hybridMultilevel"/>
    <w:tmpl w:val="CC1AB494"/>
    <w:lvl w:ilvl="0" w:tplc="2B0CDF08">
      <w:start w:val="2"/>
      <w:numFmt w:val="decimal"/>
      <w:lvlText w:val="%1."/>
      <w:lvlJc w:val="left"/>
      <w:pPr>
        <w:ind w:left="1326" w:hanging="230"/>
        <w:jc w:val="right"/>
      </w:pPr>
      <w:rPr>
        <w:rFonts w:hint="default"/>
        <w:spacing w:val="-1"/>
        <w:w w:val="73"/>
        <w:lang w:val="lt-LT" w:eastAsia="en-US" w:bidi="ar-SA"/>
      </w:rPr>
    </w:lvl>
    <w:lvl w:ilvl="1" w:tplc="E626D954">
      <w:numFmt w:val="bullet"/>
      <w:lvlText w:val="•"/>
      <w:lvlJc w:val="left"/>
      <w:pPr>
        <w:ind w:left="2304" w:hanging="230"/>
      </w:pPr>
      <w:rPr>
        <w:rFonts w:hint="default"/>
        <w:lang w:val="lt-LT" w:eastAsia="en-US" w:bidi="ar-SA"/>
      </w:rPr>
    </w:lvl>
    <w:lvl w:ilvl="2" w:tplc="2B04BBB8">
      <w:numFmt w:val="bullet"/>
      <w:lvlText w:val="•"/>
      <w:lvlJc w:val="left"/>
      <w:pPr>
        <w:ind w:left="3288" w:hanging="230"/>
      </w:pPr>
      <w:rPr>
        <w:rFonts w:hint="default"/>
        <w:lang w:val="lt-LT" w:eastAsia="en-US" w:bidi="ar-SA"/>
      </w:rPr>
    </w:lvl>
    <w:lvl w:ilvl="3" w:tplc="F522A25A">
      <w:numFmt w:val="bullet"/>
      <w:lvlText w:val="•"/>
      <w:lvlJc w:val="left"/>
      <w:pPr>
        <w:ind w:left="4272" w:hanging="230"/>
      </w:pPr>
      <w:rPr>
        <w:rFonts w:hint="default"/>
        <w:lang w:val="lt-LT" w:eastAsia="en-US" w:bidi="ar-SA"/>
      </w:rPr>
    </w:lvl>
    <w:lvl w:ilvl="4" w:tplc="D01ED008">
      <w:numFmt w:val="bullet"/>
      <w:lvlText w:val="•"/>
      <w:lvlJc w:val="left"/>
      <w:pPr>
        <w:ind w:left="5256" w:hanging="230"/>
      </w:pPr>
      <w:rPr>
        <w:rFonts w:hint="default"/>
        <w:lang w:val="lt-LT" w:eastAsia="en-US" w:bidi="ar-SA"/>
      </w:rPr>
    </w:lvl>
    <w:lvl w:ilvl="5" w:tplc="5F50F930">
      <w:numFmt w:val="bullet"/>
      <w:lvlText w:val="•"/>
      <w:lvlJc w:val="left"/>
      <w:pPr>
        <w:ind w:left="6240" w:hanging="230"/>
      </w:pPr>
      <w:rPr>
        <w:rFonts w:hint="default"/>
        <w:lang w:val="lt-LT" w:eastAsia="en-US" w:bidi="ar-SA"/>
      </w:rPr>
    </w:lvl>
    <w:lvl w:ilvl="6" w:tplc="5EAE9564">
      <w:numFmt w:val="bullet"/>
      <w:lvlText w:val="•"/>
      <w:lvlJc w:val="left"/>
      <w:pPr>
        <w:ind w:left="7224" w:hanging="230"/>
      </w:pPr>
      <w:rPr>
        <w:rFonts w:hint="default"/>
        <w:lang w:val="lt-LT" w:eastAsia="en-US" w:bidi="ar-SA"/>
      </w:rPr>
    </w:lvl>
    <w:lvl w:ilvl="7" w:tplc="BD06374C">
      <w:numFmt w:val="bullet"/>
      <w:lvlText w:val="•"/>
      <w:lvlJc w:val="left"/>
      <w:pPr>
        <w:ind w:left="8208" w:hanging="230"/>
      </w:pPr>
      <w:rPr>
        <w:rFonts w:hint="default"/>
        <w:lang w:val="lt-LT" w:eastAsia="en-US" w:bidi="ar-SA"/>
      </w:rPr>
    </w:lvl>
    <w:lvl w:ilvl="8" w:tplc="D778BACE">
      <w:numFmt w:val="bullet"/>
      <w:lvlText w:val="•"/>
      <w:lvlJc w:val="left"/>
      <w:pPr>
        <w:ind w:left="9192" w:hanging="230"/>
      </w:pPr>
      <w:rPr>
        <w:rFonts w:hint="default"/>
        <w:lang w:val="lt-LT" w:eastAsia="en-US" w:bidi="ar-SA"/>
      </w:rPr>
    </w:lvl>
  </w:abstractNum>
  <w:abstractNum w:abstractNumId="15">
    <w:nsid w:val="41466B55"/>
    <w:multiLevelType w:val="hybridMultilevel"/>
    <w:tmpl w:val="67021A4C"/>
    <w:lvl w:ilvl="0" w:tplc="0C6E496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nsid w:val="51C66360"/>
    <w:multiLevelType w:val="hybridMultilevel"/>
    <w:tmpl w:val="FD2077B4"/>
    <w:lvl w:ilvl="0" w:tplc="9D2C3300">
      <w:start w:val="13"/>
      <w:numFmt w:val="bullet"/>
      <w:lvlText w:val=""/>
      <w:lvlJc w:val="left"/>
      <w:pPr>
        <w:ind w:left="1080" w:hanging="360"/>
      </w:pPr>
      <w:rPr>
        <w:rFonts w:ascii="Symbol" w:eastAsiaTheme="minorEastAsia"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5C8B06CB"/>
    <w:multiLevelType w:val="hybridMultilevel"/>
    <w:tmpl w:val="B1B888B8"/>
    <w:lvl w:ilvl="0" w:tplc="92286B0A">
      <w:numFmt w:val="bullet"/>
      <w:lvlText w:val="-"/>
      <w:lvlJc w:val="left"/>
      <w:pPr>
        <w:ind w:left="1148" w:hanging="159"/>
      </w:pPr>
      <w:rPr>
        <w:rFonts w:hint="default"/>
        <w:w w:val="96"/>
        <w:lang w:val="lt-LT" w:eastAsia="en-US" w:bidi="ar-SA"/>
      </w:rPr>
    </w:lvl>
    <w:lvl w:ilvl="1" w:tplc="B5A862A4">
      <w:numFmt w:val="bullet"/>
      <w:lvlText w:val="•"/>
      <w:lvlJc w:val="left"/>
      <w:pPr>
        <w:ind w:left="2090" w:hanging="159"/>
      </w:pPr>
      <w:rPr>
        <w:rFonts w:hint="default"/>
        <w:lang w:val="lt-LT" w:eastAsia="en-US" w:bidi="ar-SA"/>
      </w:rPr>
    </w:lvl>
    <w:lvl w:ilvl="2" w:tplc="AF6C6924">
      <w:numFmt w:val="bullet"/>
      <w:lvlText w:val="•"/>
      <w:lvlJc w:val="left"/>
      <w:pPr>
        <w:ind w:left="3040" w:hanging="159"/>
      </w:pPr>
      <w:rPr>
        <w:rFonts w:hint="default"/>
        <w:lang w:val="lt-LT" w:eastAsia="en-US" w:bidi="ar-SA"/>
      </w:rPr>
    </w:lvl>
    <w:lvl w:ilvl="3" w:tplc="E0D4B9A0">
      <w:numFmt w:val="bullet"/>
      <w:lvlText w:val="•"/>
      <w:lvlJc w:val="left"/>
      <w:pPr>
        <w:ind w:left="3990" w:hanging="159"/>
      </w:pPr>
      <w:rPr>
        <w:rFonts w:hint="default"/>
        <w:lang w:val="lt-LT" w:eastAsia="en-US" w:bidi="ar-SA"/>
      </w:rPr>
    </w:lvl>
    <w:lvl w:ilvl="4" w:tplc="BF8CDE10">
      <w:numFmt w:val="bullet"/>
      <w:lvlText w:val="•"/>
      <w:lvlJc w:val="left"/>
      <w:pPr>
        <w:ind w:left="4940" w:hanging="159"/>
      </w:pPr>
      <w:rPr>
        <w:rFonts w:hint="default"/>
        <w:lang w:val="lt-LT" w:eastAsia="en-US" w:bidi="ar-SA"/>
      </w:rPr>
    </w:lvl>
    <w:lvl w:ilvl="5" w:tplc="8BDE33F2">
      <w:numFmt w:val="bullet"/>
      <w:lvlText w:val="•"/>
      <w:lvlJc w:val="left"/>
      <w:pPr>
        <w:ind w:left="5890" w:hanging="159"/>
      </w:pPr>
      <w:rPr>
        <w:rFonts w:hint="default"/>
        <w:lang w:val="lt-LT" w:eastAsia="en-US" w:bidi="ar-SA"/>
      </w:rPr>
    </w:lvl>
    <w:lvl w:ilvl="6" w:tplc="50367BCE">
      <w:numFmt w:val="bullet"/>
      <w:lvlText w:val="•"/>
      <w:lvlJc w:val="left"/>
      <w:pPr>
        <w:ind w:left="6840" w:hanging="159"/>
      </w:pPr>
      <w:rPr>
        <w:rFonts w:hint="default"/>
        <w:lang w:val="lt-LT" w:eastAsia="en-US" w:bidi="ar-SA"/>
      </w:rPr>
    </w:lvl>
    <w:lvl w:ilvl="7" w:tplc="F586E08E">
      <w:numFmt w:val="bullet"/>
      <w:lvlText w:val="•"/>
      <w:lvlJc w:val="left"/>
      <w:pPr>
        <w:ind w:left="7790" w:hanging="159"/>
      </w:pPr>
      <w:rPr>
        <w:rFonts w:hint="default"/>
        <w:lang w:val="lt-LT" w:eastAsia="en-US" w:bidi="ar-SA"/>
      </w:rPr>
    </w:lvl>
    <w:lvl w:ilvl="8" w:tplc="3D7E5A20">
      <w:numFmt w:val="bullet"/>
      <w:lvlText w:val="•"/>
      <w:lvlJc w:val="left"/>
      <w:pPr>
        <w:ind w:left="8740" w:hanging="159"/>
      </w:pPr>
      <w:rPr>
        <w:rFonts w:hint="default"/>
        <w:lang w:val="lt-LT" w:eastAsia="en-US" w:bidi="ar-SA"/>
      </w:rPr>
    </w:lvl>
  </w:abstractNum>
  <w:abstractNum w:abstractNumId="20">
    <w:nsid w:val="60932B8A"/>
    <w:multiLevelType w:val="hybridMultilevel"/>
    <w:tmpl w:val="35AC5F5A"/>
    <w:lvl w:ilvl="0" w:tplc="8BDE371C">
      <w:numFmt w:val="bullet"/>
      <w:lvlText w:val="-"/>
      <w:lvlJc w:val="left"/>
      <w:pPr>
        <w:ind w:left="2613" w:hanging="346"/>
      </w:pPr>
      <w:rPr>
        <w:rFonts w:hint="default"/>
        <w:w w:val="85"/>
        <w:lang w:val="lt-LT" w:eastAsia="en-US" w:bidi="ar-SA"/>
      </w:rPr>
    </w:lvl>
    <w:lvl w:ilvl="1" w:tplc="AB8A816C">
      <w:numFmt w:val="bullet"/>
      <w:lvlText w:val="•"/>
      <w:lvlJc w:val="left"/>
      <w:pPr>
        <w:ind w:left="3474" w:hanging="346"/>
      </w:pPr>
      <w:rPr>
        <w:rFonts w:hint="default"/>
        <w:lang w:val="lt-LT" w:eastAsia="en-US" w:bidi="ar-SA"/>
      </w:rPr>
    </w:lvl>
    <w:lvl w:ilvl="2" w:tplc="943AEDDA">
      <w:numFmt w:val="bullet"/>
      <w:lvlText w:val="•"/>
      <w:lvlJc w:val="left"/>
      <w:pPr>
        <w:ind w:left="4328" w:hanging="346"/>
      </w:pPr>
      <w:rPr>
        <w:rFonts w:hint="default"/>
        <w:lang w:val="lt-LT" w:eastAsia="en-US" w:bidi="ar-SA"/>
      </w:rPr>
    </w:lvl>
    <w:lvl w:ilvl="3" w:tplc="7F00C328">
      <w:numFmt w:val="bullet"/>
      <w:lvlText w:val="•"/>
      <w:lvlJc w:val="left"/>
      <w:pPr>
        <w:ind w:left="5182" w:hanging="346"/>
      </w:pPr>
      <w:rPr>
        <w:rFonts w:hint="default"/>
        <w:lang w:val="lt-LT" w:eastAsia="en-US" w:bidi="ar-SA"/>
      </w:rPr>
    </w:lvl>
    <w:lvl w:ilvl="4" w:tplc="8FA656A2">
      <w:numFmt w:val="bullet"/>
      <w:lvlText w:val="•"/>
      <w:lvlJc w:val="left"/>
      <w:pPr>
        <w:ind w:left="6036" w:hanging="346"/>
      </w:pPr>
      <w:rPr>
        <w:rFonts w:hint="default"/>
        <w:lang w:val="lt-LT" w:eastAsia="en-US" w:bidi="ar-SA"/>
      </w:rPr>
    </w:lvl>
    <w:lvl w:ilvl="5" w:tplc="D83CF7E0">
      <w:numFmt w:val="bullet"/>
      <w:lvlText w:val="•"/>
      <w:lvlJc w:val="left"/>
      <w:pPr>
        <w:ind w:left="6890" w:hanging="346"/>
      </w:pPr>
      <w:rPr>
        <w:rFonts w:hint="default"/>
        <w:lang w:val="lt-LT" w:eastAsia="en-US" w:bidi="ar-SA"/>
      </w:rPr>
    </w:lvl>
    <w:lvl w:ilvl="6" w:tplc="CF0EC250">
      <w:numFmt w:val="bullet"/>
      <w:lvlText w:val="•"/>
      <w:lvlJc w:val="left"/>
      <w:pPr>
        <w:ind w:left="7744" w:hanging="346"/>
      </w:pPr>
      <w:rPr>
        <w:rFonts w:hint="default"/>
        <w:lang w:val="lt-LT" w:eastAsia="en-US" w:bidi="ar-SA"/>
      </w:rPr>
    </w:lvl>
    <w:lvl w:ilvl="7" w:tplc="30B04DBC">
      <w:numFmt w:val="bullet"/>
      <w:lvlText w:val="•"/>
      <w:lvlJc w:val="left"/>
      <w:pPr>
        <w:ind w:left="8598" w:hanging="346"/>
      </w:pPr>
      <w:rPr>
        <w:rFonts w:hint="default"/>
        <w:lang w:val="lt-LT" w:eastAsia="en-US" w:bidi="ar-SA"/>
      </w:rPr>
    </w:lvl>
    <w:lvl w:ilvl="8" w:tplc="9476EBB8">
      <w:numFmt w:val="bullet"/>
      <w:lvlText w:val="•"/>
      <w:lvlJc w:val="left"/>
      <w:pPr>
        <w:ind w:left="9452" w:hanging="346"/>
      </w:pPr>
      <w:rPr>
        <w:rFonts w:hint="default"/>
        <w:lang w:val="lt-LT" w:eastAsia="en-US" w:bidi="ar-SA"/>
      </w:rPr>
    </w:lvl>
  </w:abstractNum>
  <w:abstractNum w:abstractNumId="21">
    <w:nsid w:val="61484DC9"/>
    <w:multiLevelType w:val="hybridMultilevel"/>
    <w:tmpl w:val="186E8FFA"/>
    <w:lvl w:ilvl="0" w:tplc="29FC0826">
      <w:start w:val="6"/>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7450C5"/>
    <w:multiLevelType w:val="singleLevel"/>
    <w:tmpl w:val="D7880D4E"/>
    <w:lvl w:ilvl="0">
      <w:start w:val="3"/>
      <w:numFmt w:val="decimal"/>
      <w:lvlText w:val="%1."/>
      <w:legacy w:legacy="1" w:legacySpace="0" w:legacyIndent="266"/>
      <w:lvlJc w:val="left"/>
      <w:rPr>
        <w:rFonts w:ascii="Times New Roman" w:hAnsi="Times New Roman" w:cs="Times New Roman" w:hint="default"/>
      </w:rPr>
    </w:lvl>
  </w:abstractNum>
  <w:abstractNum w:abstractNumId="23">
    <w:nsid w:val="69E8268B"/>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24">
    <w:nsid w:val="735A06FE"/>
    <w:multiLevelType w:val="hybridMultilevel"/>
    <w:tmpl w:val="CA407494"/>
    <w:lvl w:ilvl="0" w:tplc="DA3A9330">
      <w:numFmt w:val="bullet"/>
      <w:lvlText w:val="-"/>
      <w:lvlJc w:val="left"/>
      <w:pPr>
        <w:ind w:left="917" w:hanging="150"/>
      </w:pPr>
      <w:rPr>
        <w:rFonts w:hint="default"/>
        <w:w w:val="93"/>
        <w:lang w:val="lt-LT" w:eastAsia="en-US" w:bidi="ar-SA"/>
      </w:rPr>
    </w:lvl>
    <w:lvl w:ilvl="1" w:tplc="3BE2DE04">
      <w:numFmt w:val="bullet"/>
      <w:lvlText w:val="•"/>
      <w:lvlJc w:val="left"/>
      <w:pPr>
        <w:ind w:left="960" w:hanging="150"/>
      </w:pPr>
      <w:rPr>
        <w:rFonts w:hint="default"/>
        <w:lang w:val="lt-LT" w:eastAsia="en-US" w:bidi="ar-SA"/>
      </w:rPr>
    </w:lvl>
    <w:lvl w:ilvl="2" w:tplc="C54C7576">
      <w:numFmt w:val="bullet"/>
      <w:lvlText w:val="•"/>
      <w:lvlJc w:val="left"/>
      <w:pPr>
        <w:ind w:left="2035" w:hanging="150"/>
      </w:pPr>
      <w:rPr>
        <w:rFonts w:hint="default"/>
        <w:lang w:val="lt-LT" w:eastAsia="en-US" w:bidi="ar-SA"/>
      </w:rPr>
    </w:lvl>
    <w:lvl w:ilvl="3" w:tplc="AEA46B72">
      <w:numFmt w:val="bullet"/>
      <w:lvlText w:val="•"/>
      <w:lvlJc w:val="left"/>
      <w:pPr>
        <w:ind w:left="3111" w:hanging="150"/>
      </w:pPr>
      <w:rPr>
        <w:rFonts w:hint="default"/>
        <w:lang w:val="lt-LT" w:eastAsia="en-US" w:bidi="ar-SA"/>
      </w:rPr>
    </w:lvl>
    <w:lvl w:ilvl="4" w:tplc="9278A6B4">
      <w:numFmt w:val="bullet"/>
      <w:lvlText w:val="•"/>
      <w:lvlJc w:val="left"/>
      <w:pPr>
        <w:ind w:left="4186" w:hanging="150"/>
      </w:pPr>
      <w:rPr>
        <w:rFonts w:hint="default"/>
        <w:lang w:val="lt-LT" w:eastAsia="en-US" w:bidi="ar-SA"/>
      </w:rPr>
    </w:lvl>
    <w:lvl w:ilvl="5" w:tplc="DC600CCE">
      <w:numFmt w:val="bullet"/>
      <w:lvlText w:val="•"/>
      <w:lvlJc w:val="left"/>
      <w:pPr>
        <w:ind w:left="5262" w:hanging="150"/>
      </w:pPr>
      <w:rPr>
        <w:rFonts w:hint="default"/>
        <w:lang w:val="lt-LT" w:eastAsia="en-US" w:bidi="ar-SA"/>
      </w:rPr>
    </w:lvl>
    <w:lvl w:ilvl="6" w:tplc="81C02BBA">
      <w:numFmt w:val="bullet"/>
      <w:lvlText w:val="•"/>
      <w:lvlJc w:val="left"/>
      <w:pPr>
        <w:ind w:left="6337" w:hanging="150"/>
      </w:pPr>
      <w:rPr>
        <w:rFonts w:hint="default"/>
        <w:lang w:val="lt-LT" w:eastAsia="en-US" w:bidi="ar-SA"/>
      </w:rPr>
    </w:lvl>
    <w:lvl w:ilvl="7" w:tplc="FA36AAF6">
      <w:numFmt w:val="bullet"/>
      <w:lvlText w:val="•"/>
      <w:lvlJc w:val="left"/>
      <w:pPr>
        <w:ind w:left="7413" w:hanging="150"/>
      </w:pPr>
      <w:rPr>
        <w:rFonts w:hint="default"/>
        <w:lang w:val="lt-LT" w:eastAsia="en-US" w:bidi="ar-SA"/>
      </w:rPr>
    </w:lvl>
    <w:lvl w:ilvl="8" w:tplc="53C08166">
      <w:numFmt w:val="bullet"/>
      <w:lvlText w:val="•"/>
      <w:lvlJc w:val="left"/>
      <w:pPr>
        <w:ind w:left="8488" w:hanging="150"/>
      </w:pPr>
      <w:rPr>
        <w:rFonts w:hint="default"/>
        <w:lang w:val="lt-LT" w:eastAsia="en-US" w:bidi="ar-SA"/>
      </w:rPr>
    </w:lvl>
  </w:abstractNum>
  <w:abstractNum w:abstractNumId="25">
    <w:nsid w:val="73F31287"/>
    <w:multiLevelType w:val="hybridMultilevel"/>
    <w:tmpl w:val="088AD5B8"/>
    <w:lvl w:ilvl="0" w:tplc="99B406E2">
      <w:start w:val="1"/>
      <w:numFmt w:val="decimal"/>
      <w:lvlText w:val="%1)"/>
      <w:lvlJc w:val="left"/>
      <w:pPr>
        <w:ind w:left="712" w:hanging="357"/>
      </w:pPr>
      <w:rPr>
        <w:rFonts w:ascii="Cambria" w:eastAsia="Cambria" w:hAnsi="Cambria" w:cs="Cambria" w:hint="default"/>
        <w:spacing w:val="-1"/>
        <w:w w:val="97"/>
        <w:sz w:val="22"/>
        <w:szCs w:val="22"/>
        <w:lang w:val="lt-LT" w:eastAsia="en-US" w:bidi="ar-SA"/>
      </w:rPr>
    </w:lvl>
    <w:lvl w:ilvl="1" w:tplc="8F6CAE10">
      <w:numFmt w:val="bullet"/>
      <w:lvlText w:val="•"/>
      <w:lvlJc w:val="left"/>
      <w:pPr>
        <w:ind w:left="1624" w:hanging="357"/>
      </w:pPr>
      <w:rPr>
        <w:rFonts w:hint="default"/>
        <w:lang w:val="lt-LT" w:eastAsia="en-US" w:bidi="ar-SA"/>
      </w:rPr>
    </w:lvl>
    <w:lvl w:ilvl="2" w:tplc="374E06AC">
      <w:numFmt w:val="bullet"/>
      <w:lvlText w:val="•"/>
      <w:lvlJc w:val="left"/>
      <w:pPr>
        <w:ind w:left="2528" w:hanging="357"/>
      </w:pPr>
      <w:rPr>
        <w:rFonts w:hint="default"/>
        <w:lang w:val="lt-LT" w:eastAsia="en-US" w:bidi="ar-SA"/>
      </w:rPr>
    </w:lvl>
    <w:lvl w:ilvl="3" w:tplc="7228F78C">
      <w:numFmt w:val="bullet"/>
      <w:lvlText w:val="•"/>
      <w:lvlJc w:val="left"/>
      <w:pPr>
        <w:ind w:left="3432" w:hanging="357"/>
      </w:pPr>
      <w:rPr>
        <w:rFonts w:hint="default"/>
        <w:lang w:val="lt-LT" w:eastAsia="en-US" w:bidi="ar-SA"/>
      </w:rPr>
    </w:lvl>
    <w:lvl w:ilvl="4" w:tplc="6A1E94C2">
      <w:numFmt w:val="bullet"/>
      <w:lvlText w:val="•"/>
      <w:lvlJc w:val="left"/>
      <w:pPr>
        <w:ind w:left="4336" w:hanging="357"/>
      </w:pPr>
      <w:rPr>
        <w:rFonts w:hint="default"/>
        <w:lang w:val="lt-LT" w:eastAsia="en-US" w:bidi="ar-SA"/>
      </w:rPr>
    </w:lvl>
    <w:lvl w:ilvl="5" w:tplc="469AD5CA">
      <w:numFmt w:val="bullet"/>
      <w:lvlText w:val="•"/>
      <w:lvlJc w:val="left"/>
      <w:pPr>
        <w:ind w:left="5240" w:hanging="357"/>
      </w:pPr>
      <w:rPr>
        <w:rFonts w:hint="default"/>
        <w:lang w:val="lt-LT" w:eastAsia="en-US" w:bidi="ar-SA"/>
      </w:rPr>
    </w:lvl>
    <w:lvl w:ilvl="6" w:tplc="442A7BA6">
      <w:numFmt w:val="bullet"/>
      <w:lvlText w:val="•"/>
      <w:lvlJc w:val="left"/>
      <w:pPr>
        <w:ind w:left="6144" w:hanging="357"/>
      </w:pPr>
      <w:rPr>
        <w:rFonts w:hint="default"/>
        <w:lang w:val="lt-LT" w:eastAsia="en-US" w:bidi="ar-SA"/>
      </w:rPr>
    </w:lvl>
    <w:lvl w:ilvl="7" w:tplc="3664F9F4">
      <w:numFmt w:val="bullet"/>
      <w:lvlText w:val="•"/>
      <w:lvlJc w:val="left"/>
      <w:pPr>
        <w:ind w:left="7048" w:hanging="357"/>
      </w:pPr>
      <w:rPr>
        <w:rFonts w:hint="default"/>
        <w:lang w:val="lt-LT" w:eastAsia="en-US" w:bidi="ar-SA"/>
      </w:rPr>
    </w:lvl>
    <w:lvl w:ilvl="8" w:tplc="9886C4CC">
      <w:numFmt w:val="bullet"/>
      <w:lvlText w:val="•"/>
      <w:lvlJc w:val="left"/>
      <w:pPr>
        <w:ind w:left="7952" w:hanging="357"/>
      </w:pPr>
      <w:rPr>
        <w:rFonts w:hint="default"/>
        <w:lang w:val="lt-LT" w:eastAsia="en-US" w:bidi="ar-SA"/>
      </w:rPr>
    </w:lvl>
  </w:abstractNum>
  <w:abstractNum w:abstractNumId="26">
    <w:nsid w:val="77252A19"/>
    <w:multiLevelType w:val="hybridMultilevel"/>
    <w:tmpl w:val="308A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18"/>
  </w:num>
  <w:num w:numId="6">
    <w:abstractNumId w:val="8"/>
  </w:num>
  <w:num w:numId="7">
    <w:abstractNumId w:val="5"/>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24"/>
  </w:num>
  <w:num w:numId="16">
    <w:abstractNumId w:val="23"/>
  </w:num>
  <w:num w:numId="17">
    <w:abstractNumId w:val="6"/>
  </w:num>
  <w:num w:numId="18">
    <w:abstractNumId w:val="19"/>
  </w:num>
  <w:num w:numId="19">
    <w:abstractNumId w:val="11"/>
  </w:num>
  <w:num w:numId="20">
    <w:abstractNumId w:val="25"/>
  </w:num>
  <w:num w:numId="21">
    <w:abstractNumId w:val="13"/>
  </w:num>
  <w:num w:numId="22">
    <w:abstractNumId w:val="16"/>
  </w:num>
  <w:num w:numId="23">
    <w:abstractNumId w:val="14"/>
  </w:num>
  <w:num w:numId="24">
    <w:abstractNumId w:val="20"/>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4682"/>
    <w:rsid w:val="00004DFA"/>
    <w:rsid w:val="00006A67"/>
    <w:rsid w:val="00006BBF"/>
    <w:rsid w:val="0000739B"/>
    <w:rsid w:val="0001408D"/>
    <w:rsid w:val="00014E04"/>
    <w:rsid w:val="00014E20"/>
    <w:rsid w:val="00015630"/>
    <w:rsid w:val="000204B2"/>
    <w:rsid w:val="00020CC8"/>
    <w:rsid w:val="000242A1"/>
    <w:rsid w:val="00024E49"/>
    <w:rsid w:val="000264B2"/>
    <w:rsid w:val="00026DE6"/>
    <w:rsid w:val="0002759B"/>
    <w:rsid w:val="000401C2"/>
    <w:rsid w:val="0004061C"/>
    <w:rsid w:val="000438BE"/>
    <w:rsid w:val="0005275E"/>
    <w:rsid w:val="0005569F"/>
    <w:rsid w:val="00060B6E"/>
    <w:rsid w:val="0006286F"/>
    <w:rsid w:val="00062B9A"/>
    <w:rsid w:val="00063CD9"/>
    <w:rsid w:val="000644B7"/>
    <w:rsid w:val="0006675A"/>
    <w:rsid w:val="00067067"/>
    <w:rsid w:val="00067FA3"/>
    <w:rsid w:val="00071318"/>
    <w:rsid w:val="00071845"/>
    <w:rsid w:val="00073002"/>
    <w:rsid w:val="0007562E"/>
    <w:rsid w:val="0007784D"/>
    <w:rsid w:val="00081B07"/>
    <w:rsid w:val="000832AB"/>
    <w:rsid w:val="00083EA4"/>
    <w:rsid w:val="0008660C"/>
    <w:rsid w:val="000868C4"/>
    <w:rsid w:val="0008775B"/>
    <w:rsid w:val="0009182F"/>
    <w:rsid w:val="000923F7"/>
    <w:rsid w:val="00094B9B"/>
    <w:rsid w:val="00097728"/>
    <w:rsid w:val="00097C44"/>
    <w:rsid w:val="000A2662"/>
    <w:rsid w:val="000A396B"/>
    <w:rsid w:val="000A4E9C"/>
    <w:rsid w:val="000A5A1E"/>
    <w:rsid w:val="000A68FD"/>
    <w:rsid w:val="000B1559"/>
    <w:rsid w:val="000B35F0"/>
    <w:rsid w:val="000B3FE4"/>
    <w:rsid w:val="000B544D"/>
    <w:rsid w:val="000B58C4"/>
    <w:rsid w:val="000B5ABD"/>
    <w:rsid w:val="000C115C"/>
    <w:rsid w:val="000C1257"/>
    <w:rsid w:val="000C2A95"/>
    <w:rsid w:val="000C2CE4"/>
    <w:rsid w:val="000C697E"/>
    <w:rsid w:val="000C69AF"/>
    <w:rsid w:val="000D2229"/>
    <w:rsid w:val="000D26F2"/>
    <w:rsid w:val="000D2D12"/>
    <w:rsid w:val="000D2F1E"/>
    <w:rsid w:val="000D3B37"/>
    <w:rsid w:val="000D3C3A"/>
    <w:rsid w:val="000D7788"/>
    <w:rsid w:val="000E11A4"/>
    <w:rsid w:val="000E3D17"/>
    <w:rsid w:val="000E3E89"/>
    <w:rsid w:val="000E4126"/>
    <w:rsid w:val="000E58DF"/>
    <w:rsid w:val="000E62FE"/>
    <w:rsid w:val="000F33F7"/>
    <w:rsid w:val="000F3A27"/>
    <w:rsid w:val="000F508E"/>
    <w:rsid w:val="000F53E3"/>
    <w:rsid w:val="00102B3C"/>
    <w:rsid w:val="0010725B"/>
    <w:rsid w:val="001105C6"/>
    <w:rsid w:val="001113C7"/>
    <w:rsid w:val="001157A9"/>
    <w:rsid w:val="00122B67"/>
    <w:rsid w:val="001230B9"/>
    <w:rsid w:val="001244FC"/>
    <w:rsid w:val="001260CE"/>
    <w:rsid w:val="00131FE5"/>
    <w:rsid w:val="001325DE"/>
    <w:rsid w:val="00133042"/>
    <w:rsid w:val="001339BA"/>
    <w:rsid w:val="00133B07"/>
    <w:rsid w:val="00133EA6"/>
    <w:rsid w:val="0014019A"/>
    <w:rsid w:val="001420C2"/>
    <w:rsid w:val="00142443"/>
    <w:rsid w:val="00143942"/>
    <w:rsid w:val="0014683D"/>
    <w:rsid w:val="00146E23"/>
    <w:rsid w:val="00147F8C"/>
    <w:rsid w:val="00150C01"/>
    <w:rsid w:val="00153745"/>
    <w:rsid w:val="00153A91"/>
    <w:rsid w:val="00153E6D"/>
    <w:rsid w:val="00157E92"/>
    <w:rsid w:val="001608C3"/>
    <w:rsid w:val="001626B4"/>
    <w:rsid w:val="00162C04"/>
    <w:rsid w:val="00164475"/>
    <w:rsid w:val="001644D9"/>
    <w:rsid w:val="00165039"/>
    <w:rsid w:val="00166AD5"/>
    <w:rsid w:val="00167484"/>
    <w:rsid w:val="001674E6"/>
    <w:rsid w:val="001717B5"/>
    <w:rsid w:val="00171D56"/>
    <w:rsid w:val="00172ED1"/>
    <w:rsid w:val="00173194"/>
    <w:rsid w:val="00175104"/>
    <w:rsid w:val="0017572F"/>
    <w:rsid w:val="00177525"/>
    <w:rsid w:val="00177F38"/>
    <w:rsid w:val="00180784"/>
    <w:rsid w:val="00180B3B"/>
    <w:rsid w:val="001821F2"/>
    <w:rsid w:val="00183AD9"/>
    <w:rsid w:val="00186CE1"/>
    <w:rsid w:val="00186EC4"/>
    <w:rsid w:val="00191556"/>
    <w:rsid w:val="00192B98"/>
    <w:rsid w:val="001931E9"/>
    <w:rsid w:val="00193446"/>
    <w:rsid w:val="001936D1"/>
    <w:rsid w:val="00193D9A"/>
    <w:rsid w:val="0019422D"/>
    <w:rsid w:val="00194350"/>
    <w:rsid w:val="00194CC9"/>
    <w:rsid w:val="00195EDC"/>
    <w:rsid w:val="00196C8D"/>
    <w:rsid w:val="00197142"/>
    <w:rsid w:val="001A1C14"/>
    <w:rsid w:val="001A20F7"/>
    <w:rsid w:val="001A442B"/>
    <w:rsid w:val="001A46C9"/>
    <w:rsid w:val="001A66EB"/>
    <w:rsid w:val="001A7339"/>
    <w:rsid w:val="001A7A73"/>
    <w:rsid w:val="001B15F4"/>
    <w:rsid w:val="001B1672"/>
    <w:rsid w:val="001B16FA"/>
    <w:rsid w:val="001B63EC"/>
    <w:rsid w:val="001B6E3D"/>
    <w:rsid w:val="001C04CD"/>
    <w:rsid w:val="001C1258"/>
    <w:rsid w:val="001C160F"/>
    <w:rsid w:val="001C298B"/>
    <w:rsid w:val="001C3B00"/>
    <w:rsid w:val="001C495A"/>
    <w:rsid w:val="001C5DEC"/>
    <w:rsid w:val="001C6306"/>
    <w:rsid w:val="001C64C0"/>
    <w:rsid w:val="001C6C55"/>
    <w:rsid w:val="001D0D04"/>
    <w:rsid w:val="001D1523"/>
    <w:rsid w:val="001D192E"/>
    <w:rsid w:val="001D1AD3"/>
    <w:rsid w:val="001D2A17"/>
    <w:rsid w:val="001D3AAE"/>
    <w:rsid w:val="001D5DD6"/>
    <w:rsid w:val="001D67A4"/>
    <w:rsid w:val="001D6DEB"/>
    <w:rsid w:val="001D72A9"/>
    <w:rsid w:val="001E3421"/>
    <w:rsid w:val="001F3A52"/>
    <w:rsid w:val="001F48DE"/>
    <w:rsid w:val="001F500A"/>
    <w:rsid w:val="001F509E"/>
    <w:rsid w:val="001F6F3A"/>
    <w:rsid w:val="002000F4"/>
    <w:rsid w:val="00204445"/>
    <w:rsid w:val="00212889"/>
    <w:rsid w:val="00212974"/>
    <w:rsid w:val="0021401D"/>
    <w:rsid w:val="0021481B"/>
    <w:rsid w:val="00215D04"/>
    <w:rsid w:val="00216EDE"/>
    <w:rsid w:val="00221821"/>
    <w:rsid w:val="0022258B"/>
    <w:rsid w:val="002260E6"/>
    <w:rsid w:val="002274FD"/>
    <w:rsid w:val="00227EA5"/>
    <w:rsid w:val="00232502"/>
    <w:rsid w:val="00233DDF"/>
    <w:rsid w:val="00234F17"/>
    <w:rsid w:val="00235528"/>
    <w:rsid w:val="00236937"/>
    <w:rsid w:val="00237497"/>
    <w:rsid w:val="0023789B"/>
    <w:rsid w:val="00243C71"/>
    <w:rsid w:val="00245F52"/>
    <w:rsid w:val="0024760B"/>
    <w:rsid w:val="00250186"/>
    <w:rsid w:val="00251B33"/>
    <w:rsid w:val="0025516D"/>
    <w:rsid w:val="00262240"/>
    <w:rsid w:val="00264A39"/>
    <w:rsid w:val="00266676"/>
    <w:rsid w:val="00267A1D"/>
    <w:rsid w:val="00267D79"/>
    <w:rsid w:val="00270D4F"/>
    <w:rsid w:val="00270D7E"/>
    <w:rsid w:val="0027193C"/>
    <w:rsid w:val="0027225A"/>
    <w:rsid w:val="002753A6"/>
    <w:rsid w:val="0027776D"/>
    <w:rsid w:val="00277A3E"/>
    <w:rsid w:val="00281EEB"/>
    <w:rsid w:val="00281F01"/>
    <w:rsid w:val="002823EB"/>
    <w:rsid w:val="002831D3"/>
    <w:rsid w:val="00284025"/>
    <w:rsid w:val="00284842"/>
    <w:rsid w:val="00284BDF"/>
    <w:rsid w:val="0028594B"/>
    <w:rsid w:val="0028699E"/>
    <w:rsid w:val="00290AD3"/>
    <w:rsid w:val="0029148D"/>
    <w:rsid w:val="00291C31"/>
    <w:rsid w:val="00291EDC"/>
    <w:rsid w:val="0029640F"/>
    <w:rsid w:val="002A118E"/>
    <w:rsid w:val="002A19B3"/>
    <w:rsid w:val="002A2987"/>
    <w:rsid w:val="002A5A3A"/>
    <w:rsid w:val="002A5B9B"/>
    <w:rsid w:val="002A6C6C"/>
    <w:rsid w:val="002A7CFB"/>
    <w:rsid w:val="002B0458"/>
    <w:rsid w:val="002B0AA6"/>
    <w:rsid w:val="002B2504"/>
    <w:rsid w:val="002B368E"/>
    <w:rsid w:val="002B46EB"/>
    <w:rsid w:val="002B62C8"/>
    <w:rsid w:val="002B69B8"/>
    <w:rsid w:val="002B6DD0"/>
    <w:rsid w:val="002B709C"/>
    <w:rsid w:val="002B756B"/>
    <w:rsid w:val="002C357E"/>
    <w:rsid w:val="002C6B3F"/>
    <w:rsid w:val="002D0122"/>
    <w:rsid w:val="002D0227"/>
    <w:rsid w:val="002D05BA"/>
    <w:rsid w:val="002D1403"/>
    <w:rsid w:val="002D2F92"/>
    <w:rsid w:val="002D4E49"/>
    <w:rsid w:val="002D542B"/>
    <w:rsid w:val="002D5E45"/>
    <w:rsid w:val="002E1C4C"/>
    <w:rsid w:val="002E2C52"/>
    <w:rsid w:val="002E3C20"/>
    <w:rsid w:val="002E6C1E"/>
    <w:rsid w:val="002E6E73"/>
    <w:rsid w:val="002E721D"/>
    <w:rsid w:val="002F0330"/>
    <w:rsid w:val="002F4859"/>
    <w:rsid w:val="002F5111"/>
    <w:rsid w:val="002F643E"/>
    <w:rsid w:val="00301442"/>
    <w:rsid w:val="00302968"/>
    <w:rsid w:val="003033A8"/>
    <w:rsid w:val="00303807"/>
    <w:rsid w:val="003039B2"/>
    <w:rsid w:val="0030430D"/>
    <w:rsid w:val="003104E1"/>
    <w:rsid w:val="003105AA"/>
    <w:rsid w:val="00310F95"/>
    <w:rsid w:val="00311125"/>
    <w:rsid w:val="00311549"/>
    <w:rsid w:val="00311DEA"/>
    <w:rsid w:val="00312992"/>
    <w:rsid w:val="00315474"/>
    <w:rsid w:val="0031578C"/>
    <w:rsid w:val="003168C3"/>
    <w:rsid w:val="003168F1"/>
    <w:rsid w:val="00316BB1"/>
    <w:rsid w:val="00321298"/>
    <w:rsid w:val="00327AA8"/>
    <w:rsid w:val="003338C9"/>
    <w:rsid w:val="00334939"/>
    <w:rsid w:val="00335B51"/>
    <w:rsid w:val="003371C8"/>
    <w:rsid w:val="00337F74"/>
    <w:rsid w:val="003424C5"/>
    <w:rsid w:val="00343997"/>
    <w:rsid w:val="00343D6A"/>
    <w:rsid w:val="00344841"/>
    <w:rsid w:val="00351426"/>
    <w:rsid w:val="003517FA"/>
    <w:rsid w:val="00351DC5"/>
    <w:rsid w:val="00352C6A"/>
    <w:rsid w:val="00353BCA"/>
    <w:rsid w:val="0035415A"/>
    <w:rsid w:val="00354238"/>
    <w:rsid w:val="00355363"/>
    <w:rsid w:val="00355952"/>
    <w:rsid w:val="0035697F"/>
    <w:rsid w:val="0036125E"/>
    <w:rsid w:val="0036189F"/>
    <w:rsid w:val="00365B6F"/>
    <w:rsid w:val="00365DD1"/>
    <w:rsid w:val="00367BBE"/>
    <w:rsid w:val="00367F1A"/>
    <w:rsid w:val="00372051"/>
    <w:rsid w:val="00373B00"/>
    <w:rsid w:val="003817CB"/>
    <w:rsid w:val="00382B11"/>
    <w:rsid w:val="00384455"/>
    <w:rsid w:val="00384D6F"/>
    <w:rsid w:val="00384DCD"/>
    <w:rsid w:val="00385757"/>
    <w:rsid w:val="00386464"/>
    <w:rsid w:val="00390007"/>
    <w:rsid w:val="0039089B"/>
    <w:rsid w:val="00394096"/>
    <w:rsid w:val="00397D5B"/>
    <w:rsid w:val="003A0B78"/>
    <w:rsid w:val="003A27EB"/>
    <w:rsid w:val="003A4380"/>
    <w:rsid w:val="003A5B88"/>
    <w:rsid w:val="003B0362"/>
    <w:rsid w:val="003B26F1"/>
    <w:rsid w:val="003B48F8"/>
    <w:rsid w:val="003C1CA8"/>
    <w:rsid w:val="003C385E"/>
    <w:rsid w:val="003C5833"/>
    <w:rsid w:val="003C79F4"/>
    <w:rsid w:val="003D433B"/>
    <w:rsid w:val="003D4CD5"/>
    <w:rsid w:val="003D4EA7"/>
    <w:rsid w:val="003D50C8"/>
    <w:rsid w:val="003D628C"/>
    <w:rsid w:val="003E007B"/>
    <w:rsid w:val="003E09FB"/>
    <w:rsid w:val="003E3D06"/>
    <w:rsid w:val="003F19A0"/>
    <w:rsid w:val="003F1EE9"/>
    <w:rsid w:val="003F4175"/>
    <w:rsid w:val="003F60C3"/>
    <w:rsid w:val="003F7B89"/>
    <w:rsid w:val="00402FE4"/>
    <w:rsid w:val="004049E4"/>
    <w:rsid w:val="00405453"/>
    <w:rsid w:val="0040551B"/>
    <w:rsid w:val="00406150"/>
    <w:rsid w:val="00406601"/>
    <w:rsid w:val="0040690D"/>
    <w:rsid w:val="00412ABE"/>
    <w:rsid w:val="004132CC"/>
    <w:rsid w:val="0041423B"/>
    <w:rsid w:val="004164B0"/>
    <w:rsid w:val="00416D65"/>
    <w:rsid w:val="004227D8"/>
    <w:rsid w:val="00424BBD"/>
    <w:rsid w:val="00425D5A"/>
    <w:rsid w:val="00425EB7"/>
    <w:rsid w:val="00431999"/>
    <w:rsid w:val="004344AF"/>
    <w:rsid w:val="00434569"/>
    <w:rsid w:val="00436C9D"/>
    <w:rsid w:val="00436E00"/>
    <w:rsid w:val="00437CF2"/>
    <w:rsid w:val="00437F19"/>
    <w:rsid w:val="004428B6"/>
    <w:rsid w:val="004450F2"/>
    <w:rsid w:val="0044743A"/>
    <w:rsid w:val="004519D2"/>
    <w:rsid w:val="004522EC"/>
    <w:rsid w:val="00454502"/>
    <w:rsid w:val="00455E80"/>
    <w:rsid w:val="00460333"/>
    <w:rsid w:val="00462B6A"/>
    <w:rsid w:val="00465611"/>
    <w:rsid w:val="00467FFC"/>
    <w:rsid w:val="00470179"/>
    <w:rsid w:val="004715FA"/>
    <w:rsid w:val="00472A31"/>
    <w:rsid w:val="0047371B"/>
    <w:rsid w:val="00476801"/>
    <w:rsid w:val="00476AFC"/>
    <w:rsid w:val="00477D32"/>
    <w:rsid w:val="00477D3B"/>
    <w:rsid w:val="00481A8C"/>
    <w:rsid w:val="00482C3C"/>
    <w:rsid w:val="004830FA"/>
    <w:rsid w:val="0048423A"/>
    <w:rsid w:val="0049225E"/>
    <w:rsid w:val="004961D8"/>
    <w:rsid w:val="0049636E"/>
    <w:rsid w:val="004A137B"/>
    <w:rsid w:val="004A1951"/>
    <w:rsid w:val="004A4598"/>
    <w:rsid w:val="004A69B3"/>
    <w:rsid w:val="004B1609"/>
    <w:rsid w:val="004B2B1F"/>
    <w:rsid w:val="004B338B"/>
    <w:rsid w:val="004B3661"/>
    <w:rsid w:val="004B4FDC"/>
    <w:rsid w:val="004B5B7B"/>
    <w:rsid w:val="004B7519"/>
    <w:rsid w:val="004B753C"/>
    <w:rsid w:val="004C208B"/>
    <w:rsid w:val="004C6010"/>
    <w:rsid w:val="004C734B"/>
    <w:rsid w:val="004C7A6C"/>
    <w:rsid w:val="004D2B45"/>
    <w:rsid w:val="004D2B7A"/>
    <w:rsid w:val="004D5776"/>
    <w:rsid w:val="004D67D4"/>
    <w:rsid w:val="004D6854"/>
    <w:rsid w:val="004D76D1"/>
    <w:rsid w:val="004E2356"/>
    <w:rsid w:val="004E2713"/>
    <w:rsid w:val="004E3010"/>
    <w:rsid w:val="004E47C2"/>
    <w:rsid w:val="004E541A"/>
    <w:rsid w:val="004E7015"/>
    <w:rsid w:val="004E7E36"/>
    <w:rsid w:val="004F0A68"/>
    <w:rsid w:val="004F1D7B"/>
    <w:rsid w:val="004F4955"/>
    <w:rsid w:val="004F5E33"/>
    <w:rsid w:val="004F6052"/>
    <w:rsid w:val="004F612B"/>
    <w:rsid w:val="004F7979"/>
    <w:rsid w:val="00500F21"/>
    <w:rsid w:val="00505A92"/>
    <w:rsid w:val="0051022D"/>
    <w:rsid w:val="00511B72"/>
    <w:rsid w:val="0051219D"/>
    <w:rsid w:val="0051415E"/>
    <w:rsid w:val="00515606"/>
    <w:rsid w:val="00517E4E"/>
    <w:rsid w:val="00517F76"/>
    <w:rsid w:val="00522DA4"/>
    <w:rsid w:val="0052317E"/>
    <w:rsid w:val="00526475"/>
    <w:rsid w:val="00526B20"/>
    <w:rsid w:val="00527D2A"/>
    <w:rsid w:val="00530F5F"/>
    <w:rsid w:val="0053115A"/>
    <w:rsid w:val="005327F4"/>
    <w:rsid w:val="0053307E"/>
    <w:rsid w:val="00533945"/>
    <w:rsid w:val="00536A34"/>
    <w:rsid w:val="00540397"/>
    <w:rsid w:val="00541D5A"/>
    <w:rsid w:val="00543A55"/>
    <w:rsid w:val="00550C1B"/>
    <w:rsid w:val="005535A4"/>
    <w:rsid w:val="00553BA9"/>
    <w:rsid w:val="0055554B"/>
    <w:rsid w:val="005573FE"/>
    <w:rsid w:val="00557873"/>
    <w:rsid w:val="00562810"/>
    <w:rsid w:val="0056379E"/>
    <w:rsid w:val="00564F5C"/>
    <w:rsid w:val="00565C86"/>
    <w:rsid w:val="005668A4"/>
    <w:rsid w:val="00566C8E"/>
    <w:rsid w:val="00570FA1"/>
    <w:rsid w:val="00571419"/>
    <w:rsid w:val="00572D5F"/>
    <w:rsid w:val="0057621F"/>
    <w:rsid w:val="00577935"/>
    <w:rsid w:val="00577F8D"/>
    <w:rsid w:val="00584EA2"/>
    <w:rsid w:val="00584EEA"/>
    <w:rsid w:val="00586097"/>
    <w:rsid w:val="00587187"/>
    <w:rsid w:val="00592A1D"/>
    <w:rsid w:val="0059402A"/>
    <w:rsid w:val="005942F4"/>
    <w:rsid w:val="005959A9"/>
    <w:rsid w:val="005A0BCF"/>
    <w:rsid w:val="005A0E3D"/>
    <w:rsid w:val="005A11FA"/>
    <w:rsid w:val="005A138B"/>
    <w:rsid w:val="005A1E44"/>
    <w:rsid w:val="005A42DB"/>
    <w:rsid w:val="005A478B"/>
    <w:rsid w:val="005A574F"/>
    <w:rsid w:val="005A59B2"/>
    <w:rsid w:val="005A5BB4"/>
    <w:rsid w:val="005A6FFC"/>
    <w:rsid w:val="005A7EAC"/>
    <w:rsid w:val="005B06EF"/>
    <w:rsid w:val="005B11BD"/>
    <w:rsid w:val="005B5833"/>
    <w:rsid w:val="005B5C6B"/>
    <w:rsid w:val="005B6989"/>
    <w:rsid w:val="005B6BA2"/>
    <w:rsid w:val="005C0F06"/>
    <w:rsid w:val="005C1E45"/>
    <w:rsid w:val="005C3C3C"/>
    <w:rsid w:val="005C5425"/>
    <w:rsid w:val="005C69AF"/>
    <w:rsid w:val="005D3574"/>
    <w:rsid w:val="005D4E57"/>
    <w:rsid w:val="005D5399"/>
    <w:rsid w:val="005D675C"/>
    <w:rsid w:val="005D7A57"/>
    <w:rsid w:val="005E0911"/>
    <w:rsid w:val="005E1A82"/>
    <w:rsid w:val="005E27B9"/>
    <w:rsid w:val="005E32B5"/>
    <w:rsid w:val="005E707C"/>
    <w:rsid w:val="005E712A"/>
    <w:rsid w:val="005F3284"/>
    <w:rsid w:val="005F3599"/>
    <w:rsid w:val="005F3D89"/>
    <w:rsid w:val="005F4A30"/>
    <w:rsid w:val="005F5587"/>
    <w:rsid w:val="005F6D8F"/>
    <w:rsid w:val="005F7F68"/>
    <w:rsid w:val="0060262C"/>
    <w:rsid w:val="006027CC"/>
    <w:rsid w:val="0060405B"/>
    <w:rsid w:val="006040A0"/>
    <w:rsid w:val="00605C6C"/>
    <w:rsid w:val="0061061D"/>
    <w:rsid w:val="006115D1"/>
    <w:rsid w:val="00612AA1"/>
    <w:rsid w:val="0061411F"/>
    <w:rsid w:val="006143C4"/>
    <w:rsid w:val="006147FE"/>
    <w:rsid w:val="00620F7E"/>
    <w:rsid w:val="00621A9D"/>
    <w:rsid w:val="00622EF7"/>
    <w:rsid w:val="00624BC2"/>
    <w:rsid w:val="0062569F"/>
    <w:rsid w:val="006258D7"/>
    <w:rsid w:val="00625E33"/>
    <w:rsid w:val="00625FEC"/>
    <w:rsid w:val="00626662"/>
    <w:rsid w:val="00626CCC"/>
    <w:rsid w:val="006270DF"/>
    <w:rsid w:val="00632624"/>
    <w:rsid w:val="00633568"/>
    <w:rsid w:val="00633C8E"/>
    <w:rsid w:val="006340BD"/>
    <w:rsid w:val="006345CD"/>
    <w:rsid w:val="0063683D"/>
    <w:rsid w:val="006408A4"/>
    <w:rsid w:val="00641270"/>
    <w:rsid w:val="00641CFB"/>
    <w:rsid w:val="00644589"/>
    <w:rsid w:val="00645FE9"/>
    <w:rsid w:val="00646362"/>
    <w:rsid w:val="00650BD5"/>
    <w:rsid w:val="006535EA"/>
    <w:rsid w:val="00653B72"/>
    <w:rsid w:val="00657131"/>
    <w:rsid w:val="0065733E"/>
    <w:rsid w:val="006700CB"/>
    <w:rsid w:val="0067197F"/>
    <w:rsid w:val="006722E0"/>
    <w:rsid w:val="00672DB7"/>
    <w:rsid w:val="006749C1"/>
    <w:rsid w:val="00680D2E"/>
    <w:rsid w:val="006832E6"/>
    <w:rsid w:val="00683463"/>
    <w:rsid w:val="006837C8"/>
    <w:rsid w:val="00683DAE"/>
    <w:rsid w:val="0068631E"/>
    <w:rsid w:val="0068726C"/>
    <w:rsid w:val="00687847"/>
    <w:rsid w:val="00690B3C"/>
    <w:rsid w:val="00693112"/>
    <w:rsid w:val="006933BF"/>
    <w:rsid w:val="00693F95"/>
    <w:rsid w:val="00695C4D"/>
    <w:rsid w:val="00696FDB"/>
    <w:rsid w:val="006A1161"/>
    <w:rsid w:val="006A2ABC"/>
    <w:rsid w:val="006A2BE7"/>
    <w:rsid w:val="006A3F3A"/>
    <w:rsid w:val="006A462D"/>
    <w:rsid w:val="006A63CD"/>
    <w:rsid w:val="006A76E7"/>
    <w:rsid w:val="006B071A"/>
    <w:rsid w:val="006B0C89"/>
    <w:rsid w:val="006B2397"/>
    <w:rsid w:val="006B48DD"/>
    <w:rsid w:val="006B5353"/>
    <w:rsid w:val="006C214E"/>
    <w:rsid w:val="006C2AF3"/>
    <w:rsid w:val="006C4636"/>
    <w:rsid w:val="006C63A3"/>
    <w:rsid w:val="006D20C5"/>
    <w:rsid w:val="006D2B45"/>
    <w:rsid w:val="006D525E"/>
    <w:rsid w:val="006D7E82"/>
    <w:rsid w:val="006E2A25"/>
    <w:rsid w:val="006E2C89"/>
    <w:rsid w:val="006E418A"/>
    <w:rsid w:val="006E6486"/>
    <w:rsid w:val="006F124C"/>
    <w:rsid w:val="006F2B3A"/>
    <w:rsid w:val="006F4D20"/>
    <w:rsid w:val="006F56C8"/>
    <w:rsid w:val="006F61B4"/>
    <w:rsid w:val="00700989"/>
    <w:rsid w:val="007009A9"/>
    <w:rsid w:val="00701CB5"/>
    <w:rsid w:val="00702031"/>
    <w:rsid w:val="007022C7"/>
    <w:rsid w:val="00702DFA"/>
    <w:rsid w:val="007038E4"/>
    <w:rsid w:val="00703DB9"/>
    <w:rsid w:val="0070730A"/>
    <w:rsid w:val="007077E5"/>
    <w:rsid w:val="00707B42"/>
    <w:rsid w:val="00710C14"/>
    <w:rsid w:val="00712232"/>
    <w:rsid w:val="00713D13"/>
    <w:rsid w:val="00715F6A"/>
    <w:rsid w:val="00716EC7"/>
    <w:rsid w:val="00720329"/>
    <w:rsid w:val="00723589"/>
    <w:rsid w:val="00726CB1"/>
    <w:rsid w:val="00726DB2"/>
    <w:rsid w:val="00727576"/>
    <w:rsid w:val="00732199"/>
    <w:rsid w:val="00732F9A"/>
    <w:rsid w:val="00735060"/>
    <w:rsid w:val="00737DBD"/>
    <w:rsid w:val="00743079"/>
    <w:rsid w:val="00743C6F"/>
    <w:rsid w:val="007443C7"/>
    <w:rsid w:val="007457A7"/>
    <w:rsid w:val="00745BF3"/>
    <w:rsid w:val="00746563"/>
    <w:rsid w:val="00750F85"/>
    <w:rsid w:val="00751991"/>
    <w:rsid w:val="00751A00"/>
    <w:rsid w:val="00751B95"/>
    <w:rsid w:val="00752C40"/>
    <w:rsid w:val="0075300B"/>
    <w:rsid w:val="0075368A"/>
    <w:rsid w:val="00754227"/>
    <w:rsid w:val="007548E9"/>
    <w:rsid w:val="007549D8"/>
    <w:rsid w:val="00755A96"/>
    <w:rsid w:val="0075612F"/>
    <w:rsid w:val="00757599"/>
    <w:rsid w:val="00762FCA"/>
    <w:rsid w:val="0076595E"/>
    <w:rsid w:val="007668C5"/>
    <w:rsid w:val="00766DE0"/>
    <w:rsid w:val="00766E31"/>
    <w:rsid w:val="00771986"/>
    <w:rsid w:val="00773270"/>
    <w:rsid w:val="00775F51"/>
    <w:rsid w:val="00777641"/>
    <w:rsid w:val="007802F1"/>
    <w:rsid w:val="007809B1"/>
    <w:rsid w:val="00783C22"/>
    <w:rsid w:val="0078593F"/>
    <w:rsid w:val="00785A36"/>
    <w:rsid w:val="00794F48"/>
    <w:rsid w:val="00796D4C"/>
    <w:rsid w:val="007A0CDC"/>
    <w:rsid w:val="007A1DDD"/>
    <w:rsid w:val="007A2F13"/>
    <w:rsid w:val="007B24BE"/>
    <w:rsid w:val="007B274F"/>
    <w:rsid w:val="007B2E8A"/>
    <w:rsid w:val="007B3CAF"/>
    <w:rsid w:val="007B4597"/>
    <w:rsid w:val="007C0F14"/>
    <w:rsid w:val="007C12F4"/>
    <w:rsid w:val="007C2036"/>
    <w:rsid w:val="007C5454"/>
    <w:rsid w:val="007C6B29"/>
    <w:rsid w:val="007C6C32"/>
    <w:rsid w:val="007C7B45"/>
    <w:rsid w:val="007D2A5E"/>
    <w:rsid w:val="007D2D83"/>
    <w:rsid w:val="007D2F04"/>
    <w:rsid w:val="007D4162"/>
    <w:rsid w:val="007D6616"/>
    <w:rsid w:val="007E1679"/>
    <w:rsid w:val="007E4740"/>
    <w:rsid w:val="007E5C44"/>
    <w:rsid w:val="007E77AA"/>
    <w:rsid w:val="007F029A"/>
    <w:rsid w:val="007F1A22"/>
    <w:rsid w:val="0080338E"/>
    <w:rsid w:val="00804815"/>
    <w:rsid w:val="00804BAA"/>
    <w:rsid w:val="00805AA8"/>
    <w:rsid w:val="00806B2F"/>
    <w:rsid w:val="0080725E"/>
    <w:rsid w:val="00807621"/>
    <w:rsid w:val="00810F14"/>
    <w:rsid w:val="0081144C"/>
    <w:rsid w:val="008114A1"/>
    <w:rsid w:val="008116CC"/>
    <w:rsid w:val="00813D33"/>
    <w:rsid w:val="00814484"/>
    <w:rsid w:val="00820953"/>
    <w:rsid w:val="00826046"/>
    <w:rsid w:val="008263E4"/>
    <w:rsid w:val="00835A85"/>
    <w:rsid w:val="008368A4"/>
    <w:rsid w:val="00836EF8"/>
    <w:rsid w:val="00841F8C"/>
    <w:rsid w:val="008424A7"/>
    <w:rsid w:val="008432D4"/>
    <w:rsid w:val="00844F3F"/>
    <w:rsid w:val="008472A2"/>
    <w:rsid w:val="008477D1"/>
    <w:rsid w:val="008513A1"/>
    <w:rsid w:val="00851B15"/>
    <w:rsid w:val="00855B7B"/>
    <w:rsid w:val="00856066"/>
    <w:rsid w:val="00861159"/>
    <w:rsid w:val="00862884"/>
    <w:rsid w:val="00863BDD"/>
    <w:rsid w:val="00865DB2"/>
    <w:rsid w:val="0087432C"/>
    <w:rsid w:val="00876C8E"/>
    <w:rsid w:val="00881280"/>
    <w:rsid w:val="00882027"/>
    <w:rsid w:val="0088290B"/>
    <w:rsid w:val="00884DB2"/>
    <w:rsid w:val="0089056E"/>
    <w:rsid w:val="00890F3E"/>
    <w:rsid w:val="008933E9"/>
    <w:rsid w:val="0089344A"/>
    <w:rsid w:val="00896103"/>
    <w:rsid w:val="008A06A0"/>
    <w:rsid w:val="008A0C89"/>
    <w:rsid w:val="008A1005"/>
    <w:rsid w:val="008A171D"/>
    <w:rsid w:val="008A3FC7"/>
    <w:rsid w:val="008A4A66"/>
    <w:rsid w:val="008A4D75"/>
    <w:rsid w:val="008A7EC9"/>
    <w:rsid w:val="008B0177"/>
    <w:rsid w:val="008B25BD"/>
    <w:rsid w:val="008B3CCB"/>
    <w:rsid w:val="008B3DF5"/>
    <w:rsid w:val="008B609E"/>
    <w:rsid w:val="008B6307"/>
    <w:rsid w:val="008B7707"/>
    <w:rsid w:val="008B7EB1"/>
    <w:rsid w:val="008C142F"/>
    <w:rsid w:val="008C188F"/>
    <w:rsid w:val="008C1D48"/>
    <w:rsid w:val="008C40AC"/>
    <w:rsid w:val="008C6D5C"/>
    <w:rsid w:val="008C792C"/>
    <w:rsid w:val="008D283D"/>
    <w:rsid w:val="008D3E86"/>
    <w:rsid w:val="008D4400"/>
    <w:rsid w:val="008D6E85"/>
    <w:rsid w:val="008D7067"/>
    <w:rsid w:val="008D7476"/>
    <w:rsid w:val="008E040E"/>
    <w:rsid w:val="008E0893"/>
    <w:rsid w:val="008E2485"/>
    <w:rsid w:val="008E2636"/>
    <w:rsid w:val="008E296D"/>
    <w:rsid w:val="008E6435"/>
    <w:rsid w:val="008E7867"/>
    <w:rsid w:val="008F1BBA"/>
    <w:rsid w:val="008F3A3D"/>
    <w:rsid w:val="008F4F85"/>
    <w:rsid w:val="008F74EF"/>
    <w:rsid w:val="008F7766"/>
    <w:rsid w:val="00900F2B"/>
    <w:rsid w:val="00902CE0"/>
    <w:rsid w:val="00903BCB"/>
    <w:rsid w:val="00905369"/>
    <w:rsid w:val="0090769B"/>
    <w:rsid w:val="00907FE4"/>
    <w:rsid w:val="009129FD"/>
    <w:rsid w:val="009143A3"/>
    <w:rsid w:val="00914BB7"/>
    <w:rsid w:val="00915B31"/>
    <w:rsid w:val="00920B59"/>
    <w:rsid w:val="00922110"/>
    <w:rsid w:val="00923461"/>
    <w:rsid w:val="00923DB3"/>
    <w:rsid w:val="00923DF6"/>
    <w:rsid w:val="00924898"/>
    <w:rsid w:val="00926E4A"/>
    <w:rsid w:val="00930D36"/>
    <w:rsid w:val="00930EEA"/>
    <w:rsid w:val="00932DEB"/>
    <w:rsid w:val="00936063"/>
    <w:rsid w:val="0093747F"/>
    <w:rsid w:val="0094003E"/>
    <w:rsid w:val="0094245B"/>
    <w:rsid w:val="00946CE9"/>
    <w:rsid w:val="00947750"/>
    <w:rsid w:val="0095054C"/>
    <w:rsid w:val="009524D0"/>
    <w:rsid w:val="00953A70"/>
    <w:rsid w:val="0095458D"/>
    <w:rsid w:val="00957272"/>
    <w:rsid w:val="009601D3"/>
    <w:rsid w:val="009605EF"/>
    <w:rsid w:val="00962DC7"/>
    <w:rsid w:val="00964C6B"/>
    <w:rsid w:val="00966546"/>
    <w:rsid w:val="0096713C"/>
    <w:rsid w:val="00967CE0"/>
    <w:rsid w:val="00970B89"/>
    <w:rsid w:val="00970BBD"/>
    <w:rsid w:val="00971496"/>
    <w:rsid w:val="009744E4"/>
    <w:rsid w:val="00977E58"/>
    <w:rsid w:val="00980600"/>
    <w:rsid w:val="00985273"/>
    <w:rsid w:val="009869F2"/>
    <w:rsid w:val="00986BEB"/>
    <w:rsid w:val="00990670"/>
    <w:rsid w:val="00991C9E"/>
    <w:rsid w:val="00991EFA"/>
    <w:rsid w:val="0099260A"/>
    <w:rsid w:val="00995008"/>
    <w:rsid w:val="0099731C"/>
    <w:rsid w:val="009A067C"/>
    <w:rsid w:val="009A1DE7"/>
    <w:rsid w:val="009A390A"/>
    <w:rsid w:val="009A5964"/>
    <w:rsid w:val="009A6F2A"/>
    <w:rsid w:val="009A7412"/>
    <w:rsid w:val="009B01AD"/>
    <w:rsid w:val="009B1521"/>
    <w:rsid w:val="009B2D0B"/>
    <w:rsid w:val="009B2F19"/>
    <w:rsid w:val="009B4ED7"/>
    <w:rsid w:val="009B51BA"/>
    <w:rsid w:val="009B6DE2"/>
    <w:rsid w:val="009B76B7"/>
    <w:rsid w:val="009C0052"/>
    <w:rsid w:val="009C301C"/>
    <w:rsid w:val="009C3D9D"/>
    <w:rsid w:val="009C6B00"/>
    <w:rsid w:val="009D0D15"/>
    <w:rsid w:val="009D0EF9"/>
    <w:rsid w:val="009D23F5"/>
    <w:rsid w:val="009E1594"/>
    <w:rsid w:val="009E2D90"/>
    <w:rsid w:val="009E405A"/>
    <w:rsid w:val="009E4F36"/>
    <w:rsid w:val="009E550E"/>
    <w:rsid w:val="009E6846"/>
    <w:rsid w:val="009F0880"/>
    <w:rsid w:val="009F095B"/>
    <w:rsid w:val="009F1E02"/>
    <w:rsid w:val="009F22A4"/>
    <w:rsid w:val="009F2BE4"/>
    <w:rsid w:val="009F39AB"/>
    <w:rsid w:val="009F4230"/>
    <w:rsid w:val="009F727C"/>
    <w:rsid w:val="009F7798"/>
    <w:rsid w:val="00A00B9A"/>
    <w:rsid w:val="00A03618"/>
    <w:rsid w:val="00A0397E"/>
    <w:rsid w:val="00A039BB"/>
    <w:rsid w:val="00A03B36"/>
    <w:rsid w:val="00A03DCF"/>
    <w:rsid w:val="00A05492"/>
    <w:rsid w:val="00A0627A"/>
    <w:rsid w:val="00A0742C"/>
    <w:rsid w:val="00A10878"/>
    <w:rsid w:val="00A12B49"/>
    <w:rsid w:val="00A12B75"/>
    <w:rsid w:val="00A14D34"/>
    <w:rsid w:val="00A1685E"/>
    <w:rsid w:val="00A16DFC"/>
    <w:rsid w:val="00A178A5"/>
    <w:rsid w:val="00A179C5"/>
    <w:rsid w:val="00A202A0"/>
    <w:rsid w:val="00A21C43"/>
    <w:rsid w:val="00A21D45"/>
    <w:rsid w:val="00A23B61"/>
    <w:rsid w:val="00A25D31"/>
    <w:rsid w:val="00A2644C"/>
    <w:rsid w:val="00A26E0E"/>
    <w:rsid w:val="00A3595F"/>
    <w:rsid w:val="00A3720E"/>
    <w:rsid w:val="00A41881"/>
    <w:rsid w:val="00A42551"/>
    <w:rsid w:val="00A4553A"/>
    <w:rsid w:val="00A46127"/>
    <w:rsid w:val="00A4638E"/>
    <w:rsid w:val="00A46524"/>
    <w:rsid w:val="00A47D69"/>
    <w:rsid w:val="00A50223"/>
    <w:rsid w:val="00A55AD4"/>
    <w:rsid w:val="00A55C94"/>
    <w:rsid w:val="00A5738E"/>
    <w:rsid w:val="00A57E66"/>
    <w:rsid w:val="00A67839"/>
    <w:rsid w:val="00A73220"/>
    <w:rsid w:val="00A77758"/>
    <w:rsid w:val="00A77EA0"/>
    <w:rsid w:val="00A80298"/>
    <w:rsid w:val="00A80C09"/>
    <w:rsid w:val="00A8165B"/>
    <w:rsid w:val="00A83836"/>
    <w:rsid w:val="00A839F9"/>
    <w:rsid w:val="00A86910"/>
    <w:rsid w:val="00A87222"/>
    <w:rsid w:val="00A90798"/>
    <w:rsid w:val="00A9362B"/>
    <w:rsid w:val="00A9363B"/>
    <w:rsid w:val="00A93B03"/>
    <w:rsid w:val="00A93CF5"/>
    <w:rsid w:val="00A95D5D"/>
    <w:rsid w:val="00A962BF"/>
    <w:rsid w:val="00A96AD4"/>
    <w:rsid w:val="00A97D64"/>
    <w:rsid w:val="00AA00F3"/>
    <w:rsid w:val="00AA23D1"/>
    <w:rsid w:val="00AA3D68"/>
    <w:rsid w:val="00AA46D0"/>
    <w:rsid w:val="00AA7420"/>
    <w:rsid w:val="00AA75B8"/>
    <w:rsid w:val="00AB00F0"/>
    <w:rsid w:val="00AB246B"/>
    <w:rsid w:val="00AC01C5"/>
    <w:rsid w:val="00AC51F7"/>
    <w:rsid w:val="00AC5697"/>
    <w:rsid w:val="00AC6AC4"/>
    <w:rsid w:val="00AD26C2"/>
    <w:rsid w:val="00AD2B52"/>
    <w:rsid w:val="00AD442C"/>
    <w:rsid w:val="00AD56C3"/>
    <w:rsid w:val="00AD6694"/>
    <w:rsid w:val="00AD690C"/>
    <w:rsid w:val="00AD749F"/>
    <w:rsid w:val="00AE0977"/>
    <w:rsid w:val="00AE0F63"/>
    <w:rsid w:val="00AE196E"/>
    <w:rsid w:val="00AE19C8"/>
    <w:rsid w:val="00AE577A"/>
    <w:rsid w:val="00AE6583"/>
    <w:rsid w:val="00AE6931"/>
    <w:rsid w:val="00AE7CBD"/>
    <w:rsid w:val="00AF0039"/>
    <w:rsid w:val="00AF0B2A"/>
    <w:rsid w:val="00AF0F79"/>
    <w:rsid w:val="00AF2571"/>
    <w:rsid w:val="00AF370D"/>
    <w:rsid w:val="00AF3AD3"/>
    <w:rsid w:val="00AF5353"/>
    <w:rsid w:val="00AF6502"/>
    <w:rsid w:val="00B0150C"/>
    <w:rsid w:val="00B021E4"/>
    <w:rsid w:val="00B03078"/>
    <w:rsid w:val="00B04B6C"/>
    <w:rsid w:val="00B06D19"/>
    <w:rsid w:val="00B071F6"/>
    <w:rsid w:val="00B075F9"/>
    <w:rsid w:val="00B12FC2"/>
    <w:rsid w:val="00B139B2"/>
    <w:rsid w:val="00B15716"/>
    <w:rsid w:val="00B22F32"/>
    <w:rsid w:val="00B23E1E"/>
    <w:rsid w:val="00B242DE"/>
    <w:rsid w:val="00B2526D"/>
    <w:rsid w:val="00B25FC6"/>
    <w:rsid w:val="00B272CD"/>
    <w:rsid w:val="00B34C93"/>
    <w:rsid w:val="00B3585C"/>
    <w:rsid w:val="00B405FF"/>
    <w:rsid w:val="00B45258"/>
    <w:rsid w:val="00B47929"/>
    <w:rsid w:val="00B47BF0"/>
    <w:rsid w:val="00B518D0"/>
    <w:rsid w:val="00B524AE"/>
    <w:rsid w:val="00B52762"/>
    <w:rsid w:val="00B530BB"/>
    <w:rsid w:val="00B54B5D"/>
    <w:rsid w:val="00B56CCB"/>
    <w:rsid w:val="00B60387"/>
    <w:rsid w:val="00B62049"/>
    <w:rsid w:val="00B65BAF"/>
    <w:rsid w:val="00B71AB8"/>
    <w:rsid w:val="00B7540B"/>
    <w:rsid w:val="00B75A00"/>
    <w:rsid w:val="00B75BB6"/>
    <w:rsid w:val="00B80B4C"/>
    <w:rsid w:val="00B82871"/>
    <w:rsid w:val="00B8468C"/>
    <w:rsid w:val="00B8729E"/>
    <w:rsid w:val="00B87E15"/>
    <w:rsid w:val="00B87EDA"/>
    <w:rsid w:val="00B91F47"/>
    <w:rsid w:val="00B95433"/>
    <w:rsid w:val="00B961D0"/>
    <w:rsid w:val="00BA3AA4"/>
    <w:rsid w:val="00BA4C20"/>
    <w:rsid w:val="00BA6BAB"/>
    <w:rsid w:val="00BA7284"/>
    <w:rsid w:val="00BB123B"/>
    <w:rsid w:val="00BB12C0"/>
    <w:rsid w:val="00BB12F8"/>
    <w:rsid w:val="00BB2004"/>
    <w:rsid w:val="00BB294A"/>
    <w:rsid w:val="00BB3499"/>
    <w:rsid w:val="00BB4FEE"/>
    <w:rsid w:val="00BB5319"/>
    <w:rsid w:val="00BC5A89"/>
    <w:rsid w:val="00BC6BC7"/>
    <w:rsid w:val="00BC6E78"/>
    <w:rsid w:val="00BC7068"/>
    <w:rsid w:val="00BD135F"/>
    <w:rsid w:val="00BD317F"/>
    <w:rsid w:val="00BD3EB3"/>
    <w:rsid w:val="00BE08B1"/>
    <w:rsid w:val="00BE1F18"/>
    <w:rsid w:val="00BE3F77"/>
    <w:rsid w:val="00BE43A1"/>
    <w:rsid w:val="00BE7899"/>
    <w:rsid w:val="00BF2757"/>
    <w:rsid w:val="00BF2FE7"/>
    <w:rsid w:val="00BF4BB3"/>
    <w:rsid w:val="00BF7CFD"/>
    <w:rsid w:val="00C027BE"/>
    <w:rsid w:val="00C0400A"/>
    <w:rsid w:val="00C0426B"/>
    <w:rsid w:val="00C0618B"/>
    <w:rsid w:val="00C10BBD"/>
    <w:rsid w:val="00C123C0"/>
    <w:rsid w:val="00C12A0C"/>
    <w:rsid w:val="00C12B6C"/>
    <w:rsid w:val="00C1438E"/>
    <w:rsid w:val="00C16FA2"/>
    <w:rsid w:val="00C17A25"/>
    <w:rsid w:val="00C20403"/>
    <w:rsid w:val="00C21FF6"/>
    <w:rsid w:val="00C22880"/>
    <w:rsid w:val="00C2398C"/>
    <w:rsid w:val="00C23BD6"/>
    <w:rsid w:val="00C24A58"/>
    <w:rsid w:val="00C25197"/>
    <w:rsid w:val="00C256A0"/>
    <w:rsid w:val="00C257F4"/>
    <w:rsid w:val="00C25A7B"/>
    <w:rsid w:val="00C26A49"/>
    <w:rsid w:val="00C27AE1"/>
    <w:rsid w:val="00C31316"/>
    <w:rsid w:val="00C34EDC"/>
    <w:rsid w:val="00C352B8"/>
    <w:rsid w:val="00C358F7"/>
    <w:rsid w:val="00C36213"/>
    <w:rsid w:val="00C41741"/>
    <w:rsid w:val="00C46E64"/>
    <w:rsid w:val="00C4747C"/>
    <w:rsid w:val="00C5188F"/>
    <w:rsid w:val="00C523E5"/>
    <w:rsid w:val="00C53873"/>
    <w:rsid w:val="00C56B85"/>
    <w:rsid w:val="00C574EE"/>
    <w:rsid w:val="00C61ACD"/>
    <w:rsid w:val="00C6400A"/>
    <w:rsid w:val="00C65028"/>
    <w:rsid w:val="00C66BCD"/>
    <w:rsid w:val="00C6783F"/>
    <w:rsid w:val="00C7421D"/>
    <w:rsid w:val="00C74791"/>
    <w:rsid w:val="00C74CE5"/>
    <w:rsid w:val="00C76435"/>
    <w:rsid w:val="00C76F37"/>
    <w:rsid w:val="00C77A90"/>
    <w:rsid w:val="00C80AE0"/>
    <w:rsid w:val="00C81471"/>
    <w:rsid w:val="00C84190"/>
    <w:rsid w:val="00C8426C"/>
    <w:rsid w:val="00C85E4D"/>
    <w:rsid w:val="00C87D6E"/>
    <w:rsid w:val="00C90D41"/>
    <w:rsid w:val="00C9293B"/>
    <w:rsid w:val="00C94595"/>
    <w:rsid w:val="00C945C4"/>
    <w:rsid w:val="00C957ED"/>
    <w:rsid w:val="00CA3014"/>
    <w:rsid w:val="00CA3393"/>
    <w:rsid w:val="00CA35B2"/>
    <w:rsid w:val="00CA40B5"/>
    <w:rsid w:val="00CA52B7"/>
    <w:rsid w:val="00CA6320"/>
    <w:rsid w:val="00CA7046"/>
    <w:rsid w:val="00CA7CCB"/>
    <w:rsid w:val="00CB1608"/>
    <w:rsid w:val="00CB1A70"/>
    <w:rsid w:val="00CB1ABA"/>
    <w:rsid w:val="00CB3966"/>
    <w:rsid w:val="00CB410F"/>
    <w:rsid w:val="00CB4387"/>
    <w:rsid w:val="00CB4F74"/>
    <w:rsid w:val="00CB5249"/>
    <w:rsid w:val="00CB6500"/>
    <w:rsid w:val="00CB7FE4"/>
    <w:rsid w:val="00CC0783"/>
    <w:rsid w:val="00CC1553"/>
    <w:rsid w:val="00CC24F3"/>
    <w:rsid w:val="00CC39E7"/>
    <w:rsid w:val="00CC3B22"/>
    <w:rsid w:val="00CC4F8C"/>
    <w:rsid w:val="00CD18D8"/>
    <w:rsid w:val="00CD3728"/>
    <w:rsid w:val="00CD5089"/>
    <w:rsid w:val="00CD56E3"/>
    <w:rsid w:val="00CD5A21"/>
    <w:rsid w:val="00CD61F6"/>
    <w:rsid w:val="00CD6EC8"/>
    <w:rsid w:val="00CD79B1"/>
    <w:rsid w:val="00CE0442"/>
    <w:rsid w:val="00CE06CA"/>
    <w:rsid w:val="00CE3E53"/>
    <w:rsid w:val="00CE4A46"/>
    <w:rsid w:val="00CE4E1F"/>
    <w:rsid w:val="00CE5749"/>
    <w:rsid w:val="00CE5812"/>
    <w:rsid w:val="00CE6AB4"/>
    <w:rsid w:val="00CF0AB2"/>
    <w:rsid w:val="00CF1BCC"/>
    <w:rsid w:val="00CF2E2E"/>
    <w:rsid w:val="00CF594D"/>
    <w:rsid w:val="00CF6CFA"/>
    <w:rsid w:val="00D00B6A"/>
    <w:rsid w:val="00D027D3"/>
    <w:rsid w:val="00D027E9"/>
    <w:rsid w:val="00D038A3"/>
    <w:rsid w:val="00D03DF2"/>
    <w:rsid w:val="00D05B82"/>
    <w:rsid w:val="00D05F67"/>
    <w:rsid w:val="00D06B24"/>
    <w:rsid w:val="00D07315"/>
    <w:rsid w:val="00D07C29"/>
    <w:rsid w:val="00D1020C"/>
    <w:rsid w:val="00D12593"/>
    <w:rsid w:val="00D127F7"/>
    <w:rsid w:val="00D13C79"/>
    <w:rsid w:val="00D14EA9"/>
    <w:rsid w:val="00D1723D"/>
    <w:rsid w:val="00D23140"/>
    <w:rsid w:val="00D24AD9"/>
    <w:rsid w:val="00D26606"/>
    <w:rsid w:val="00D26662"/>
    <w:rsid w:val="00D26D27"/>
    <w:rsid w:val="00D27134"/>
    <w:rsid w:val="00D274DE"/>
    <w:rsid w:val="00D30740"/>
    <w:rsid w:val="00D308E4"/>
    <w:rsid w:val="00D3432E"/>
    <w:rsid w:val="00D36ABA"/>
    <w:rsid w:val="00D404C2"/>
    <w:rsid w:val="00D4057A"/>
    <w:rsid w:val="00D4542A"/>
    <w:rsid w:val="00D500B9"/>
    <w:rsid w:val="00D50106"/>
    <w:rsid w:val="00D52A67"/>
    <w:rsid w:val="00D548B4"/>
    <w:rsid w:val="00D562F4"/>
    <w:rsid w:val="00D62073"/>
    <w:rsid w:val="00D63EAF"/>
    <w:rsid w:val="00D67BBD"/>
    <w:rsid w:val="00D72CB9"/>
    <w:rsid w:val="00D72FEA"/>
    <w:rsid w:val="00D73511"/>
    <w:rsid w:val="00D74879"/>
    <w:rsid w:val="00D80D5F"/>
    <w:rsid w:val="00D83D30"/>
    <w:rsid w:val="00D83E08"/>
    <w:rsid w:val="00D84162"/>
    <w:rsid w:val="00D84484"/>
    <w:rsid w:val="00D87B8E"/>
    <w:rsid w:val="00D90525"/>
    <w:rsid w:val="00D91C0D"/>
    <w:rsid w:val="00D92E16"/>
    <w:rsid w:val="00D94352"/>
    <w:rsid w:val="00D95C97"/>
    <w:rsid w:val="00D97334"/>
    <w:rsid w:val="00DA0BC5"/>
    <w:rsid w:val="00DA7796"/>
    <w:rsid w:val="00DB1703"/>
    <w:rsid w:val="00DB4EEC"/>
    <w:rsid w:val="00DB5671"/>
    <w:rsid w:val="00DB57F1"/>
    <w:rsid w:val="00DB5884"/>
    <w:rsid w:val="00DB5B7D"/>
    <w:rsid w:val="00DB73B0"/>
    <w:rsid w:val="00DC0B5A"/>
    <w:rsid w:val="00DC3B51"/>
    <w:rsid w:val="00DC5553"/>
    <w:rsid w:val="00DC5C31"/>
    <w:rsid w:val="00DD04F8"/>
    <w:rsid w:val="00DD0968"/>
    <w:rsid w:val="00DD1B25"/>
    <w:rsid w:val="00DD3E96"/>
    <w:rsid w:val="00DD3EF0"/>
    <w:rsid w:val="00DD4673"/>
    <w:rsid w:val="00DD576F"/>
    <w:rsid w:val="00DE4CA3"/>
    <w:rsid w:val="00DE75B9"/>
    <w:rsid w:val="00DF03BB"/>
    <w:rsid w:val="00DF07EC"/>
    <w:rsid w:val="00DF22CB"/>
    <w:rsid w:val="00DF394E"/>
    <w:rsid w:val="00DF5CB6"/>
    <w:rsid w:val="00E005FD"/>
    <w:rsid w:val="00E00ACA"/>
    <w:rsid w:val="00E01E15"/>
    <w:rsid w:val="00E04040"/>
    <w:rsid w:val="00E06C21"/>
    <w:rsid w:val="00E07FA8"/>
    <w:rsid w:val="00E1255C"/>
    <w:rsid w:val="00E12855"/>
    <w:rsid w:val="00E13100"/>
    <w:rsid w:val="00E1320D"/>
    <w:rsid w:val="00E15170"/>
    <w:rsid w:val="00E158F2"/>
    <w:rsid w:val="00E16BAD"/>
    <w:rsid w:val="00E20173"/>
    <w:rsid w:val="00E208FD"/>
    <w:rsid w:val="00E22B9B"/>
    <w:rsid w:val="00E257D6"/>
    <w:rsid w:val="00E2675B"/>
    <w:rsid w:val="00E276E4"/>
    <w:rsid w:val="00E31ECE"/>
    <w:rsid w:val="00E31F05"/>
    <w:rsid w:val="00E32E63"/>
    <w:rsid w:val="00E33149"/>
    <w:rsid w:val="00E33523"/>
    <w:rsid w:val="00E4103B"/>
    <w:rsid w:val="00E412D8"/>
    <w:rsid w:val="00E44227"/>
    <w:rsid w:val="00E44A06"/>
    <w:rsid w:val="00E45924"/>
    <w:rsid w:val="00E46AD0"/>
    <w:rsid w:val="00E4713C"/>
    <w:rsid w:val="00E4717F"/>
    <w:rsid w:val="00E4757D"/>
    <w:rsid w:val="00E5060A"/>
    <w:rsid w:val="00E5183F"/>
    <w:rsid w:val="00E5703D"/>
    <w:rsid w:val="00E5730E"/>
    <w:rsid w:val="00E62F49"/>
    <w:rsid w:val="00E637AC"/>
    <w:rsid w:val="00E63CA1"/>
    <w:rsid w:val="00E64A62"/>
    <w:rsid w:val="00E65698"/>
    <w:rsid w:val="00E669F7"/>
    <w:rsid w:val="00E66B7F"/>
    <w:rsid w:val="00E67A15"/>
    <w:rsid w:val="00E67A65"/>
    <w:rsid w:val="00E72BCA"/>
    <w:rsid w:val="00E7396E"/>
    <w:rsid w:val="00E7698D"/>
    <w:rsid w:val="00E80307"/>
    <w:rsid w:val="00E83532"/>
    <w:rsid w:val="00E8586C"/>
    <w:rsid w:val="00E90845"/>
    <w:rsid w:val="00E90DA2"/>
    <w:rsid w:val="00E91728"/>
    <w:rsid w:val="00E9172B"/>
    <w:rsid w:val="00E917E5"/>
    <w:rsid w:val="00E92F99"/>
    <w:rsid w:val="00E9697A"/>
    <w:rsid w:val="00EA0E23"/>
    <w:rsid w:val="00EA1A11"/>
    <w:rsid w:val="00EA366E"/>
    <w:rsid w:val="00EA59B0"/>
    <w:rsid w:val="00EA7467"/>
    <w:rsid w:val="00EB19F9"/>
    <w:rsid w:val="00EB2202"/>
    <w:rsid w:val="00EB399E"/>
    <w:rsid w:val="00EB3D3B"/>
    <w:rsid w:val="00EB4FAA"/>
    <w:rsid w:val="00EB4FAB"/>
    <w:rsid w:val="00EB5529"/>
    <w:rsid w:val="00EC0808"/>
    <w:rsid w:val="00EC0B0F"/>
    <w:rsid w:val="00EC3594"/>
    <w:rsid w:val="00EC367E"/>
    <w:rsid w:val="00EC6BFD"/>
    <w:rsid w:val="00ED19AC"/>
    <w:rsid w:val="00ED1CCD"/>
    <w:rsid w:val="00EE18AF"/>
    <w:rsid w:val="00EE1CD9"/>
    <w:rsid w:val="00EE5245"/>
    <w:rsid w:val="00EE6D26"/>
    <w:rsid w:val="00EE748F"/>
    <w:rsid w:val="00EF0B65"/>
    <w:rsid w:val="00EF1D96"/>
    <w:rsid w:val="00EF2261"/>
    <w:rsid w:val="00EF43BD"/>
    <w:rsid w:val="00EF4DFB"/>
    <w:rsid w:val="00EF58C7"/>
    <w:rsid w:val="00EF5F5A"/>
    <w:rsid w:val="00EF6CEE"/>
    <w:rsid w:val="00F01DD1"/>
    <w:rsid w:val="00F03690"/>
    <w:rsid w:val="00F03CFE"/>
    <w:rsid w:val="00F05229"/>
    <w:rsid w:val="00F06477"/>
    <w:rsid w:val="00F11ED9"/>
    <w:rsid w:val="00F13A56"/>
    <w:rsid w:val="00F15256"/>
    <w:rsid w:val="00F15489"/>
    <w:rsid w:val="00F21DB1"/>
    <w:rsid w:val="00F26C93"/>
    <w:rsid w:val="00F27F8D"/>
    <w:rsid w:val="00F27FA6"/>
    <w:rsid w:val="00F30A71"/>
    <w:rsid w:val="00F30B73"/>
    <w:rsid w:val="00F319FA"/>
    <w:rsid w:val="00F31E53"/>
    <w:rsid w:val="00F31F35"/>
    <w:rsid w:val="00F3472F"/>
    <w:rsid w:val="00F366A0"/>
    <w:rsid w:val="00F37327"/>
    <w:rsid w:val="00F37EDC"/>
    <w:rsid w:val="00F45C09"/>
    <w:rsid w:val="00F47766"/>
    <w:rsid w:val="00F5062E"/>
    <w:rsid w:val="00F524C4"/>
    <w:rsid w:val="00F53935"/>
    <w:rsid w:val="00F54E66"/>
    <w:rsid w:val="00F55A56"/>
    <w:rsid w:val="00F563BD"/>
    <w:rsid w:val="00F640AD"/>
    <w:rsid w:val="00F65717"/>
    <w:rsid w:val="00F65FC9"/>
    <w:rsid w:val="00F67AD7"/>
    <w:rsid w:val="00F71048"/>
    <w:rsid w:val="00F728D4"/>
    <w:rsid w:val="00F72941"/>
    <w:rsid w:val="00F75333"/>
    <w:rsid w:val="00F77D47"/>
    <w:rsid w:val="00F807E8"/>
    <w:rsid w:val="00F80D4D"/>
    <w:rsid w:val="00F80FA5"/>
    <w:rsid w:val="00F8142A"/>
    <w:rsid w:val="00F81540"/>
    <w:rsid w:val="00F81685"/>
    <w:rsid w:val="00F856D5"/>
    <w:rsid w:val="00F86582"/>
    <w:rsid w:val="00F868E7"/>
    <w:rsid w:val="00F86DD4"/>
    <w:rsid w:val="00F9361A"/>
    <w:rsid w:val="00F944C6"/>
    <w:rsid w:val="00F95B8D"/>
    <w:rsid w:val="00F95BF5"/>
    <w:rsid w:val="00FA4E92"/>
    <w:rsid w:val="00FA5473"/>
    <w:rsid w:val="00FA6A53"/>
    <w:rsid w:val="00FA7904"/>
    <w:rsid w:val="00FB0826"/>
    <w:rsid w:val="00FB0EC8"/>
    <w:rsid w:val="00FB114A"/>
    <w:rsid w:val="00FB1CF9"/>
    <w:rsid w:val="00FB2F75"/>
    <w:rsid w:val="00FB5D0B"/>
    <w:rsid w:val="00FB5D76"/>
    <w:rsid w:val="00FB6C9B"/>
    <w:rsid w:val="00FB779F"/>
    <w:rsid w:val="00FC2363"/>
    <w:rsid w:val="00FC2581"/>
    <w:rsid w:val="00FC3268"/>
    <w:rsid w:val="00FC3833"/>
    <w:rsid w:val="00FC427B"/>
    <w:rsid w:val="00FC6930"/>
    <w:rsid w:val="00FC7B12"/>
    <w:rsid w:val="00FD4E96"/>
    <w:rsid w:val="00FD5ED2"/>
    <w:rsid w:val="00FD6281"/>
    <w:rsid w:val="00FD6F19"/>
    <w:rsid w:val="00FD72EE"/>
    <w:rsid w:val="00FE0B6F"/>
    <w:rsid w:val="00FE0D91"/>
    <w:rsid w:val="00FE180D"/>
    <w:rsid w:val="00FE3D6B"/>
    <w:rsid w:val="00FE6A23"/>
    <w:rsid w:val="00FE7317"/>
    <w:rsid w:val="00FE7A60"/>
    <w:rsid w:val="00FF0D27"/>
    <w:rsid w:val="00FF275F"/>
    <w:rsid w:val="00FF7724"/>
    <w:rsid w:val="00FF7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298">
      <w:bodyDiv w:val="1"/>
      <w:marLeft w:val="0"/>
      <w:marRight w:val="0"/>
      <w:marTop w:val="0"/>
      <w:marBottom w:val="0"/>
      <w:divBdr>
        <w:top w:val="none" w:sz="0" w:space="0" w:color="auto"/>
        <w:left w:val="none" w:sz="0" w:space="0" w:color="auto"/>
        <w:bottom w:val="none" w:sz="0" w:space="0" w:color="auto"/>
        <w:right w:val="none" w:sz="0" w:space="0" w:color="auto"/>
      </w:divBdr>
    </w:div>
    <w:div w:id="110588767">
      <w:bodyDiv w:val="1"/>
      <w:marLeft w:val="225"/>
      <w:marRight w:val="225"/>
      <w:marTop w:val="0"/>
      <w:marBottom w:val="0"/>
      <w:divBdr>
        <w:top w:val="none" w:sz="0" w:space="0" w:color="auto"/>
        <w:left w:val="none" w:sz="0" w:space="0" w:color="auto"/>
        <w:bottom w:val="none" w:sz="0" w:space="0" w:color="auto"/>
        <w:right w:val="none" w:sz="0" w:space="0" w:color="auto"/>
      </w:divBdr>
      <w:divsChild>
        <w:div w:id="1488983799">
          <w:marLeft w:val="0"/>
          <w:marRight w:val="0"/>
          <w:marTop w:val="0"/>
          <w:marBottom w:val="0"/>
          <w:divBdr>
            <w:top w:val="none" w:sz="0" w:space="0" w:color="auto"/>
            <w:left w:val="none" w:sz="0" w:space="0" w:color="auto"/>
            <w:bottom w:val="none" w:sz="0" w:space="0" w:color="auto"/>
            <w:right w:val="none" w:sz="0" w:space="0" w:color="auto"/>
          </w:divBdr>
        </w:div>
      </w:divsChild>
    </w:div>
    <w:div w:id="161511549">
      <w:bodyDiv w:val="1"/>
      <w:marLeft w:val="0"/>
      <w:marRight w:val="0"/>
      <w:marTop w:val="0"/>
      <w:marBottom w:val="0"/>
      <w:divBdr>
        <w:top w:val="none" w:sz="0" w:space="0" w:color="auto"/>
        <w:left w:val="none" w:sz="0" w:space="0" w:color="auto"/>
        <w:bottom w:val="none" w:sz="0" w:space="0" w:color="auto"/>
        <w:right w:val="none" w:sz="0" w:space="0" w:color="auto"/>
      </w:divBdr>
    </w:div>
    <w:div w:id="427316446">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90896532">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19922486">
      <w:bodyDiv w:val="1"/>
      <w:marLeft w:val="0"/>
      <w:marRight w:val="0"/>
      <w:marTop w:val="0"/>
      <w:marBottom w:val="0"/>
      <w:divBdr>
        <w:top w:val="none" w:sz="0" w:space="0" w:color="auto"/>
        <w:left w:val="none" w:sz="0" w:space="0" w:color="auto"/>
        <w:bottom w:val="none" w:sz="0" w:space="0" w:color="auto"/>
        <w:right w:val="none" w:sz="0" w:space="0" w:color="auto"/>
      </w:divBdr>
    </w:div>
    <w:div w:id="844053427">
      <w:bodyDiv w:val="1"/>
      <w:marLeft w:val="0"/>
      <w:marRight w:val="0"/>
      <w:marTop w:val="0"/>
      <w:marBottom w:val="0"/>
      <w:divBdr>
        <w:top w:val="none" w:sz="0" w:space="0" w:color="auto"/>
        <w:left w:val="none" w:sz="0" w:space="0" w:color="auto"/>
        <w:bottom w:val="none" w:sz="0" w:space="0" w:color="auto"/>
        <w:right w:val="none" w:sz="0" w:space="0" w:color="auto"/>
      </w:divBdr>
    </w:div>
    <w:div w:id="856043029">
      <w:bodyDiv w:val="1"/>
      <w:marLeft w:val="0"/>
      <w:marRight w:val="0"/>
      <w:marTop w:val="0"/>
      <w:marBottom w:val="0"/>
      <w:divBdr>
        <w:top w:val="none" w:sz="0" w:space="0" w:color="auto"/>
        <w:left w:val="none" w:sz="0" w:space="0" w:color="auto"/>
        <w:bottom w:val="none" w:sz="0" w:space="0" w:color="auto"/>
        <w:right w:val="none" w:sz="0" w:space="0" w:color="auto"/>
      </w:divBdr>
    </w:div>
    <w:div w:id="974062263">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205825331">
      <w:bodyDiv w:val="1"/>
      <w:marLeft w:val="0"/>
      <w:marRight w:val="0"/>
      <w:marTop w:val="0"/>
      <w:marBottom w:val="0"/>
      <w:divBdr>
        <w:top w:val="none" w:sz="0" w:space="0" w:color="auto"/>
        <w:left w:val="none" w:sz="0" w:space="0" w:color="auto"/>
        <w:bottom w:val="none" w:sz="0" w:space="0" w:color="auto"/>
        <w:right w:val="none" w:sz="0" w:space="0" w:color="auto"/>
      </w:divBdr>
    </w:div>
    <w:div w:id="1607734750">
      <w:bodyDiv w:val="1"/>
      <w:marLeft w:val="0"/>
      <w:marRight w:val="0"/>
      <w:marTop w:val="0"/>
      <w:marBottom w:val="0"/>
      <w:divBdr>
        <w:top w:val="none" w:sz="0" w:space="0" w:color="auto"/>
        <w:left w:val="none" w:sz="0" w:space="0" w:color="auto"/>
        <w:bottom w:val="none" w:sz="0" w:space="0" w:color="auto"/>
        <w:right w:val="none" w:sz="0" w:space="0" w:color="auto"/>
      </w:divBdr>
    </w:div>
    <w:div w:id="18574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099E-DD6C-42C1-B9BC-4CE49903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9477</Words>
  <Characters>5403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LIETUVOS RESPUBLIKOS VYRIAUSYBĖS NUTARIMO „DĖL LIETUVOS RESPUBLIKOS MOKESČIO UŽ APLINKOS TERŠIMĄ ĮSTATYMO NR</vt:lpstr>
    </vt:vector>
  </TitlesOfParts>
  <Company>Hewlett-Packard Company</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MOKESČIO UŽ APLINKOS TERŠIMĄ ĮSTATYMO NR</dc:title>
  <dc:creator>Ieva Kazulytė</dc:creator>
  <cp:lastModifiedBy>Neringa Paškauskaitė</cp:lastModifiedBy>
  <cp:revision>12</cp:revision>
  <cp:lastPrinted>2017-02-15T10:32:00Z</cp:lastPrinted>
  <dcterms:created xsi:type="dcterms:W3CDTF">2021-05-24T12:30:00Z</dcterms:created>
  <dcterms:modified xsi:type="dcterms:W3CDTF">2021-05-26T09:18:00Z</dcterms:modified>
</cp:coreProperties>
</file>