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A1C0" w14:textId="77777777" w:rsidR="00E847F3" w:rsidRPr="00E80ADE" w:rsidRDefault="00E847F3" w:rsidP="00D570BE">
      <w:pPr>
        <w:tabs>
          <w:tab w:val="center" w:pos="4153"/>
          <w:tab w:val="right" w:pos="8306"/>
        </w:tabs>
        <w:rPr>
          <w:rFonts w:ascii="TimesLT" w:hAnsi="TimesLT"/>
          <w:szCs w:val="24"/>
          <w:lang w:val="en-US"/>
        </w:rPr>
      </w:pPr>
      <w:bookmarkStart w:id="0" w:name="_GoBack"/>
      <w:bookmarkEnd w:id="0"/>
    </w:p>
    <w:p w14:paraId="5C1CA1C1" w14:textId="32C433F9" w:rsidR="00E064CA" w:rsidRPr="00E80ADE" w:rsidRDefault="00E064CA" w:rsidP="00F72BBB">
      <w:pPr>
        <w:ind w:left="6480"/>
        <w:rPr>
          <w:szCs w:val="24"/>
        </w:rPr>
      </w:pPr>
      <w:r w:rsidRPr="00E80ADE">
        <w:rPr>
          <w:b/>
          <w:bCs/>
          <w:szCs w:val="24"/>
        </w:rPr>
        <w:t>Projekto</w:t>
      </w:r>
    </w:p>
    <w:p w14:paraId="5C1CA1C2" w14:textId="77777777" w:rsidR="00E064CA" w:rsidRPr="00E80ADE" w:rsidRDefault="00E064CA" w:rsidP="000A314B">
      <w:pPr>
        <w:ind w:firstLine="6521"/>
        <w:rPr>
          <w:szCs w:val="24"/>
        </w:rPr>
      </w:pPr>
      <w:r w:rsidRPr="00E80ADE">
        <w:rPr>
          <w:b/>
          <w:bCs/>
          <w:szCs w:val="24"/>
        </w:rPr>
        <w:t xml:space="preserve">lyginamasis variantas </w:t>
      </w:r>
    </w:p>
    <w:p w14:paraId="5C1CA1C3" w14:textId="77777777" w:rsidR="00E847F3" w:rsidRPr="00E80ADE" w:rsidRDefault="00E847F3" w:rsidP="00D570BE">
      <w:pPr>
        <w:jc w:val="center"/>
        <w:rPr>
          <w:caps/>
          <w:szCs w:val="24"/>
        </w:rPr>
      </w:pPr>
    </w:p>
    <w:p w14:paraId="5C1CA1C5" w14:textId="77777777" w:rsidR="00E064CA" w:rsidRPr="00E80ADE" w:rsidRDefault="00E064CA" w:rsidP="00D570BE">
      <w:pPr>
        <w:jc w:val="center"/>
        <w:rPr>
          <w:szCs w:val="24"/>
        </w:rPr>
      </w:pPr>
      <w:r w:rsidRPr="00E80ADE">
        <w:rPr>
          <w:b/>
          <w:bCs/>
          <w:szCs w:val="24"/>
        </w:rPr>
        <w:t>LIETUVOS RESPUBLIKOS</w:t>
      </w:r>
    </w:p>
    <w:p w14:paraId="5C1CA1C6" w14:textId="1C904BC8" w:rsidR="00E064CA" w:rsidRPr="00E80ADE" w:rsidRDefault="00E80ADE" w:rsidP="00D570BE">
      <w:pPr>
        <w:jc w:val="center"/>
        <w:rPr>
          <w:szCs w:val="24"/>
        </w:rPr>
      </w:pPr>
      <w:r w:rsidRPr="00E80ADE">
        <w:rPr>
          <w:b/>
          <w:bCs/>
          <w:szCs w:val="24"/>
        </w:rPr>
        <w:t>GYVENTOJŲ PAJAMŲ MOKESČIO ĮSTATYMO NR. IX-1007</w:t>
      </w:r>
      <w:r w:rsidR="00E064CA" w:rsidRPr="00E80ADE">
        <w:rPr>
          <w:b/>
          <w:bCs/>
          <w:szCs w:val="24"/>
        </w:rPr>
        <w:t xml:space="preserve"> </w:t>
      </w:r>
      <w:r w:rsidR="000F7A35">
        <w:rPr>
          <w:b/>
          <w:bCs/>
          <w:szCs w:val="24"/>
        </w:rPr>
        <w:t>17</w:t>
      </w:r>
      <w:r w:rsidR="00E064CA" w:rsidRPr="00E80ADE">
        <w:rPr>
          <w:b/>
          <w:bCs/>
          <w:szCs w:val="24"/>
        </w:rPr>
        <w:t xml:space="preserve"> STRAIPSNIO </w:t>
      </w:r>
      <w:r w:rsidR="00AA6B97">
        <w:rPr>
          <w:b/>
          <w:bCs/>
          <w:szCs w:val="24"/>
        </w:rPr>
        <w:t xml:space="preserve">IR PRIEDO </w:t>
      </w:r>
      <w:r w:rsidR="00E064CA" w:rsidRPr="00E80ADE">
        <w:rPr>
          <w:b/>
          <w:bCs/>
          <w:szCs w:val="24"/>
        </w:rPr>
        <w:t xml:space="preserve">PAKEITIMO </w:t>
      </w:r>
    </w:p>
    <w:p w14:paraId="5C1CA1C7" w14:textId="77777777" w:rsidR="00E847F3" w:rsidRPr="00E80ADE" w:rsidRDefault="00E064CA" w:rsidP="00D570BE">
      <w:pPr>
        <w:jc w:val="center"/>
        <w:rPr>
          <w:caps/>
          <w:szCs w:val="24"/>
        </w:rPr>
      </w:pPr>
      <w:r w:rsidRPr="00E80ADE">
        <w:rPr>
          <w:b/>
          <w:bCs/>
          <w:szCs w:val="24"/>
        </w:rPr>
        <w:t>ĮSTATYMAS</w:t>
      </w:r>
    </w:p>
    <w:p w14:paraId="5C1CA1C8" w14:textId="77777777" w:rsidR="00714203" w:rsidRPr="00E80ADE" w:rsidRDefault="00714203" w:rsidP="00D570BE">
      <w:pPr>
        <w:pStyle w:val="tactin"/>
        <w:spacing w:after="0"/>
        <w:jc w:val="center"/>
        <w:rPr>
          <w:color w:val="000000"/>
        </w:rPr>
      </w:pPr>
    </w:p>
    <w:p w14:paraId="5C1CA1C9" w14:textId="77777777" w:rsidR="00714203" w:rsidRPr="00E80ADE" w:rsidRDefault="00714203" w:rsidP="00D570BE">
      <w:pPr>
        <w:pStyle w:val="tactin"/>
        <w:spacing w:after="0"/>
        <w:jc w:val="center"/>
        <w:rPr>
          <w:color w:val="000000"/>
        </w:rPr>
      </w:pPr>
      <w:r w:rsidRPr="00E80ADE">
        <w:rPr>
          <w:color w:val="000000"/>
        </w:rPr>
        <w:t xml:space="preserve">2021 m.            d. Nr. </w:t>
      </w:r>
    </w:p>
    <w:p w14:paraId="5C1CA1CA" w14:textId="77777777" w:rsidR="00714203" w:rsidRPr="00E80ADE" w:rsidRDefault="00714203" w:rsidP="00D570BE">
      <w:pPr>
        <w:pStyle w:val="tactin"/>
        <w:spacing w:after="0"/>
        <w:jc w:val="center"/>
        <w:rPr>
          <w:color w:val="000000"/>
        </w:rPr>
      </w:pPr>
      <w:r w:rsidRPr="00E80ADE">
        <w:rPr>
          <w:color w:val="000000"/>
        </w:rPr>
        <w:t>Vilnius</w:t>
      </w:r>
    </w:p>
    <w:p w14:paraId="5C1CA1CB" w14:textId="77777777" w:rsidR="00E847F3" w:rsidRPr="00E80ADE" w:rsidRDefault="00E847F3" w:rsidP="00D570BE">
      <w:pPr>
        <w:rPr>
          <w:szCs w:val="24"/>
        </w:rPr>
      </w:pPr>
    </w:p>
    <w:p w14:paraId="5C1CA1CF" w14:textId="1B141DCE" w:rsidR="00E064CA" w:rsidRPr="00F72BBB" w:rsidRDefault="00E064CA" w:rsidP="00DC0EA6">
      <w:pPr>
        <w:ind w:firstLine="709"/>
        <w:jc w:val="both"/>
        <w:rPr>
          <w:b/>
          <w:color w:val="000000"/>
          <w:szCs w:val="24"/>
        </w:rPr>
      </w:pPr>
      <w:r w:rsidRPr="00F72BBB">
        <w:rPr>
          <w:b/>
          <w:color w:val="000000"/>
          <w:szCs w:val="24"/>
        </w:rPr>
        <w:t xml:space="preserve">1 straipsnis. </w:t>
      </w:r>
      <w:r w:rsidR="00E80ADE" w:rsidRPr="00F72BBB">
        <w:rPr>
          <w:b/>
          <w:bCs/>
          <w:color w:val="000000"/>
          <w:szCs w:val="24"/>
        </w:rPr>
        <w:t>17</w:t>
      </w:r>
      <w:r w:rsidRPr="00F72BBB">
        <w:rPr>
          <w:b/>
          <w:bCs/>
          <w:color w:val="000000"/>
          <w:szCs w:val="24"/>
        </w:rPr>
        <w:t xml:space="preserve"> straipsnio pakeitimas</w:t>
      </w:r>
    </w:p>
    <w:p w14:paraId="4FDDA581" w14:textId="4E2B0721" w:rsidR="00C04B0E" w:rsidRPr="00E80ADE" w:rsidRDefault="00C04B0E" w:rsidP="00DC0EA6">
      <w:pPr>
        <w:ind w:firstLine="709"/>
        <w:jc w:val="both"/>
        <w:rPr>
          <w:bCs/>
          <w:color w:val="000000"/>
          <w:szCs w:val="24"/>
          <w:lang w:val="en-US"/>
        </w:rPr>
      </w:pPr>
      <w:r>
        <w:rPr>
          <w:bCs/>
          <w:color w:val="000000"/>
          <w:szCs w:val="24"/>
        </w:rPr>
        <w:t xml:space="preserve">1. </w:t>
      </w:r>
      <w:r w:rsidRPr="00E80ADE">
        <w:rPr>
          <w:bCs/>
          <w:color w:val="000000"/>
          <w:szCs w:val="24"/>
        </w:rPr>
        <w:t>Pakeisti 17 straipsnio 1 dalies 20</w:t>
      </w:r>
      <w:r w:rsidRPr="00E80ADE">
        <w:rPr>
          <w:bCs/>
          <w:color w:val="000000"/>
          <w:szCs w:val="24"/>
          <w:vertAlign w:val="superscript"/>
        </w:rPr>
        <w:t xml:space="preserve">2 </w:t>
      </w:r>
      <w:r w:rsidRPr="00E80ADE">
        <w:rPr>
          <w:bCs/>
          <w:color w:val="000000"/>
          <w:szCs w:val="24"/>
        </w:rPr>
        <w:t>punktą ir jį išdėstyti taip</w:t>
      </w:r>
      <w:r w:rsidRPr="00E80ADE">
        <w:rPr>
          <w:bCs/>
          <w:color w:val="000000"/>
          <w:szCs w:val="24"/>
          <w:lang w:val="en-US"/>
        </w:rPr>
        <w:t>:</w:t>
      </w:r>
    </w:p>
    <w:p w14:paraId="614930AF" w14:textId="6C67FF38" w:rsidR="00C04B0E" w:rsidRPr="00C04B0E" w:rsidRDefault="00C04B0E" w:rsidP="00DC0EA6">
      <w:pPr>
        <w:ind w:firstLine="709"/>
        <w:jc w:val="both"/>
        <w:rPr>
          <w:color w:val="000000"/>
          <w:szCs w:val="24"/>
          <w:lang w:val="en-US"/>
        </w:rPr>
      </w:pPr>
      <w:r w:rsidRPr="00E80ADE">
        <w:rPr>
          <w:color w:val="000000"/>
          <w:szCs w:val="24"/>
        </w:rPr>
        <w:t>„20</w:t>
      </w:r>
      <w:r w:rsidRPr="00E80ADE">
        <w:rPr>
          <w:color w:val="000000"/>
          <w:szCs w:val="24"/>
          <w:vertAlign w:val="superscript"/>
        </w:rPr>
        <w:t>2</w:t>
      </w:r>
      <w:r w:rsidRPr="00E80ADE">
        <w:rPr>
          <w:color w:val="000000"/>
          <w:szCs w:val="24"/>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w:t>
      </w:r>
      <w:r>
        <w:rPr>
          <w:color w:val="000000"/>
          <w:szCs w:val="24"/>
        </w:rPr>
        <w:t xml:space="preserve"> </w:t>
      </w:r>
      <w:r w:rsidRPr="00C04B0E">
        <w:rPr>
          <w:color w:val="000000"/>
          <w:szCs w:val="24"/>
        </w:rPr>
        <w:t xml:space="preserve">Lietuvos Respublikos sutelktinio finansavimo įstatyme </w:t>
      </w:r>
      <w:r w:rsidRPr="00C04B0E">
        <w:rPr>
          <w:b/>
          <w:color w:val="000000"/>
          <w:szCs w:val="24"/>
        </w:rPr>
        <w:t>ar</w:t>
      </w:r>
      <w:r w:rsidR="00965D5F">
        <w:rPr>
          <w:b/>
          <w:color w:val="000000"/>
          <w:szCs w:val="24"/>
        </w:rPr>
        <w:t>ba</w:t>
      </w:r>
      <w:r w:rsidRPr="00C04B0E">
        <w:rPr>
          <w:color w:val="000000"/>
          <w:szCs w:val="24"/>
        </w:rPr>
        <w:t xml:space="preserve"> </w:t>
      </w:r>
      <w:r w:rsidRPr="00E80ADE">
        <w:rPr>
          <w:b/>
          <w:color w:val="000000"/>
          <w:szCs w:val="24"/>
        </w:rPr>
        <w:t>2020 m. spalio 7 d. Europos Parlamento ir Tarybos reglament</w:t>
      </w:r>
      <w:r w:rsidR="002D351F">
        <w:rPr>
          <w:b/>
          <w:color w:val="000000"/>
          <w:szCs w:val="24"/>
        </w:rPr>
        <w:t>e</w:t>
      </w:r>
      <w:r w:rsidRPr="00E80ADE">
        <w:rPr>
          <w:b/>
          <w:color w:val="000000"/>
          <w:szCs w:val="24"/>
        </w:rPr>
        <w:t xml:space="preserve"> </w:t>
      </w:r>
      <w:r w:rsidRPr="00E80ADE">
        <w:rPr>
          <w:b/>
          <w:bCs/>
          <w:color w:val="000000"/>
          <w:szCs w:val="24"/>
        </w:rPr>
        <w:t>(ES) 2020/1503</w:t>
      </w:r>
      <w:r w:rsidRPr="00E80ADE">
        <w:rPr>
          <w:b/>
          <w:color w:val="000000"/>
          <w:szCs w:val="24"/>
        </w:rPr>
        <w:t xml:space="preserve"> dėl Europos sutelktinio finansavimo paslaugų verslui teikėjų, kuriuo iš dalies keičiamas Reglamentas (ES) 2017/1129 ir Direktyva (ES) 2019/1937</w:t>
      </w:r>
      <w:r>
        <w:rPr>
          <w:b/>
          <w:color w:val="000000"/>
          <w:szCs w:val="24"/>
        </w:rPr>
        <w:t>,</w:t>
      </w:r>
      <w:r w:rsidRPr="00E80ADE">
        <w:rPr>
          <w:b/>
          <w:color w:val="000000"/>
          <w:szCs w:val="24"/>
        </w:rPr>
        <w:t> </w:t>
      </w:r>
      <w:r w:rsidRPr="00E80ADE">
        <w:rPr>
          <w:color w:val="000000"/>
          <w:szCs w:val="24"/>
        </w:rPr>
        <w:t>ar atitinkamame Europos ekonominės erdvės valstybės įstatyme nustatyta tvarka, suma, neviršijanti 500 eurų per mokestinį laikotarpį</w:t>
      </w:r>
      <w:r>
        <w:rPr>
          <w:color w:val="000000"/>
          <w:szCs w:val="24"/>
        </w:rPr>
        <w:t>.“</w:t>
      </w:r>
    </w:p>
    <w:p w14:paraId="5C1CA1D0" w14:textId="2D677016" w:rsidR="00A4142F" w:rsidRPr="00E80ADE" w:rsidRDefault="00C04B0E" w:rsidP="00DC0EA6">
      <w:pPr>
        <w:ind w:firstLine="709"/>
        <w:jc w:val="both"/>
        <w:rPr>
          <w:bCs/>
          <w:color w:val="000000"/>
          <w:szCs w:val="24"/>
          <w:lang w:val="en-US"/>
        </w:rPr>
      </w:pPr>
      <w:r>
        <w:rPr>
          <w:bCs/>
          <w:color w:val="000000"/>
          <w:szCs w:val="24"/>
        </w:rPr>
        <w:t xml:space="preserve">2. </w:t>
      </w:r>
      <w:r w:rsidR="00E80ADE" w:rsidRPr="00E80ADE">
        <w:rPr>
          <w:bCs/>
          <w:color w:val="000000"/>
          <w:szCs w:val="24"/>
        </w:rPr>
        <w:t>Pakeisti 17 straipsnio 1 dalies 20</w:t>
      </w:r>
      <w:r w:rsidR="00E80ADE" w:rsidRPr="00E80ADE">
        <w:rPr>
          <w:bCs/>
          <w:color w:val="000000"/>
          <w:szCs w:val="24"/>
          <w:vertAlign w:val="superscript"/>
        </w:rPr>
        <w:t xml:space="preserve">2 </w:t>
      </w:r>
      <w:r w:rsidR="00E80ADE" w:rsidRPr="00E80ADE">
        <w:rPr>
          <w:bCs/>
          <w:color w:val="000000"/>
          <w:szCs w:val="24"/>
        </w:rPr>
        <w:t>punktą</w:t>
      </w:r>
      <w:r w:rsidR="00924334" w:rsidRPr="00E80ADE">
        <w:rPr>
          <w:bCs/>
          <w:color w:val="000000"/>
          <w:szCs w:val="24"/>
        </w:rPr>
        <w:t xml:space="preserve"> </w:t>
      </w:r>
      <w:r w:rsidR="00E80ADE" w:rsidRPr="00E80ADE">
        <w:rPr>
          <w:bCs/>
          <w:color w:val="000000"/>
          <w:szCs w:val="24"/>
        </w:rPr>
        <w:t>ir jį</w:t>
      </w:r>
      <w:r w:rsidR="00924334" w:rsidRPr="00E80ADE">
        <w:rPr>
          <w:bCs/>
          <w:color w:val="000000"/>
          <w:szCs w:val="24"/>
        </w:rPr>
        <w:t xml:space="preserve"> išdėstyti taip</w:t>
      </w:r>
      <w:r w:rsidR="00A4142F" w:rsidRPr="00E80ADE">
        <w:rPr>
          <w:bCs/>
          <w:color w:val="000000"/>
          <w:szCs w:val="24"/>
          <w:lang w:val="en-US"/>
        </w:rPr>
        <w:t>:</w:t>
      </w:r>
    </w:p>
    <w:p w14:paraId="1CAE5473" w14:textId="3BCBB011" w:rsidR="008439DF" w:rsidRPr="00E80ADE" w:rsidRDefault="00A4142F" w:rsidP="00DC0EA6">
      <w:pPr>
        <w:ind w:firstLine="709"/>
        <w:jc w:val="both"/>
        <w:rPr>
          <w:color w:val="000000"/>
          <w:szCs w:val="24"/>
          <w:lang w:val="en-US"/>
        </w:rPr>
      </w:pPr>
      <w:r w:rsidRPr="00E80ADE">
        <w:rPr>
          <w:color w:val="000000"/>
          <w:szCs w:val="24"/>
        </w:rPr>
        <w:t>„</w:t>
      </w:r>
      <w:r w:rsidR="00E80ADE" w:rsidRPr="00E80ADE">
        <w:rPr>
          <w:color w:val="000000"/>
          <w:szCs w:val="24"/>
        </w:rPr>
        <w:t>20</w:t>
      </w:r>
      <w:r w:rsidR="00E80ADE" w:rsidRPr="00E80ADE">
        <w:rPr>
          <w:color w:val="000000"/>
          <w:szCs w:val="24"/>
          <w:vertAlign w:val="superscript"/>
        </w:rPr>
        <w:t>2</w:t>
      </w:r>
      <w:r w:rsidR="00E80ADE" w:rsidRPr="00E80ADE">
        <w:rPr>
          <w:color w:val="000000"/>
          <w:szCs w:val="24"/>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w:t>
      </w:r>
      <w:r w:rsidR="00E80ADE">
        <w:rPr>
          <w:color w:val="000000"/>
          <w:szCs w:val="24"/>
        </w:rPr>
        <w:t xml:space="preserve"> </w:t>
      </w:r>
      <w:r w:rsidR="00E80ADE" w:rsidRPr="00E80ADE">
        <w:rPr>
          <w:strike/>
          <w:color w:val="000000"/>
          <w:szCs w:val="24"/>
        </w:rPr>
        <w:t>Lietuvos Respublikos sutelktinio finansavimo įstatyme</w:t>
      </w:r>
      <w:r w:rsidR="00E80ADE">
        <w:rPr>
          <w:strike/>
          <w:color w:val="000000"/>
          <w:szCs w:val="24"/>
        </w:rPr>
        <w:t xml:space="preserve"> </w:t>
      </w:r>
      <w:r w:rsidR="00965D5F">
        <w:rPr>
          <w:strike/>
          <w:color w:val="000000"/>
          <w:szCs w:val="24"/>
        </w:rPr>
        <w:t>arba</w:t>
      </w:r>
      <w:r w:rsidR="00E80ADE">
        <w:rPr>
          <w:strike/>
          <w:color w:val="000000"/>
          <w:szCs w:val="24"/>
        </w:rPr>
        <w:t xml:space="preserve"> </w:t>
      </w:r>
      <w:r w:rsidR="00E80ADE" w:rsidRPr="00B2127E">
        <w:rPr>
          <w:color w:val="000000"/>
          <w:szCs w:val="24"/>
        </w:rPr>
        <w:t>2020 m. spalio 7 d. Europos Parlamento ir Tarybos reglament</w:t>
      </w:r>
      <w:r w:rsidR="002D351F" w:rsidRPr="00B2127E">
        <w:rPr>
          <w:color w:val="000000"/>
          <w:szCs w:val="24"/>
        </w:rPr>
        <w:t>e</w:t>
      </w:r>
      <w:r w:rsidR="00E80ADE" w:rsidRPr="00B2127E">
        <w:rPr>
          <w:color w:val="000000"/>
          <w:szCs w:val="24"/>
        </w:rPr>
        <w:t xml:space="preserve"> </w:t>
      </w:r>
      <w:r w:rsidR="00E80ADE" w:rsidRPr="00B2127E">
        <w:rPr>
          <w:bCs/>
          <w:color w:val="000000"/>
          <w:szCs w:val="24"/>
        </w:rPr>
        <w:t>(ES) 2020/1503</w:t>
      </w:r>
      <w:r w:rsidR="00E80ADE" w:rsidRPr="00B2127E">
        <w:rPr>
          <w:color w:val="000000"/>
          <w:szCs w:val="24"/>
        </w:rPr>
        <w:t xml:space="preserve"> dėl Europos sutelktinio finansavimo paslaugų verslui teikėjų, kuriuo iš dalies keičiamas Reglamentas (ES) 2017/1129 ir Direktyva (ES) 2019/1937</w:t>
      </w:r>
      <w:r w:rsidR="00B2127E">
        <w:rPr>
          <w:color w:val="000000"/>
          <w:szCs w:val="24"/>
        </w:rPr>
        <w:t>,</w:t>
      </w:r>
      <w:r w:rsidR="00E80ADE" w:rsidRPr="00CA4419">
        <w:rPr>
          <w:color w:val="000000"/>
          <w:szCs w:val="24"/>
        </w:rPr>
        <w:t> </w:t>
      </w:r>
      <w:r w:rsidR="00E80ADE" w:rsidRPr="00E80ADE">
        <w:rPr>
          <w:color w:val="000000"/>
          <w:szCs w:val="24"/>
        </w:rPr>
        <w:t>ar atitinkamame Europos ekonominės erdvės valstybės įstatyme nustatyta tvarka, suma, neviršijanti 500 eurų per mokestinį laikotarpį</w:t>
      </w:r>
      <w:r w:rsidR="002D351F">
        <w:rPr>
          <w:color w:val="000000"/>
          <w:szCs w:val="24"/>
        </w:rPr>
        <w:t>;</w:t>
      </w:r>
      <w:r w:rsidR="00C963BC">
        <w:rPr>
          <w:color w:val="000000"/>
          <w:szCs w:val="24"/>
        </w:rPr>
        <w:t>“</w:t>
      </w:r>
      <w:r w:rsidR="002D351F">
        <w:rPr>
          <w:color w:val="000000"/>
          <w:szCs w:val="24"/>
        </w:rPr>
        <w:t>.</w:t>
      </w:r>
    </w:p>
    <w:p w14:paraId="5C1CA1D2" w14:textId="77777777" w:rsidR="00E064CA" w:rsidRPr="00E80ADE" w:rsidRDefault="00E064CA" w:rsidP="00DC0EA6">
      <w:pPr>
        <w:ind w:firstLine="709"/>
        <w:jc w:val="both"/>
        <w:rPr>
          <w:b/>
          <w:bCs/>
          <w:color w:val="000000"/>
          <w:szCs w:val="24"/>
          <w:lang w:val="en-US"/>
        </w:rPr>
      </w:pPr>
    </w:p>
    <w:p w14:paraId="66B7EB94" w14:textId="4CA92049" w:rsidR="00AA6B97" w:rsidRDefault="00E064CA" w:rsidP="00DC0EA6">
      <w:pPr>
        <w:ind w:firstLine="709"/>
        <w:jc w:val="both"/>
        <w:rPr>
          <w:b/>
          <w:bCs/>
          <w:color w:val="000000"/>
          <w:szCs w:val="24"/>
        </w:rPr>
      </w:pPr>
      <w:r w:rsidRPr="00F72BBB">
        <w:rPr>
          <w:b/>
          <w:bCs/>
          <w:color w:val="000000"/>
          <w:szCs w:val="24"/>
        </w:rPr>
        <w:t xml:space="preserve">2 straipsnis. </w:t>
      </w:r>
      <w:r w:rsidR="00AA6B97">
        <w:rPr>
          <w:b/>
          <w:bCs/>
          <w:color w:val="000000"/>
          <w:szCs w:val="24"/>
        </w:rPr>
        <w:t>Įstatymo priedo pakeitimas</w:t>
      </w:r>
    </w:p>
    <w:p w14:paraId="5FC611E3" w14:textId="661CD480" w:rsidR="00AA6B97" w:rsidRDefault="00AA6B97" w:rsidP="00DC0EA6">
      <w:pPr>
        <w:ind w:firstLine="709"/>
        <w:jc w:val="both"/>
        <w:rPr>
          <w:bCs/>
          <w:color w:val="000000"/>
          <w:szCs w:val="24"/>
        </w:rPr>
      </w:pPr>
      <w:r>
        <w:rPr>
          <w:bCs/>
          <w:color w:val="000000"/>
          <w:szCs w:val="24"/>
        </w:rPr>
        <w:t>Pakeisti Įstatymo priedą ir jį išdėstyti taip:</w:t>
      </w:r>
    </w:p>
    <w:p w14:paraId="0F485CCD" w14:textId="1642A226" w:rsidR="00AA6B97" w:rsidRDefault="00AA6B97" w:rsidP="005C0694">
      <w:pPr>
        <w:ind w:firstLine="6237"/>
        <w:rPr>
          <w:bCs/>
          <w:color w:val="000000"/>
          <w:szCs w:val="24"/>
        </w:rPr>
      </w:pPr>
      <w:r>
        <w:rPr>
          <w:bCs/>
          <w:color w:val="000000"/>
          <w:szCs w:val="24"/>
        </w:rPr>
        <w:t>„Lietuvos Respublikos</w:t>
      </w:r>
    </w:p>
    <w:p w14:paraId="27BF8DFC" w14:textId="79698BCC" w:rsidR="00AA6B97" w:rsidRDefault="00AA6B97" w:rsidP="005C0694">
      <w:pPr>
        <w:ind w:firstLine="6237"/>
        <w:rPr>
          <w:bCs/>
          <w:color w:val="000000"/>
          <w:szCs w:val="24"/>
        </w:rPr>
      </w:pPr>
      <w:r>
        <w:rPr>
          <w:bCs/>
          <w:color w:val="000000"/>
          <w:szCs w:val="24"/>
        </w:rPr>
        <w:t>gyventojų pajamų mokesčio</w:t>
      </w:r>
    </w:p>
    <w:p w14:paraId="27507AE0" w14:textId="77777777" w:rsidR="007C038F" w:rsidRDefault="00AA6B97" w:rsidP="005C0694">
      <w:pPr>
        <w:ind w:firstLine="6237"/>
        <w:rPr>
          <w:bCs/>
          <w:color w:val="000000"/>
          <w:szCs w:val="24"/>
        </w:rPr>
      </w:pPr>
      <w:r>
        <w:rPr>
          <w:bCs/>
          <w:color w:val="000000"/>
          <w:szCs w:val="24"/>
        </w:rPr>
        <w:t xml:space="preserve">įstatymo </w:t>
      </w:r>
    </w:p>
    <w:p w14:paraId="59C51954" w14:textId="558698A6" w:rsidR="00AA6B97" w:rsidRDefault="00AA6B97" w:rsidP="005C0694">
      <w:pPr>
        <w:ind w:firstLine="6237"/>
        <w:rPr>
          <w:bCs/>
          <w:color w:val="000000"/>
          <w:szCs w:val="24"/>
        </w:rPr>
      </w:pPr>
      <w:r>
        <w:rPr>
          <w:bCs/>
          <w:color w:val="000000"/>
          <w:szCs w:val="24"/>
        </w:rPr>
        <w:t>priedas</w:t>
      </w:r>
    </w:p>
    <w:p w14:paraId="0A9D3362" w14:textId="77777777" w:rsidR="00AA6B97" w:rsidRPr="00BC528D" w:rsidRDefault="00AA6B97" w:rsidP="00AA6B97">
      <w:pPr>
        <w:rPr>
          <w:bCs/>
          <w:color w:val="000000"/>
          <w:szCs w:val="24"/>
        </w:rPr>
      </w:pPr>
    </w:p>
    <w:p w14:paraId="3273025D" w14:textId="77777777" w:rsidR="00AA6B97" w:rsidRPr="00BC528D" w:rsidRDefault="00AA6B97" w:rsidP="00AA6B97">
      <w:pPr>
        <w:jc w:val="center"/>
        <w:rPr>
          <w:bCs/>
          <w:color w:val="000000"/>
          <w:szCs w:val="24"/>
        </w:rPr>
      </w:pPr>
      <w:r w:rsidRPr="00BC528D">
        <w:rPr>
          <w:bCs/>
          <w:color w:val="000000"/>
          <w:szCs w:val="24"/>
        </w:rPr>
        <w:t>ĮGYVENDINAMI EUROPOS SĄJUNGOS TEISĖS AKTAI</w:t>
      </w:r>
    </w:p>
    <w:p w14:paraId="68BD6B49" w14:textId="77777777" w:rsidR="00AA6B97" w:rsidRDefault="00AA6B97" w:rsidP="00AA6B97">
      <w:pPr>
        <w:jc w:val="center"/>
        <w:rPr>
          <w:bCs/>
          <w:color w:val="000000"/>
          <w:szCs w:val="24"/>
        </w:rPr>
      </w:pPr>
    </w:p>
    <w:p w14:paraId="26B3F726" w14:textId="77777777" w:rsidR="00AA6B97" w:rsidRPr="00AA6B97" w:rsidRDefault="00AA6B97" w:rsidP="00AA6B97">
      <w:pPr>
        <w:ind w:firstLine="720"/>
        <w:jc w:val="both"/>
        <w:rPr>
          <w:bCs/>
          <w:color w:val="000000"/>
          <w:szCs w:val="24"/>
        </w:rPr>
      </w:pPr>
      <w:r w:rsidRPr="00AA6B97">
        <w:rPr>
          <w:bCs/>
          <w:color w:val="000000"/>
          <w:szCs w:val="24"/>
        </w:rPr>
        <w:t>1. 1985 m. liepos 25 d. Tarybos reglamentas (EEB) Nr. 2137/85 dėl Europos ekonominių interesų grupių (EEIG).</w:t>
      </w:r>
    </w:p>
    <w:p w14:paraId="611D3A94" w14:textId="77777777" w:rsidR="00AA6B97" w:rsidRPr="00CC053B" w:rsidRDefault="00AA6B97" w:rsidP="00AA6B97">
      <w:pPr>
        <w:ind w:firstLine="709"/>
        <w:jc w:val="both"/>
        <w:rPr>
          <w:bCs/>
          <w:strike/>
          <w:color w:val="000000"/>
          <w:szCs w:val="24"/>
        </w:rPr>
      </w:pPr>
      <w:bookmarkStart w:id="1" w:name="part_cfbfd6724eb04485babee49d407c0baa"/>
      <w:bookmarkEnd w:id="1"/>
      <w:r w:rsidRPr="00D842F0">
        <w:rPr>
          <w:bCs/>
          <w:strike/>
          <w:color w:val="000000"/>
          <w:szCs w:val="24"/>
        </w:rPr>
        <w:t>2.</w:t>
      </w:r>
      <w:r w:rsidRPr="00AA6B97">
        <w:rPr>
          <w:bCs/>
          <w:color w:val="000000"/>
          <w:szCs w:val="24"/>
        </w:rPr>
        <w:t xml:space="preserve"> </w:t>
      </w:r>
      <w:r w:rsidRPr="00CC053B">
        <w:rPr>
          <w:bCs/>
          <w:strike/>
          <w:color w:val="000000"/>
          <w:szCs w:val="24"/>
        </w:rPr>
        <w:t>1990 m. liepos 23 d. Tarybos direktyva 90/434/EEB dėl bendros mokesčių sistemos, taikomos įvairių valstybių narių įmonių jungimui, skaidymui, turto perleidimui ir keitimuisi akcijomis.</w:t>
      </w:r>
    </w:p>
    <w:p w14:paraId="0728FC3A" w14:textId="7E004445" w:rsidR="00AA6B97" w:rsidRPr="00AA6B97" w:rsidRDefault="00B71798" w:rsidP="00AA6B97">
      <w:pPr>
        <w:ind w:firstLine="709"/>
        <w:jc w:val="both"/>
        <w:rPr>
          <w:bCs/>
          <w:color w:val="000000"/>
          <w:szCs w:val="24"/>
        </w:rPr>
      </w:pPr>
      <w:r>
        <w:rPr>
          <w:bCs/>
          <w:strike/>
          <w:color w:val="000000"/>
          <w:szCs w:val="24"/>
        </w:rPr>
        <w:t>3</w:t>
      </w:r>
      <w:r>
        <w:rPr>
          <w:b/>
          <w:bCs/>
          <w:color w:val="000000"/>
          <w:szCs w:val="24"/>
        </w:rPr>
        <w:t>2</w:t>
      </w:r>
      <w:r w:rsidR="00AA6B97" w:rsidRPr="00AA6B97">
        <w:rPr>
          <w:bCs/>
          <w:color w:val="000000"/>
          <w:szCs w:val="24"/>
        </w:rPr>
        <w:t xml:space="preserve">. Europos Parlamento 2005 m. rugsėjo 28 d. sprendimas dėl Europos Parlamento narių statuto priėmimo (2005/684/EB, Euratomas) </w:t>
      </w:r>
      <w:r w:rsidR="00AA6B97" w:rsidRPr="00AA6B97">
        <w:rPr>
          <w:bCs/>
          <w:strike/>
          <w:color w:val="000000"/>
          <w:szCs w:val="24"/>
        </w:rPr>
        <w:t>(OL 2005 L 262, p. 1)</w:t>
      </w:r>
      <w:r w:rsidR="00AA6B97" w:rsidRPr="00AA6B97">
        <w:rPr>
          <w:bCs/>
          <w:color w:val="000000"/>
          <w:szCs w:val="24"/>
        </w:rPr>
        <w:t>.</w:t>
      </w:r>
    </w:p>
    <w:p w14:paraId="4A60F724" w14:textId="42B1ECBF" w:rsidR="00AA6B97" w:rsidRPr="00AA6B97" w:rsidRDefault="00B71798" w:rsidP="00AA6B97">
      <w:pPr>
        <w:ind w:firstLine="709"/>
        <w:jc w:val="both"/>
        <w:rPr>
          <w:bCs/>
          <w:color w:val="000000"/>
          <w:szCs w:val="24"/>
        </w:rPr>
      </w:pPr>
      <w:bookmarkStart w:id="2" w:name="part_e115e3d53bf74e87b2cbd91279b0ad6c"/>
      <w:bookmarkEnd w:id="2"/>
      <w:r>
        <w:rPr>
          <w:bCs/>
          <w:strike/>
          <w:color w:val="000000"/>
          <w:szCs w:val="24"/>
        </w:rPr>
        <w:t>4</w:t>
      </w:r>
      <w:r>
        <w:rPr>
          <w:b/>
          <w:bCs/>
          <w:color w:val="000000"/>
          <w:szCs w:val="24"/>
        </w:rPr>
        <w:t>3</w:t>
      </w:r>
      <w:r w:rsidR="00AA6B97" w:rsidRPr="00AA6B97">
        <w:rPr>
          <w:bCs/>
          <w:color w:val="000000"/>
          <w:szCs w:val="24"/>
        </w:rPr>
        <w:t xml:space="preserve">. 2006 m. lapkričio 20 d. Tarybos direktyva 2006/98/EB dėl Bulgarijos ir Rumunijos stojimo, adaptuojanti tam tikras direktyvas mokesčių srityje </w:t>
      </w:r>
      <w:r w:rsidR="00AA6B97" w:rsidRPr="00AA6B97">
        <w:rPr>
          <w:bCs/>
          <w:strike/>
          <w:color w:val="000000"/>
          <w:szCs w:val="24"/>
        </w:rPr>
        <w:t>(OL 2006 L 363, p. 129)</w:t>
      </w:r>
      <w:r w:rsidR="00AA6B97" w:rsidRPr="00AA6B97">
        <w:rPr>
          <w:bCs/>
          <w:color w:val="000000"/>
          <w:szCs w:val="24"/>
        </w:rPr>
        <w:t>.</w:t>
      </w:r>
      <w:r w:rsidR="00AA6B97">
        <w:rPr>
          <w:bCs/>
          <w:color w:val="000000"/>
          <w:szCs w:val="24"/>
        </w:rPr>
        <w:t>“</w:t>
      </w:r>
    </w:p>
    <w:p w14:paraId="7114BBF1" w14:textId="77777777" w:rsidR="00AA6B97" w:rsidRPr="00AA6B97" w:rsidRDefault="00AA6B97" w:rsidP="00AA6B97">
      <w:pPr>
        <w:jc w:val="both"/>
        <w:rPr>
          <w:bCs/>
          <w:color w:val="000000"/>
          <w:szCs w:val="24"/>
        </w:rPr>
      </w:pPr>
    </w:p>
    <w:p w14:paraId="5C1CA1D3" w14:textId="72D8BFE9" w:rsidR="00E064CA" w:rsidRPr="00F72BBB" w:rsidRDefault="00AA6B97" w:rsidP="00DC0EA6">
      <w:pPr>
        <w:ind w:firstLine="709"/>
        <w:jc w:val="both"/>
        <w:rPr>
          <w:b/>
          <w:bCs/>
          <w:i/>
          <w:color w:val="000000"/>
          <w:szCs w:val="24"/>
        </w:rPr>
      </w:pPr>
      <w:r>
        <w:rPr>
          <w:b/>
          <w:bCs/>
          <w:color w:val="000000"/>
          <w:szCs w:val="24"/>
        </w:rPr>
        <w:t xml:space="preserve">3 straipsnis. </w:t>
      </w:r>
      <w:r w:rsidR="00E064CA" w:rsidRPr="00F72BBB">
        <w:rPr>
          <w:b/>
          <w:bCs/>
          <w:color w:val="000000"/>
          <w:szCs w:val="24"/>
        </w:rPr>
        <w:t>Įstatymo įsigaliojimas</w:t>
      </w:r>
      <w:r w:rsidR="002742CE">
        <w:rPr>
          <w:b/>
          <w:bCs/>
          <w:color w:val="000000"/>
          <w:szCs w:val="24"/>
        </w:rPr>
        <w:t xml:space="preserve"> ir taikymas</w:t>
      </w:r>
    </w:p>
    <w:p w14:paraId="32FA7697" w14:textId="613C7A2B" w:rsidR="002742CE" w:rsidRPr="002742CE" w:rsidRDefault="002742CE" w:rsidP="002742CE">
      <w:pPr>
        <w:pStyle w:val="Sraopastraipa"/>
        <w:numPr>
          <w:ilvl w:val="0"/>
          <w:numId w:val="1"/>
        </w:numPr>
        <w:jc w:val="both"/>
        <w:rPr>
          <w:color w:val="000000"/>
          <w:szCs w:val="24"/>
        </w:rPr>
      </w:pPr>
      <w:r w:rsidRPr="000A314B">
        <w:rPr>
          <w:color w:val="000000"/>
          <w:szCs w:val="24"/>
        </w:rPr>
        <w:lastRenderedPageBreak/>
        <w:t>Šio įstatymo 1 straipsnio 2 dalis įsigalioja 2022 m. lapkričio 10 d.</w:t>
      </w:r>
    </w:p>
    <w:p w14:paraId="4237C5C1" w14:textId="0AE3BEC0" w:rsidR="000A314B" w:rsidRPr="000A314B" w:rsidRDefault="002742CE" w:rsidP="000A314B">
      <w:pPr>
        <w:ind w:firstLine="709"/>
        <w:jc w:val="both"/>
        <w:rPr>
          <w:color w:val="000000"/>
          <w:szCs w:val="24"/>
        </w:rPr>
      </w:pPr>
      <w:r>
        <w:rPr>
          <w:color w:val="000000"/>
          <w:szCs w:val="24"/>
        </w:rPr>
        <w:t>3</w:t>
      </w:r>
      <w:r w:rsidR="000A314B" w:rsidRPr="000A314B">
        <w:rPr>
          <w:color w:val="000000"/>
          <w:szCs w:val="24"/>
        </w:rPr>
        <w:t>. Šio įstatymo 1 straipsnio 1 dalis taikoma palūkanoms už lėšas, suteiktas nuo</w:t>
      </w:r>
      <w:r w:rsidR="00651727">
        <w:rPr>
          <w:color w:val="000000"/>
          <w:szCs w:val="24"/>
        </w:rPr>
        <w:t xml:space="preserve"> šio įstatymo įsigaliojimo dienos</w:t>
      </w:r>
      <w:r w:rsidR="000A314B" w:rsidRPr="000A314B">
        <w:rPr>
          <w:color w:val="000000"/>
          <w:szCs w:val="24"/>
        </w:rPr>
        <w:t xml:space="preserve"> iki 2022 m. lapkričio 10 d. per sutelktinio finansavimo platformą Lietuvos Respublikos sutelktinio finansavimo įstatyme nustatyta tvarka, neatsižvelgiant į tai, kuriuo mokestiniu laikotarpiu šios palūkanos buvo gautos.  </w:t>
      </w:r>
    </w:p>
    <w:p w14:paraId="4FF3B60A" w14:textId="77777777" w:rsidR="000A314B" w:rsidRPr="000A314B" w:rsidRDefault="000A314B" w:rsidP="000A314B">
      <w:pPr>
        <w:ind w:firstLine="709"/>
        <w:jc w:val="both"/>
        <w:rPr>
          <w:color w:val="000000"/>
          <w:szCs w:val="24"/>
        </w:rPr>
      </w:pPr>
    </w:p>
    <w:p w14:paraId="5C1CA1D4" w14:textId="7443D96D" w:rsidR="00E847F3" w:rsidRPr="00E80ADE" w:rsidRDefault="00E847F3" w:rsidP="000A314B">
      <w:pPr>
        <w:jc w:val="both"/>
        <w:rPr>
          <w:color w:val="000000"/>
          <w:szCs w:val="24"/>
        </w:rPr>
      </w:pPr>
    </w:p>
    <w:p w14:paraId="5C1CA1D6" w14:textId="77777777" w:rsidR="00E847F3" w:rsidRPr="00E80ADE" w:rsidRDefault="00767BA2" w:rsidP="00A4142F">
      <w:pPr>
        <w:ind w:firstLine="720"/>
        <w:jc w:val="both"/>
        <w:rPr>
          <w:i/>
          <w:szCs w:val="24"/>
        </w:rPr>
      </w:pPr>
      <w:r w:rsidRPr="00E80ADE">
        <w:rPr>
          <w:i/>
          <w:szCs w:val="24"/>
        </w:rPr>
        <w:t>Skelbiu šį Lietuvos Respublikos Seimo priimtą įstatymą.</w:t>
      </w:r>
    </w:p>
    <w:p w14:paraId="5C1CA1D7" w14:textId="77777777" w:rsidR="00E847F3" w:rsidRPr="00E80ADE" w:rsidRDefault="00E847F3" w:rsidP="00A4142F">
      <w:pPr>
        <w:rPr>
          <w:i/>
          <w:szCs w:val="24"/>
        </w:rPr>
      </w:pPr>
    </w:p>
    <w:p w14:paraId="5C1CA1D8" w14:textId="77777777" w:rsidR="00E847F3" w:rsidRPr="00F72BBB" w:rsidRDefault="00767BA2" w:rsidP="00D570BE">
      <w:pPr>
        <w:tabs>
          <w:tab w:val="right" w:pos="9356"/>
        </w:tabs>
        <w:rPr>
          <w:szCs w:val="24"/>
        </w:rPr>
      </w:pPr>
      <w:r w:rsidRPr="00F72BBB">
        <w:rPr>
          <w:szCs w:val="24"/>
        </w:rPr>
        <w:t>Respublikos Prezidentas</w:t>
      </w:r>
      <w:r w:rsidRPr="00F72BBB">
        <w:rPr>
          <w:caps/>
          <w:szCs w:val="24"/>
        </w:rPr>
        <w:tab/>
      </w:r>
    </w:p>
    <w:sectPr w:rsidR="00E847F3" w:rsidRPr="00F72BB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9386C" w15:done="0"/>
  <w15:commentEx w15:paraId="1BF7F78B" w15:paraIdParent="709938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B4DD" w16cex:dateUtc="2021-03-09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9386C" w16cid:durableId="23F0BFEA"/>
  <w16cid:commentId w16cid:paraId="1BF7F78B" w16cid:durableId="23F1B4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E9883" w14:textId="77777777" w:rsidR="00047D85" w:rsidRDefault="00047D85">
      <w:pPr>
        <w:rPr>
          <w:rFonts w:ascii="TimesLT" w:hAnsi="TimesLT"/>
          <w:lang w:val="en-US"/>
        </w:rPr>
      </w:pPr>
      <w:r>
        <w:rPr>
          <w:rFonts w:ascii="TimesLT" w:hAnsi="TimesLT"/>
          <w:lang w:val="en-US"/>
        </w:rPr>
        <w:separator/>
      </w:r>
    </w:p>
  </w:endnote>
  <w:endnote w:type="continuationSeparator" w:id="0">
    <w:p w14:paraId="186EBD6F" w14:textId="77777777" w:rsidR="00047D85" w:rsidRDefault="00047D85">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1" w14:textId="77777777" w:rsidR="00E847F3" w:rsidRDefault="00767BA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C1CA1E2" w14:textId="77777777" w:rsidR="00E847F3" w:rsidRDefault="00E847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4" w14:textId="77777777" w:rsidR="00E847F3" w:rsidRDefault="00E847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6" w14:textId="77777777" w:rsidR="00E847F3" w:rsidRDefault="00E847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BCE32" w14:textId="77777777" w:rsidR="00047D85" w:rsidRDefault="00047D85">
      <w:pPr>
        <w:rPr>
          <w:rFonts w:ascii="TimesLT" w:hAnsi="TimesLT"/>
          <w:lang w:val="en-US"/>
        </w:rPr>
      </w:pPr>
      <w:r>
        <w:rPr>
          <w:rFonts w:ascii="TimesLT" w:hAnsi="TimesLT"/>
          <w:lang w:val="en-US"/>
        </w:rPr>
        <w:separator/>
      </w:r>
    </w:p>
  </w:footnote>
  <w:footnote w:type="continuationSeparator" w:id="0">
    <w:p w14:paraId="458DE1C4" w14:textId="77777777" w:rsidR="00047D85" w:rsidRDefault="00047D85">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D" w14:textId="77777777" w:rsidR="00E847F3" w:rsidRDefault="00767BA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C1CA1DE" w14:textId="77777777" w:rsidR="00E847F3" w:rsidRDefault="00E847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F" w14:textId="77777777" w:rsidR="00E847F3" w:rsidRDefault="00767BA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E160F1">
      <w:rPr>
        <w:noProof/>
        <w:szCs w:val="24"/>
        <w:lang w:val="en-US"/>
      </w:rPr>
      <w:t>2</w:t>
    </w:r>
    <w:r>
      <w:rPr>
        <w:szCs w:val="24"/>
        <w:lang w:val="en-US"/>
      </w:rPr>
      <w:fldChar w:fldCharType="end"/>
    </w:r>
  </w:p>
  <w:p w14:paraId="5C1CA1E0" w14:textId="77777777" w:rsidR="00E847F3" w:rsidRDefault="00E847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5" w14:textId="77777777" w:rsidR="00E847F3" w:rsidRDefault="00E847F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F25B8"/>
    <w:multiLevelType w:val="hybridMultilevel"/>
    <w:tmpl w:val="E97E2FE8"/>
    <w:lvl w:ilvl="0" w:tplc="2D92A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cilkiene">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20EA7"/>
    <w:rsid w:val="000349EE"/>
    <w:rsid w:val="00046F52"/>
    <w:rsid w:val="00047D85"/>
    <w:rsid w:val="00092A69"/>
    <w:rsid w:val="000A314B"/>
    <w:rsid w:val="000B5F0A"/>
    <w:rsid w:val="000F7A35"/>
    <w:rsid w:val="00106877"/>
    <w:rsid w:val="0011049F"/>
    <w:rsid w:val="00113027"/>
    <w:rsid w:val="0014102A"/>
    <w:rsid w:val="00150A4F"/>
    <w:rsid w:val="001E5810"/>
    <w:rsid w:val="001F5506"/>
    <w:rsid w:val="002742CE"/>
    <w:rsid w:val="0029563A"/>
    <w:rsid w:val="002D351F"/>
    <w:rsid w:val="00304C64"/>
    <w:rsid w:val="00315E6C"/>
    <w:rsid w:val="0034510E"/>
    <w:rsid w:val="00350CF7"/>
    <w:rsid w:val="003750CF"/>
    <w:rsid w:val="003900C6"/>
    <w:rsid w:val="003A5A48"/>
    <w:rsid w:val="003A67C6"/>
    <w:rsid w:val="003B252F"/>
    <w:rsid w:val="003E57CB"/>
    <w:rsid w:val="00403B0E"/>
    <w:rsid w:val="004132A1"/>
    <w:rsid w:val="004363D6"/>
    <w:rsid w:val="004C5DD2"/>
    <w:rsid w:val="004D6F5D"/>
    <w:rsid w:val="00504098"/>
    <w:rsid w:val="00585D24"/>
    <w:rsid w:val="005C0694"/>
    <w:rsid w:val="005C681E"/>
    <w:rsid w:val="00651727"/>
    <w:rsid w:val="006D05E1"/>
    <w:rsid w:val="006F4D9A"/>
    <w:rsid w:val="00714203"/>
    <w:rsid w:val="00716336"/>
    <w:rsid w:val="00721043"/>
    <w:rsid w:val="00747DDA"/>
    <w:rsid w:val="00764A2F"/>
    <w:rsid w:val="00767BA2"/>
    <w:rsid w:val="007715B3"/>
    <w:rsid w:val="007C038F"/>
    <w:rsid w:val="007C3BF7"/>
    <w:rsid w:val="007D6B48"/>
    <w:rsid w:val="0083101C"/>
    <w:rsid w:val="008439DF"/>
    <w:rsid w:val="008706D7"/>
    <w:rsid w:val="008A6CA7"/>
    <w:rsid w:val="008B5CF0"/>
    <w:rsid w:val="008C1FCE"/>
    <w:rsid w:val="00924334"/>
    <w:rsid w:val="00932553"/>
    <w:rsid w:val="00964616"/>
    <w:rsid w:val="00965D5F"/>
    <w:rsid w:val="00A03D0B"/>
    <w:rsid w:val="00A1081F"/>
    <w:rsid w:val="00A4142F"/>
    <w:rsid w:val="00AA6B97"/>
    <w:rsid w:val="00AC2DCB"/>
    <w:rsid w:val="00AF0240"/>
    <w:rsid w:val="00B2127E"/>
    <w:rsid w:val="00B27D43"/>
    <w:rsid w:val="00B3011B"/>
    <w:rsid w:val="00B56308"/>
    <w:rsid w:val="00B71798"/>
    <w:rsid w:val="00B766BA"/>
    <w:rsid w:val="00B97727"/>
    <w:rsid w:val="00BA0CE9"/>
    <w:rsid w:val="00BA2D4C"/>
    <w:rsid w:val="00BC528D"/>
    <w:rsid w:val="00C04B0E"/>
    <w:rsid w:val="00C516B2"/>
    <w:rsid w:val="00C7765B"/>
    <w:rsid w:val="00C963BC"/>
    <w:rsid w:val="00CA3A55"/>
    <w:rsid w:val="00CA3B2D"/>
    <w:rsid w:val="00CA4419"/>
    <w:rsid w:val="00CB1669"/>
    <w:rsid w:val="00CC053B"/>
    <w:rsid w:val="00CD230F"/>
    <w:rsid w:val="00CE7B72"/>
    <w:rsid w:val="00D43C97"/>
    <w:rsid w:val="00D570BE"/>
    <w:rsid w:val="00D842F0"/>
    <w:rsid w:val="00DA2610"/>
    <w:rsid w:val="00DA2821"/>
    <w:rsid w:val="00DC0EA6"/>
    <w:rsid w:val="00E064CA"/>
    <w:rsid w:val="00E101CA"/>
    <w:rsid w:val="00E160F1"/>
    <w:rsid w:val="00E613C9"/>
    <w:rsid w:val="00E7195A"/>
    <w:rsid w:val="00E80ADE"/>
    <w:rsid w:val="00E847F3"/>
    <w:rsid w:val="00E86427"/>
    <w:rsid w:val="00EA267D"/>
    <w:rsid w:val="00EC0FF8"/>
    <w:rsid w:val="00ED036B"/>
    <w:rsid w:val="00F234F4"/>
    <w:rsid w:val="00F25467"/>
    <w:rsid w:val="00F72BBB"/>
    <w:rsid w:val="00F9426E"/>
    <w:rsid w:val="00FA3AB4"/>
    <w:rsid w:val="00FD635E"/>
    <w:rsid w:val="00FE1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2742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274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4613">
      <w:bodyDiv w:val="1"/>
      <w:marLeft w:val="0"/>
      <w:marRight w:val="0"/>
      <w:marTop w:val="0"/>
      <w:marBottom w:val="0"/>
      <w:divBdr>
        <w:top w:val="none" w:sz="0" w:space="0" w:color="auto"/>
        <w:left w:val="none" w:sz="0" w:space="0" w:color="auto"/>
        <w:bottom w:val="none" w:sz="0" w:space="0" w:color="auto"/>
        <w:right w:val="none" w:sz="0" w:space="0" w:color="auto"/>
      </w:divBdr>
      <w:divsChild>
        <w:div w:id="1934166109">
          <w:marLeft w:val="0"/>
          <w:marRight w:val="0"/>
          <w:marTop w:val="0"/>
          <w:marBottom w:val="0"/>
          <w:divBdr>
            <w:top w:val="none" w:sz="0" w:space="0" w:color="auto"/>
            <w:left w:val="none" w:sz="0" w:space="0" w:color="auto"/>
            <w:bottom w:val="none" w:sz="0" w:space="0" w:color="auto"/>
            <w:right w:val="none" w:sz="0" w:space="0" w:color="auto"/>
          </w:divBdr>
        </w:div>
        <w:div w:id="1839416419">
          <w:marLeft w:val="0"/>
          <w:marRight w:val="0"/>
          <w:marTop w:val="0"/>
          <w:marBottom w:val="0"/>
          <w:divBdr>
            <w:top w:val="none" w:sz="0" w:space="0" w:color="auto"/>
            <w:left w:val="none" w:sz="0" w:space="0" w:color="auto"/>
            <w:bottom w:val="none" w:sz="0" w:space="0" w:color="auto"/>
            <w:right w:val="none" w:sz="0" w:space="0" w:color="auto"/>
          </w:divBdr>
        </w:div>
      </w:divsChild>
    </w:div>
    <w:div w:id="1027099181">
      <w:bodyDiv w:val="1"/>
      <w:marLeft w:val="0"/>
      <w:marRight w:val="0"/>
      <w:marTop w:val="0"/>
      <w:marBottom w:val="0"/>
      <w:divBdr>
        <w:top w:val="none" w:sz="0" w:space="0" w:color="auto"/>
        <w:left w:val="none" w:sz="0" w:space="0" w:color="auto"/>
        <w:bottom w:val="none" w:sz="0" w:space="0" w:color="auto"/>
        <w:right w:val="none" w:sz="0" w:space="0" w:color="auto"/>
      </w:divBdr>
      <w:divsChild>
        <w:div w:id="640497863">
          <w:marLeft w:val="0"/>
          <w:marRight w:val="0"/>
          <w:marTop w:val="0"/>
          <w:marBottom w:val="0"/>
          <w:divBdr>
            <w:top w:val="none" w:sz="0" w:space="0" w:color="auto"/>
            <w:left w:val="none" w:sz="0" w:space="0" w:color="auto"/>
            <w:bottom w:val="none" w:sz="0" w:space="0" w:color="auto"/>
            <w:right w:val="none" w:sz="0" w:space="0" w:color="auto"/>
          </w:divBdr>
        </w:div>
        <w:div w:id="1096053656">
          <w:marLeft w:val="0"/>
          <w:marRight w:val="0"/>
          <w:marTop w:val="0"/>
          <w:marBottom w:val="0"/>
          <w:divBdr>
            <w:top w:val="none" w:sz="0" w:space="0" w:color="auto"/>
            <w:left w:val="none" w:sz="0" w:space="0" w:color="auto"/>
            <w:bottom w:val="none" w:sz="0" w:space="0" w:color="auto"/>
            <w:right w:val="none" w:sz="0" w:space="0" w:color="auto"/>
          </w:divBdr>
        </w:div>
      </w:divsChild>
    </w:div>
    <w:div w:id="15244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22" Target="commentsIds.xml"
                 Type="http://schemas.microsoft.com/office/2016/09/relationships/commentsIds"/>
   <Relationship Id="rId23" Target="commentsExtensible.xml"
                 Type="http://schemas.microsoft.com/office/2018/08/relationships/commentsExtensible"/>
   <Relationship Id="rId24" Target="commentsExtended.xml"
                 Type="http://schemas.microsoft.com/office/2011/relationships/commentsExtended"/>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143F6D4D1B8A44FA64351D6670E1C17" ma:contentTypeVersion="0" ma:contentTypeDescription="Kurkite naują dokumentą." ma:contentTypeScope="" ma:versionID="8b20cb80f63a6365f1757edeb6cde4fd">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E493-2261-4EAA-96E9-34C968ECC475}">
  <ds:schemaRefs>
    <ds:schemaRef ds:uri="http://schemas.microsoft.com/sharepoint/v3/contenttype/forms"/>
  </ds:schemaRefs>
</ds:datastoreItem>
</file>

<file path=customXml/itemProps2.xml><?xml version="1.0" encoding="utf-8"?>
<ds:datastoreItem xmlns:ds="http://schemas.openxmlformats.org/officeDocument/2006/customXml" ds:itemID="{64B643E3-52F5-4B34-951B-E77492B9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A1AD5F-1E52-4A21-8958-CF30AE5C0E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D208BF-5454-45DB-9494-87CA598D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1982</Words>
  <Characters>1130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3106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2021-12-06T07:32:00Z</dcterms:created>
  <dc:creator>„Windows“ vartotojas</dc:creator>
  <cp:lastModifiedBy>Neringa Černiauskė</cp:lastModifiedBy>
  <cp:lastPrinted>2020-05-21T13:32:00Z</cp:lastPrinted>
  <dcterms:modified xsi:type="dcterms:W3CDTF">2021-12-06T10:03:00Z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