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D19B7" w14:textId="04974A2C" w:rsidR="00E4691D" w:rsidRPr="00BC1FD6" w:rsidRDefault="005420A9" w:rsidP="005420A9">
      <w:pPr>
        <w:jc w:val="center"/>
        <w:rPr>
          <w:b/>
          <w:bCs/>
        </w:rPr>
      </w:pPr>
      <w:bookmarkStart w:id="0" w:name="_GoBack"/>
      <w:bookmarkEnd w:id="0"/>
      <w:r w:rsidRPr="00BC1FD6">
        <w:rPr>
          <w:b/>
        </w:rPr>
        <w:t xml:space="preserve">REGLAMENTO (ES) NR. 2017/745 </w:t>
      </w:r>
      <w:r w:rsidR="00E4691D" w:rsidRPr="00BC1FD6">
        <w:rPr>
          <w:b/>
          <w:bCs/>
        </w:rPr>
        <w:t xml:space="preserve">IR </w:t>
      </w:r>
      <w:r w:rsidR="00946C1C" w:rsidRPr="00946C1C">
        <w:rPr>
          <w:rFonts w:eastAsia="Calibri"/>
          <w:b/>
          <w:bCs/>
          <w:lang w:eastAsia="en-US"/>
        </w:rPr>
        <w:t>LIETUVOS RESPUBLIKOS VYRIAUSYBĖS 2000 M. GRUODŽIO 15 D. NUTARIMO NR. 1458 „DĖL KONKREČIŲ VALSTYBĖS RINKLIAVOS DYDŽIŲ SĄRAŠO IR VALSTYBĖS RINKLIAVOS MOKĖJIMO IR GRĄŽINIMO TAISYKLIŲ PATVIRTINIMO“ PAKEITIMO</w:t>
      </w:r>
      <w:r w:rsidR="00946C1C">
        <w:rPr>
          <w:rFonts w:eastAsia="Calibri"/>
          <w:b/>
          <w:bCs/>
          <w:lang w:eastAsia="en-US"/>
        </w:rPr>
        <w:t xml:space="preserve"> </w:t>
      </w:r>
      <w:r w:rsidR="00E4691D" w:rsidRPr="00BC1FD6">
        <w:rPr>
          <w:b/>
          <w:bCs/>
        </w:rPr>
        <w:t>PROJEKTO ATITIKTIES LENTELĖ</w:t>
      </w:r>
    </w:p>
    <w:p w14:paraId="2F507A57" w14:textId="77777777" w:rsidR="00D00FD0" w:rsidRPr="00BC1FD6" w:rsidRDefault="00D00FD0">
      <w:pPr>
        <w:pStyle w:val="Pagrindinistekstas"/>
        <w:jc w:val="center"/>
        <w:rPr>
          <w:b/>
          <w:bCs/>
        </w:rPr>
      </w:pP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4"/>
        <w:gridCol w:w="9923"/>
        <w:gridCol w:w="1757"/>
      </w:tblGrid>
      <w:tr w:rsidR="00E4691D" w:rsidRPr="00BC1FD6" w14:paraId="24560931" w14:textId="77777777" w:rsidTr="007A4F11">
        <w:trPr>
          <w:trHeight w:val="114"/>
        </w:trPr>
        <w:tc>
          <w:tcPr>
            <w:tcW w:w="32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7234EC" w14:textId="48B0246A" w:rsidR="00E4691D" w:rsidRPr="00BC1FD6" w:rsidRDefault="005420A9" w:rsidP="00535A62">
            <w:pPr>
              <w:jc w:val="both"/>
              <w:rPr>
                <w:rFonts w:eastAsia="Times New Roman"/>
                <w:b/>
                <w:bCs/>
                <w:lang w:eastAsia="ar-SA"/>
              </w:rPr>
            </w:pPr>
            <w:r w:rsidRPr="00BC1FD6">
              <w:rPr>
                <w:b/>
              </w:rPr>
              <w:t xml:space="preserve">2017 m. balandžio 5 d. Europos Parlamento ir Tarybos reglamento (ES) Nr. 2017/745 dėl medicinos priemonių, kuriuo iš dalies keičiama Direktyva 2001/83/EB, Reglamentas (EB) Nr. 178/2002 ir Reglamentas (EB) Nr. 1223/2009, ir kuriuo panaikinamos Tarybos direktyvos 90/385/EEB ir 93/42/EEB </w:t>
            </w:r>
          </w:p>
        </w:tc>
        <w:tc>
          <w:tcPr>
            <w:tcW w:w="99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6508FD" w14:textId="73278E0A" w:rsidR="00E4691D" w:rsidRDefault="00946C1C" w:rsidP="00492F2A">
            <w:pPr>
              <w:pStyle w:val="Pagrindinistekstas"/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  <w:bCs/>
                <w:lang w:eastAsia="en-US"/>
              </w:rPr>
              <w:t>L</w:t>
            </w:r>
            <w:r w:rsidRPr="00946C1C">
              <w:rPr>
                <w:rFonts w:eastAsia="Calibri"/>
                <w:b/>
                <w:bCs/>
                <w:lang w:eastAsia="en-US"/>
              </w:rPr>
              <w:t xml:space="preserve">ietuvos </w:t>
            </w:r>
            <w:r>
              <w:rPr>
                <w:rFonts w:eastAsia="Calibri"/>
                <w:b/>
                <w:bCs/>
                <w:lang w:eastAsia="en-US"/>
              </w:rPr>
              <w:t>R</w:t>
            </w:r>
            <w:r w:rsidRPr="00946C1C">
              <w:rPr>
                <w:rFonts w:eastAsia="Calibri"/>
                <w:b/>
                <w:bCs/>
                <w:lang w:eastAsia="en-US"/>
              </w:rPr>
              <w:t xml:space="preserve">espublikos </w:t>
            </w:r>
            <w:r>
              <w:rPr>
                <w:rFonts w:eastAsia="Calibri"/>
                <w:b/>
                <w:bCs/>
                <w:lang w:eastAsia="en-US"/>
              </w:rPr>
              <w:t>V</w:t>
            </w:r>
            <w:r w:rsidRPr="00946C1C">
              <w:rPr>
                <w:rFonts w:eastAsia="Calibri"/>
                <w:b/>
                <w:bCs/>
                <w:lang w:eastAsia="en-US"/>
              </w:rPr>
              <w:t xml:space="preserve">yriausybės 2000 </w:t>
            </w:r>
            <w:r>
              <w:rPr>
                <w:rFonts w:eastAsia="Calibri"/>
                <w:b/>
                <w:bCs/>
                <w:lang w:eastAsia="en-US"/>
              </w:rPr>
              <w:t>m</w:t>
            </w:r>
            <w:r w:rsidRPr="00946C1C">
              <w:rPr>
                <w:rFonts w:eastAsia="Calibri"/>
                <w:b/>
                <w:bCs/>
                <w:lang w:eastAsia="en-US"/>
              </w:rPr>
              <w:t xml:space="preserve">. gruodžio 15 d. nutarimo </w:t>
            </w:r>
            <w:r>
              <w:rPr>
                <w:rFonts w:eastAsia="Calibri"/>
                <w:b/>
                <w:bCs/>
                <w:lang w:eastAsia="en-US"/>
              </w:rPr>
              <w:t>N</w:t>
            </w:r>
            <w:r w:rsidRPr="00946C1C">
              <w:rPr>
                <w:rFonts w:eastAsia="Calibri"/>
                <w:b/>
                <w:bCs/>
                <w:lang w:eastAsia="en-US"/>
              </w:rPr>
              <w:t>r. 1458 „</w:t>
            </w:r>
            <w:r>
              <w:rPr>
                <w:rFonts w:eastAsia="Calibri"/>
                <w:b/>
                <w:bCs/>
                <w:lang w:eastAsia="en-US"/>
              </w:rPr>
              <w:t>D</w:t>
            </w:r>
            <w:r w:rsidRPr="00946C1C">
              <w:rPr>
                <w:rFonts w:eastAsia="Calibri"/>
                <w:b/>
                <w:bCs/>
                <w:lang w:eastAsia="en-US"/>
              </w:rPr>
              <w:t>ėl konkrečių valstybės rinkliavos dydžių sąrašo ir valstybės rinkliavos mokėjimo ir grąžinimo taisyklių patvirtinimo“ pakeitimo</w:t>
            </w:r>
            <w:r>
              <w:rPr>
                <w:rFonts w:eastAsia="Calibri"/>
                <w:b/>
                <w:bCs/>
                <w:lang w:eastAsia="en-US"/>
              </w:rPr>
              <w:t xml:space="preserve">“ </w:t>
            </w:r>
            <w:r w:rsidR="00426F16">
              <w:rPr>
                <w:b/>
                <w:bCs/>
              </w:rPr>
              <w:t>projektas</w:t>
            </w:r>
            <w:r w:rsidR="00E2626A" w:rsidRPr="00BC1FD6">
              <w:rPr>
                <w:b/>
              </w:rPr>
              <w:t xml:space="preserve"> (toliau – Projektas)</w:t>
            </w:r>
          </w:p>
          <w:p w14:paraId="7C16C825" w14:textId="77777777" w:rsidR="00231D67" w:rsidRDefault="00231D67" w:rsidP="00492F2A">
            <w:pPr>
              <w:pStyle w:val="Pagrindinistekstas"/>
              <w:spacing w:after="0"/>
              <w:jc w:val="both"/>
              <w:rPr>
                <w:b/>
              </w:rPr>
            </w:pPr>
          </w:p>
          <w:p w14:paraId="11092569" w14:textId="7A10CB1C" w:rsidR="00231D67" w:rsidRPr="00BC1FD6" w:rsidRDefault="00946C1C" w:rsidP="00492F2A">
            <w:pPr>
              <w:pStyle w:val="Pagrindinistekstas"/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  <w:bCs/>
                <w:lang w:eastAsia="en-US"/>
              </w:rPr>
              <w:t>K</w:t>
            </w:r>
            <w:r w:rsidRPr="00946C1C">
              <w:rPr>
                <w:rFonts w:eastAsia="Calibri"/>
                <w:b/>
                <w:bCs/>
                <w:lang w:eastAsia="en-US"/>
              </w:rPr>
              <w:t>onkrečių valstybės rinkliavos dydžių sąraš</w:t>
            </w:r>
            <w:r>
              <w:rPr>
                <w:rFonts w:eastAsia="Calibri"/>
                <w:b/>
                <w:bCs/>
                <w:lang w:eastAsia="en-US"/>
              </w:rPr>
              <w:t>as, patvirtintas</w:t>
            </w:r>
            <w:r w:rsidR="00231D67">
              <w:rPr>
                <w:b/>
              </w:rPr>
              <w:t xml:space="preserve"> </w:t>
            </w:r>
            <w:r>
              <w:rPr>
                <w:rFonts w:eastAsia="Calibri"/>
                <w:b/>
                <w:bCs/>
                <w:lang w:eastAsia="en-US"/>
              </w:rPr>
              <w:t>L</w:t>
            </w:r>
            <w:r w:rsidRPr="00946C1C">
              <w:rPr>
                <w:rFonts w:eastAsia="Calibri"/>
                <w:b/>
                <w:bCs/>
                <w:lang w:eastAsia="en-US"/>
              </w:rPr>
              <w:t xml:space="preserve">ietuvos </w:t>
            </w:r>
            <w:r>
              <w:rPr>
                <w:rFonts w:eastAsia="Calibri"/>
                <w:b/>
                <w:bCs/>
                <w:lang w:eastAsia="en-US"/>
              </w:rPr>
              <w:t>R</w:t>
            </w:r>
            <w:r w:rsidRPr="00946C1C">
              <w:rPr>
                <w:rFonts w:eastAsia="Calibri"/>
                <w:b/>
                <w:bCs/>
                <w:lang w:eastAsia="en-US"/>
              </w:rPr>
              <w:t xml:space="preserve">espublikos </w:t>
            </w:r>
            <w:r>
              <w:rPr>
                <w:rFonts w:eastAsia="Calibri"/>
                <w:b/>
                <w:bCs/>
                <w:lang w:eastAsia="en-US"/>
              </w:rPr>
              <w:t>V</w:t>
            </w:r>
            <w:r w:rsidRPr="00946C1C">
              <w:rPr>
                <w:rFonts w:eastAsia="Calibri"/>
                <w:b/>
                <w:bCs/>
                <w:lang w:eastAsia="en-US"/>
              </w:rPr>
              <w:t xml:space="preserve">yriausybės 2000 </w:t>
            </w:r>
            <w:r>
              <w:rPr>
                <w:rFonts w:eastAsia="Calibri"/>
                <w:b/>
                <w:bCs/>
                <w:lang w:eastAsia="en-US"/>
              </w:rPr>
              <w:t>m</w:t>
            </w:r>
            <w:r w:rsidRPr="00946C1C">
              <w:rPr>
                <w:rFonts w:eastAsia="Calibri"/>
                <w:b/>
                <w:bCs/>
                <w:lang w:eastAsia="en-US"/>
              </w:rPr>
              <w:t>. gruodžio 15 d. nutarim</w:t>
            </w:r>
            <w:r>
              <w:rPr>
                <w:rFonts w:eastAsia="Calibri"/>
                <w:b/>
                <w:bCs/>
                <w:lang w:eastAsia="en-US"/>
              </w:rPr>
              <w:t>u</w:t>
            </w:r>
            <w:r w:rsidRPr="00946C1C">
              <w:rPr>
                <w:rFonts w:eastAsia="Calibri"/>
                <w:b/>
                <w:bCs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lang w:eastAsia="en-US"/>
              </w:rPr>
              <w:t>N</w:t>
            </w:r>
            <w:r w:rsidRPr="00946C1C">
              <w:rPr>
                <w:rFonts w:eastAsia="Calibri"/>
                <w:b/>
                <w:bCs/>
                <w:lang w:eastAsia="en-US"/>
              </w:rPr>
              <w:t>r. 1458 „</w:t>
            </w:r>
            <w:r>
              <w:rPr>
                <w:rFonts w:eastAsia="Calibri"/>
                <w:b/>
                <w:bCs/>
                <w:lang w:eastAsia="en-US"/>
              </w:rPr>
              <w:t>D</w:t>
            </w:r>
            <w:r w:rsidRPr="00946C1C">
              <w:rPr>
                <w:rFonts w:eastAsia="Calibri"/>
                <w:b/>
                <w:bCs/>
                <w:lang w:eastAsia="en-US"/>
              </w:rPr>
              <w:t xml:space="preserve">ėl konkrečių valstybės rinkliavos dydžių sąrašo ir valstybės rinkliavos mokėjimo ir grąžinimo taisyklių patvirtinimo“ </w:t>
            </w:r>
            <w:r w:rsidR="00231D67">
              <w:rPr>
                <w:b/>
              </w:rPr>
              <w:t>(toliau –</w:t>
            </w:r>
            <w:r>
              <w:rPr>
                <w:b/>
              </w:rPr>
              <w:t>Sąrašas</w:t>
            </w:r>
            <w:r w:rsidR="00231D67">
              <w:rPr>
                <w:b/>
              </w:rPr>
              <w:t>)</w:t>
            </w:r>
          </w:p>
          <w:p w14:paraId="26ECEB43" w14:textId="77777777" w:rsidR="00E2626A" w:rsidRPr="00BC1FD6" w:rsidRDefault="00E2626A" w:rsidP="00492F2A">
            <w:pPr>
              <w:pStyle w:val="Pagrindinistekstas"/>
              <w:spacing w:after="0"/>
              <w:jc w:val="both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0A3311" w14:textId="77777777" w:rsidR="00E4691D" w:rsidRPr="00BC1FD6" w:rsidRDefault="000C4B5F" w:rsidP="00F2352F">
            <w:pPr>
              <w:pStyle w:val="Pagrindinistekstas"/>
              <w:spacing w:before="60" w:after="40"/>
              <w:jc w:val="both"/>
              <w:rPr>
                <w:b/>
                <w:bCs/>
              </w:rPr>
            </w:pPr>
            <w:r w:rsidRPr="00BC1FD6">
              <w:rPr>
                <w:b/>
              </w:rPr>
              <w:t xml:space="preserve">ES teisės akto </w:t>
            </w:r>
            <w:r w:rsidR="008763F4" w:rsidRPr="00BC1FD6">
              <w:rPr>
                <w:b/>
              </w:rPr>
              <w:t>įgyvendinimo</w:t>
            </w:r>
            <w:r w:rsidR="00E4691D" w:rsidRPr="00BC1FD6">
              <w:rPr>
                <w:b/>
              </w:rPr>
              <w:t xml:space="preserve"> lygis</w:t>
            </w:r>
            <w:r w:rsidR="00311BCF" w:rsidRPr="00BC1FD6">
              <w:rPr>
                <w:b/>
              </w:rPr>
              <w:t xml:space="preserve"> (visiškas, dalinis)</w:t>
            </w:r>
          </w:p>
        </w:tc>
      </w:tr>
      <w:tr w:rsidR="00204C38" w:rsidRPr="007A4F11" w14:paraId="7DA707EF" w14:textId="77777777" w:rsidTr="007A4F11">
        <w:tc>
          <w:tcPr>
            <w:tcW w:w="3204" w:type="dxa"/>
            <w:tcBorders>
              <w:left w:val="single" w:sz="1" w:space="0" w:color="000000"/>
              <w:bottom w:val="single" w:sz="1" w:space="0" w:color="000000"/>
            </w:tcBorders>
          </w:tcPr>
          <w:p w14:paraId="4AE806C8" w14:textId="77777777" w:rsidR="007A4F11" w:rsidRPr="007A4F11" w:rsidRDefault="007A4F11" w:rsidP="007A4F11">
            <w:pPr>
              <w:pStyle w:val="ti-art1"/>
              <w:shd w:val="clear" w:color="auto" w:fill="FFFFFF"/>
              <w:jc w:val="left"/>
              <w:rPr>
                <w:b/>
                <w:bCs/>
                <w:i w:val="0"/>
                <w:iCs w:val="0"/>
                <w:color w:val="444444"/>
              </w:rPr>
            </w:pPr>
            <w:r w:rsidRPr="007A4F11">
              <w:rPr>
                <w:b/>
                <w:bCs/>
                <w:i w:val="0"/>
                <w:iCs w:val="0"/>
                <w:color w:val="444444"/>
              </w:rPr>
              <w:t>111 straipsnis</w:t>
            </w:r>
          </w:p>
          <w:p w14:paraId="4258FACD" w14:textId="77777777" w:rsidR="007A4F11" w:rsidRPr="007A4F11" w:rsidRDefault="007A4F11" w:rsidP="007A4F11">
            <w:pPr>
              <w:pStyle w:val="sti-art1"/>
              <w:shd w:val="clear" w:color="auto" w:fill="FFFFFF"/>
              <w:jc w:val="left"/>
              <w:rPr>
                <w:color w:val="444444"/>
              </w:rPr>
            </w:pPr>
            <w:r w:rsidRPr="007A4F11">
              <w:rPr>
                <w:color w:val="444444"/>
              </w:rPr>
              <w:t>Mokesčių rinkimas</w:t>
            </w:r>
          </w:p>
          <w:p w14:paraId="6A9A63A3" w14:textId="77777777" w:rsidR="007A4F11" w:rsidRPr="00A976F6" w:rsidRDefault="007A4F11" w:rsidP="007A4F11">
            <w:pPr>
              <w:pStyle w:val="normal10"/>
              <w:shd w:val="clear" w:color="auto" w:fill="FFFFFF"/>
            </w:pPr>
            <w:r w:rsidRPr="00A976F6">
              <w:t>1.   Šis reglamentas nedaro poveikio valstybių narių galimybei rinkti mokesčius už šiame reglamente nustatytą veiklą, jei mokesčių dydis yra nustatomas skaidriai ir remiantis išlaidų padengimo principais.</w:t>
            </w:r>
          </w:p>
          <w:p w14:paraId="1B93BDB5" w14:textId="1664E854" w:rsidR="00204C38" w:rsidRPr="007A4F11" w:rsidRDefault="00204C38" w:rsidP="007A4F11">
            <w:pPr>
              <w:pStyle w:val="normal10"/>
              <w:shd w:val="clear" w:color="auto" w:fill="FFFFFF"/>
              <w:rPr>
                <w:b/>
              </w:rPr>
            </w:pPr>
          </w:p>
        </w:tc>
        <w:tc>
          <w:tcPr>
            <w:tcW w:w="9923" w:type="dxa"/>
            <w:tcBorders>
              <w:left w:val="single" w:sz="1" w:space="0" w:color="000000"/>
              <w:bottom w:val="single" w:sz="1" w:space="0" w:color="000000"/>
            </w:tcBorders>
          </w:tcPr>
          <w:p w14:paraId="0DE19688" w14:textId="275B2D14" w:rsidR="00204C38" w:rsidRDefault="00204C38" w:rsidP="00204C38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 w:rsidRPr="007A4F11">
              <w:rPr>
                <w:b/>
              </w:rPr>
              <w:t xml:space="preserve">Projekto </w:t>
            </w:r>
            <w:r w:rsidR="007A4F11">
              <w:rPr>
                <w:b/>
              </w:rPr>
              <w:t>1.</w:t>
            </w:r>
            <w:r w:rsidR="00D11F55">
              <w:rPr>
                <w:b/>
              </w:rPr>
              <w:t>6</w:t>
            </w:r>
            <w:r w:rsidR="007A4F11">
              <w:rPr>
                <w:b/>
              </w:rPr>
              <w:t xml:space="preserve"> papunkčiu keičiamo Sąrašo papildymas</w:t>
            </w:r>
            <w:r w:rsidRPr="007A4F11">
              <w:rPr>
                <w:b/>
              </w:rPr>
              <w:t xml:space="preserve"> </w:t>
            </w:r>
            <w:bookmarkStart w:id="1" w:name="_Hlk33609390"/>
            <w:r w:rsidR="007A4F11" w:rsidRPr="007A4F11">
              <w:rPr>
                <w:rFonts w:eastAsia="Calibri"/>
                <w:b/>
                <w:bCs/>
                <w:lang w:eastAsia="en-US"/>
              </w:rPr>
              <w:t>4.85</w:t>
            </w:r>
            <w:r w:rsidR="007A4F11" w:rsidRPr="007A4F11">
              <w:rPr>
                <w:rFonts w:eastAsia="Calibri"/>
                <w:b/>
                <w:bCs/>
                <w:vertAlign w:val="superscript"/>
                <w:lang w:eastAsia="en-US"/>
              </w:rPr>
              <w:t>1</w:t>
            </w:r>
            <w:r w:rsidR="007A4F11" w:rsidRPr="007A4F11">
              <w:rPr>
                <w:rFonts w:eastAsia="Calibri"/>
                <w:b/>
                <w:bCs/>
                <w:lang w:eastAsia="en-US"/>
              </w:rPr>
              <w:t xml:space="preserve"> </w:t>
            </w:r>
            <w:bookmarkEnd w:id="1"/>
            <w:r w:rsidR="007A4F11" w:rsidRPr="007A4F11">
              <w:rPr>
                <w:rFonts w:eastAsia="Calibri"/>
                <w:b/>
                <w:bCs/>
                <w:lang w:eastAsia="en-US"/>
              </w:rPr>
              <w:t>papunkčiu</w:t>
            </w:r>
          </w:p>
          <w:p w14:paraId="012F3150" w14:textId="77777777" w:rsidR="007A4F11" w:rsidRPr="007A4F11" w:rsidRDefault="007A4F11" w:rsidP="00204C38">
            <w:pPr>
              <w:jc w:val="both"/>
              <w:rPr>
                <w:rFonts w:eastAsia="Times New Roman"/>
                <w:color w:val="000000"/>
                <w:lang w:eastAsia="en-US"/>
              </w:rPr>
            </w:pP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6066"/>
              <w:gridCol w:w="1730"/>
            </w:tblGrid>
            <w:tr w:rsidR="007A4F11" w:rsidRPr="000D35E4" w14:paraId="474996DD" w14:textId="77777777" w:rsidTr="0042366D">
              <w:trPr>
                <w:trHeight w:val="30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63D8B1A" w14:textId="77777777" w:rsidR="007A4F11" w:rsidRPr="008324F6" w:rsidRDefault="007A4F11" w:rsidP="007A4F11">
                  <w:pPr>
                    <w:spacing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bookmarkStart w:id="2" w:name="_Hlk33610897"/>
                  <w:r w:rsidRPr="008324F6">
                    <w:rPr>
                      <w:rFonts w:eastAsia="Calibri"/>
                      <w:lang w:eastAsia="en-US"/>
                    </w:rPr>
                    <w:t>„4.85</w:t>
                  </w:r>
                  <w:r w:rsidRPr="008324F6">
                    <w:rPr>
                      <w:rFonts w:eastAsia="Calibri"/>
                      <w:vertAlign w:val="superscript"/>
                      <w:lang w:eastAsia="en-US"/>
                    </w:rPr>
                    <w:t>1</w:t>
                  </w:r>
                  <w:r w:rsidRPr="008324F6">
                    <w:rPr>
                      <w:rFonts w:eastAsia="Calibri"/>
                      <w:lang w:eastAsia="en-US"/>
                    </w:rPr>
                    <w:t>.</w:t>
                  </w:r>
                </w:p>
              </w:tc>
              <w:tc>
                <w:tcPr>
                  <w:tcW w:w="6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0E3E83" w14:textId="77777777" w:rsidR="007A4F11" w:rsidRPr="008324F6" w:rsidRDefault="007A4F11" w:rsidP="007A4F11">
                  <w:pPr>
                    <w:spacing w:line="259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8324F6">
                    <w:rPr>
                      <w:lang w:eastAsia="en-US"/>
                    </w:rPr>
                    <w:t xml:space="preserve">klinikinio tyrimo su </w:t>
                  </w:r>
                  <w:r w:rsidRPr="008324F6">
                    <w:t xml:space="preserve">CE ženklu paženklinta </w:t>
                  </w:r>
                  <w:r w:rsidRPr="008324F6">
                    <w:rPr>
                      <w:lang w:eastAsia="en-US"/>
                    </w:rPr>
                    <w:t>medicinos priemone paraiškos etikos aspektų Lietuvos bioetikos komiteto vertinimo išvados pateikimą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780E7CE" w14:textId="77777777" w:rsidR="007A4F11" w:rsidRPr="008324F6" w:rsidRDefault="007A4F11" w:rsidP="007A4F11">
                  <w:pPr>
                    <w:spacing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7A4F11" w:rsidRPr="000D35E4" w14:paraId="0B036D96" w14:textId="77777777" w:rsidTr="0042366D">
              <w:trPr>
                <w:trHeight w:val="30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D2D6BA2" w14:textId="77777777" w:rsidR="007A4F11" w:rsidRPr="008324F6" w:rsidRDefault="007A4F11" w:rsidP="007A4F11">
                  <w:pPr>
                    <w:spacing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8324F6">
                    <w:rPr>
                      <w:rFonts w:eastAsia="Calibri"/>
                      <w:lang w:eastAsia="en-US"/>
                    </w:rPr>
                    <w:t>4.85</w:t>
                  </w:r>
                  <w:r w:rsidRPr="008324F6">
                    <w:rPr>
                      <w:rFonts w:eastAsia="Calibri"/>
                      <w:vertAlign w:val="superscript"/>
                      <w:lang w:eastAsia="en-US"/>
                    </w:rPr>
                    <w:t>1</w:t>
                  </w:r>
                  <w:r w:rsidRPr="008324F6">
                    <w:rPr>
                      <w:rFonts w:eastAsia="Calibri"/>
                      <w:lang w:eastAsia="en-US"/>
                    </w:rPr>
                    <w:t>.1.</w:t>
                  </w:r>
                </w:p>
              </w:tc>
              <w:tc>
                <w:tcPr>
                  <w:tcW w:w="6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70D68" w14:textId="77777777" w:rsidR="007A4F11" w:rsidRPr="008324F6" w:rsidRDefault="007A4F11" w:rsidP="007A4F11">
                  <w:pPr>
                    <w:spacing w:line="259" w:lineRule="auto"/>
                    <w:jc w:val="both"/>
                    <w:rPr>
                      <w:lang w:eastAsia="en-US"/>
                    </w:rPr>
                  </w:pPr>
                  <w:r w:rsidRPr="008324F6">
                    <w:rPr>
                      <w:lang w:eastAsia="en-US"/>
                    </w:rPr>
                    <w:t>kai gaunama vieno regioninio biomedicininių tyrimų etikos komiteto išvada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21A0375" w14:textId="77777777" w:rsidR="007A4F11" w:rsidRPr="008324F6" w:rsidRDefault="007A4F11" w:rsidP="007A4F11">
                  <w:pPr>
                    <w:spacing w:line="259" w:lineRule="auto"/>
                    <w:jc w:val="center"/>
                    <w:rPr>
                      <w:rFonts w:eastAsia="Calibri"/>
                      <w:highlight w:val="yellow"/>
                      <w:lang w:eastAsia="en-US"/>
                    </w:rPr>
                  </w:pPr>
                  <w:r w:rsidRPr="008324F6">
                    <w:rPr>
                      <w:rFonts w:eastAsia="Calibri"/>
                      <w:lang w:eastAsia="en-US"/>
                    </w:rPr>
                    <w:t>619</w:t>
                  </w:r>
                </w:p>
              </w:tc>
            </w:tr>
            <w:tr w:rsidR="007A4F11" w:rsidRPr="000D35E4" w14:paraId="7EDCE0DB" w14:textId="77777777" w:rsidTr="0042366D">
              <w:trPr>
                <w:trHeight w:val="30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D8FC1F3" w14:textId="77777777" w:rsidR="007A4F11" w:rsidRPr="008324F6" w:rsidRDefault="007A4F11" w:rsidP="007A4F11">
                  <w:pPr>
                    <w:spacing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8324F6">
                    <w:rPr>
                      <w:rFonts w:eastAsia="Calibri"/>
                      <w:lang w:eastAsia="en-US"/>
                    </w:rPr>
                    <w:t>4.85</w:t>
                  </w:r>
                  <w:r w:rsidRPr="008324F6">
                    <w:rPr>
                      <w:rFonts w:eastAsia="Calibri"/>
                      <w:vertAlign w:val="superscript"/>
                      <w:lang w:eastAsia="en-US"/>
                    </w:rPr>
                    <w:t>1</w:t>
                  </w:r>
                  <w:r w:rsidRPr="008324F6">
                    <w:rPr>
                      <w:rFonts w:eastAsia="Calibri"/>
                      <w:lang w:eastAsia="en-US"/>
                    </w:rPr>
                    <w:t>.2.</w:t>
                  </w:r>
                </w:p>
              </w:tc>
              <w:tc>
                <w:tcPr>
                  <w:tcW w:w="6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0526F" w14:textId="77777777" w:rsidR="007A4F11" w:rsidRPr="008324F6" w:rsidRDefault="007A4F11" w:rsidP="007A4F11">
                  <w:pPr>
                    <w:spacing w:line="259" w:lineRule="auto"/>
                    <w:jc w:val="both"/>
                    <w:rPr>
                      <w:lang w:eastAsia="en-US"/>
                    </w:rPr>
                  </w:pPr>
                  <w:r w:rsidRPr="008324F6">
                    <w:rPr>
                      <w:lang w:eastAsia="en-US"/>
                    </w:rPr>
                    <w:t xml:space="preserve">kai gaunamos dviejų regioninių biomedicininių tyrimų etikos komitetų išvados 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03726EC" w14:textId="77777777" w:rsidR="007A4F11" w:rsidRPr="008324F6" w:rsidRDefault="007A4F11" w:rsidP="007A4F11">
                  <w:pPr>
                    <w:spacing w:line="259" w:lineRule="auto"/>
                    <w:jc w:val="center"/>
                    <w:rPr>
                      <w:rFonts w:eastAsia="Calibri"/>
                      <w:highlight w:val="yellow"/>
                      <w:lang w:eastAsia="en-US"/>
                    </w:rPr>
                  </w:pPr>
                  <w:r w:rsidRPr="008324F6">
                    <w:rPr>
                      <w:rFonts w:eastAsia="Calibri"/>
                      <w:lang w:eastAsia="en-US"/>
                    </w:rPr>
                    <w:t>800“.</w:t>
                  </w:r>
                </w:p>
              </w:tc>
            </w:tr>
            <w:bookmarkEnd w:id="2"/>
          </w:tbl>
          <w:p w14:paraId="6FBEFC76" w14:textId="77777777" w:rsidR="00204C38" w:rsidRDefault="00204C38" w:rsidP="007A4F11">
            <w:pPr>
              <w:widowControl/>
              <w:suppressAutoHyphens w:val="0"/>
              <w:spacing w:line="259" w:lineRule="auto"/>
              <w:ind w:firstLine="851"/>
              <w:jc w:val="both"/>
              <w:rPr>
                <w:b/>
              </w:rPr>
            </w:pPr>
          </w:p>
          <w:p w14:paraId="1A055304" w14:textId="13902AB7" w:rsidR="007A4F11" w:rsidRDefault="007A4F11" w:rsidP="007A4F11">
            <w:pPr>
              <w:widowControl/>
              <w:suppressAutoHyphens w:val="0"/>
              <w:spacing w:line="259" w:lineRule="auto"/>
              <w:jc w:val="both"/>
              <w:rPr>
                <w:b/>
                <w:bCs/>
              </w:rPr>
            </w:pPr>
            <w:r w:rsidRPr="007A4F11">
              <w:rPr>
                <w:b/>
              </w:rPr>
              <w:t>Projekto 1.</w:t>
            </w:r>
            <w:r>
              <w:rPr>
                <w:b/>
              </w:rPr>
              <w:t>1</w:t>
            </w:r>
            <w:r w:rsidR="00D11F55">
              <w:rPr>
                <w:b/>
              </w:rPr>
              <w:t>3</w:t>
            </w:r>
            <w:r w:rsidRPr="007A4F11">
              <w:rPr>
                <w:b/>
              </w:rPr>
              <w:t xml:space="preserve"> papunkčiu keičiamo Sąrašo papildymas </w:t>
            </w:r>
            <w:r w:rsidRPr="007A4F11">
              <w:rPr>
                <w:b/>
                <w:bCs/>
              </w:rPr>
              <w:t>4.</w:t>
            </w:r>
            <w:r>
              <w:rPr>
                <w:b/>
                <w:bCs/>
              </w:rPr>
              <w:t>605</w:t>
            </w:r>
            <w:r w:rsidRPr="007A4F11">
              <w:rPr>
                <w:b/>
                <w:bCs/>
                <w:vertAlign w:val="superscript"/>
              </w:rPr>
              <w:t>4</w:t>
            </w:r>
            <w:r w:rsidRPr="007A4F11">
              <w:rPr>
                <w:b/>
                <w:bCs/>
              </w:rPr>
              <w:t xml:space="preserve"> papunkčiu</w:t>
            </w:r>
          </w:p>
          <w:p w14:paraId="4A4D417F" w14:textId="77777777" w:rsidR="008324F6" w:rsidRDefault="008324F6" w:rsidP="007A4F11">
            <w:pPr>
              <w:widowControl/>
              <w:suppressAutoHyphens w:val="0"/>
              <w:spacing w:line="259" w:lineRule="auto"/>
              <w:jc w:val="both"/>
              <w:rPr>
                <w:b/>
                <w:bCs/>
              </w:rPr>
            </w:pP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65"/>
              <w:gridCol w:w="6381"/>
              <w:gridCol w:w="1730"/>
            </w:tblGrid>
            <w:tr w:rsidR="008324F6" w:rsidRPr="00D672B5" w14:paraId="1D67ABDB" w14:textId="77777777" w:rsidTr="0042366D">
              <w:trPr>
                <w:trHeight w:val="300"/>
              </w:trPr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BEFC8EA" w14:textId="77777777" w:rsidR="008324F6" w:rsidRPr="008324F6" w:rsidRDefault="008324F6" w:rsidP="008324F6">
                  <w:pPr>
                    <w:spacing w:line="259" w:lineRule="auto"/>
                    <w:ind w:firstLine="29"/>
                    <w:jc w:val="center"/>
                    <w:rPr>
                      <w:rFonts w:eastAsia="Calibri"/>
                      <w:lang w:eastAsia="en-US"/>
                    </w:rPr>
                  </w:pPr>
                  <w:r w:rsidRPr="008324F6">
                    <w:rPr>
                      <w:rFonts w:eastAsia="Calibri"/>
                      <w:lang w:eastAsia="en-US"/>
                    </w:rPr>
                    <w:t>„4.605</w:t>
                  </w:r>
                  <w:r w:rsidRPr="008324F6">
                    <w:rPr>
                      <w:rFonts w:eastAsia="Calibri"/>
                      <w:vertAlign w:val="superscript"/>
                      <w:lang w:eastAsia="en-US"/>
                    </w:rPr>
                    <w:t>4</w:t>
                  </w:r>
                  <w:r w:rsidRPr="008324F6">
                    <w:rPr>
                      <w:rFonts w:eastAsia="Calibri"/>
                      <w:lang w:eastAsia="en-US"/>
                    </w:rPr>
                    <w:t>.</w:t>
                  </w:r>
                </w:p>
              </w:tc>
              <w:tc>
                <w:tcPr>
                  <w:tcW w:w="6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B7EC5" w14:textId="77777777" w:rsidR="008324F6" w:rsidRPr="008324F6" w:rsidRDefault="008324F6" w:rsidP="008324F6">
                  <w:pPr>
                    <w:spacing w:line="259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8324F6">
                    <w:rPr>
                      <w:rFonts w:eastAsia="Calibri"/>
                      <w:lang w:eastAsia="en-US"/>
                    </w:rPr>
                    <w:t xml:space="preserve">leidimo atlikti </w:t>
                  </w:r>
                  <w:r w:rsidRPr="008324F6">
                    <w:rPr>
                      <w:lang w:eastAsia="en-US"/>
                    </w:rPr>
                    <w:t xml:space="preserve">klinikinį </w:t>
                  </w:r>
                  <w:r w:rsidRPr="008324F6">
                    <w:rPr>
                      <w:rFonts w:eastAsia="Calibri"/>
                      <w:lang w:eastAsia="en-US"/>
                    </w:rPr>
                    <w:t>tyrimą su medicinos priemone išdavimą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33B1A2A" w14:textId="77777777" w:rsidR="008324F6" w:rsidRPr="008324F6" w:rsidRDefault="008324F6" w:rsidP="008324F6">
                  <w:pPr>
                    <w:spacing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8324F6" w:rsidRPr="00D672B5" w14:paraId="435AC265" w14:textId="77777777" w:rsidTr="0042366D">
              <w:trPr>
                <w:trHeight w:val="300"/>
              </w:trPr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D38A7EF" w14:textId="77777777" w:rsidR="008324F6" w:rsidRPr="008324F6" w:rsidRDefault="008324F6" w:rsidP="008324F6">
                  <w:pPr>
                    <w:spacing w:line="259" w:lineRule="auto"/>
                    <w:ind w:firstLine="29"/>
                    <w:jc w:val="center"/>
                    <w:rPr>
                      <w:rFonts w:eastAsia="Calibri"/>
                      <w:lang w:eastAsia="en-US"/>
                    </w:rPr>
                  </w:pPr>
                  <w:r w:rsidRPr="008324F6">
                    <w:rPr>
                      <w:rFonts w:eastAsia="Calibri"/>
                      <w:lang w:eastAsia="en-US"/>
                    </w:rPr>
                    <w:lastRenderedPageBreak/>
                    <w:t>4.605</w:t>
                  </w:r>
                  <w:r w:rsidRPr="008324F6">
                    <w:rPr>
                      <w:rFonts w:eastAsia="Calibri"/>
                      <w:vertAlign w:val="superscript"/>
                      <w:lang w:eastAsia="en-US"/>
                    </w:rPr>
                    <w:t>4</w:t>
                  </w:r>
                  <w:r w:rsidRPr="008324F6">
                    <w:rPr>
                      <w:rFonts w:eastAsia="Calibri"/>
                      <w:lang w:eastAsia="en-US"/>
                    </w:rPr>
                    <w:t>.1.</w:t>
                  </w:r>
                </w:p>
              </w:tc>
              <w:tc>
                <w:tcPr>
                  <w:tcW w:w="6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F3837" w14:textId="77777777" w:rsidR="008324F6" w:rsidRPr="008324F6" w:rsidRDefault="008324F6" w:rsidP="008324F6">
                  <w:pPr>
                    <w:spacing w:line="259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8324F6">
                    <w:rPr>
                      <w:rFonts w:eastAsia="Calibri"/>
                      <w:lang w:eastAsia="en-US"/>
                    </w:rPr>
                    <w:t>kai gaunama vieno regioninio biomedicininių tyrimų etikos komiteto išvada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E6C7F42" w14:textId="77777777" w:rsidR="008324F6" w:rsidRPr="008324F6" w:rsidRDefault="008324F6" w:rsidP="008324F6">
                  <w:pPr>
                    <w:spacing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8324F6">
                    <w:rPr>
                      <w:rFonts w:eastAsia="Calibri"/>
                      <w:lang w:eastAsia="en-US"/>
                    </w:rPr>
                    <w:t>1658</w:t>
                  </w:r>
                </w:p>
              </w:tc>
            </w:tr>
            <w:tr w:rsidR="008324F6" w:rsidRPr="00D672B5" w14:paraId="45846084" w14:textId="77777777" w:rsidTr="0042366D">
              <w:trPr>
                <w:trHeight w:val="300"/>
              </w:trPr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BE0781C" w14:textId="77777777" w:rsidR="008324F6" w:rsidRPr="008324F6" w:rsidRDefault="008324F6" w:rsidP="008324F6">
                  <w:pPr>
                    <w:spacing w:line="259" w:lineRule="auto"/>
                    <w:ind w:firstLine="29"/>
                    <w:jc w:val="center"/>
                    <w:rPr>
                      <w:rFonts w:eastAsia="Calibri"/>
                      <w:lang w:eastAsia="en-US"/>
                    </w:rPr>
                  </w:pPr>
                  <w:r w:rsidRPr="008324F6">
                    <w:rPr>
                      <w:rFonts w:eastAsia="Calibri"/>
                      <w:lang w:eastAsia="en-US"/>
                    </w:rPr>
                    <w:t>4.605</w:t>
                  </w:r>
                  <w:r w:rsidRPr="008324F6">
                    <w:rPr>
                      <w:rFonts w:eastAsia="Calibri"/>
                      <w:vertAlign w:val="superscript"/>
                      <w:lang w:eastAsia="en-US"/>
                    </w:rPr>
                    <w:t>4</w:t>
                  </w:r>
                  <w:r w:rsidRPr="008324F6">
                    <w:rPr>
                      <w:rFonts w:eastAsia="Calibri"/>
                      <w:lang w:eastAsia="en-US"/>
                    </w:rPr>
                    <w:t>.2.</w:t>
                  </w:r>
                </w:p>
              </w:tc>
              <w:tc>
                <w:tcPr>
                  <w:tcW w:w="6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C6E5D" w14:textId="77777777" w:rsidR="008324F6" w:rsidRPr="008324F6" w:rsidRDefault="008324F6" w:rsidP="008324F6">
                  <w:pPr>
                    <w:spacing w:line="259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8324F6">
                    <w:rPr>
                      <w:rFonts w:eastAsia="Calibri"/>
                      <w:lang w:eastAsia="en-US"/>
                    </w:rPr>
                    <w:t>kai gaunamos dviejų regioninių biomedicininių tyrimų etikos komitetų išvados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3D2B55D" w14:textId="77777777" w:rsidR="008324F6" w:rsidRPr="008324F6" w:rsidRDefault="008324F6" w:rsidP="008324F6">
                  <w:pPr>
                    <w:spacing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8324F6">
                    <w:rPr>
                      <w:rFonts w:eastAsia="Calibri"/>
                      <w:lang w:eastAsia="en-US"/>
                    </w:rPr>
                    <w:t>1844“.</w:t>
                  </w:r>
                </w:p>
              </w:tc>
            </w:tr>
          </w:tbl>
          <w:p w14:paraId="5C60B40D" w14:textId="77777777" w:rsidR="007A4F11" w:rsidRDefault="007A4F11" w:rsidP="007A4F11">
            <w:pPr>
              <w:widowControl/>
              <w:suppressAutoHyphens w:val="0"/>
              <w:spacing w:line="259" w:lineRule="auto"/>
              <w:jc w:val="both"/>
              <w:rPr>
                <w:b/>
                <w:bCs/>
              </w:rPr>
            </w:pPr>
          </w:p>
          <w:p w14:paraId="0B28124F" w14:textId="1B53251D" w:rsidR="007A4F11" w:rsidRDefault="007A4F11" w:rsidP="007A4F11">
            <w:pPr>
              <w:widowControl/>
              <w:suppressAutoHyphens w:val="0"/>
              <w:spacing w:line="259" w:lineRule="auto"/>
              <w:jc w:val="both"/>
              <w:rPr>
                <w:b/>
                <w:bCs/>
              </w:rPr>
            </w:pPr>
          </w:p>
          <w:p w14:paraId="3C48E53A" w14:textId="127458EF" w:rsidR="007A4F11" w:rsidRPr="007A4F11" w:rsidRDefault="007A4F11" w:rsidP="007A4F11">
            <w:pPr>
              <w:widowControl/>
              <w:suppressAutoHyphens w:val="0"/>
              <w:spacing w:line="259" w:lineRule="auto"/>
              <w:jc w:val="both"/>
              <w:rPr>
                <w:b/>
                <w:bCs/>
              </w:rPr>
            </w:pPr>
            <w:r w:rsidRPr="007A4F11">
              <w:rPr>
                <w:b/>
              </w:rPr>
              <w:t>Projekto 1.</w:t>
            </w:r>
            <w:r>
              <w:rPr>
                <w:b/>
              </w:rPr>
              <w:t>1</w:t>
            </w:r>
            <w:r w:rsidR="00D11F55">
              <w:rPr>
                <w:b/>
              </w:rPr>
              <w:t>4</w:t>
            </w:r>
            <w:r w:rsidRPr="007A4F11">
              <w:rPr>
                <w:b/>
              </w:rPr>
              <w:t xml:space="preserve"> papunkčiu keičiamo Sąrašo papildymas </w:t>
            </w:r>
            <w:r w:rsidRPr="007A4F11">
              <w:rPr>
                <w:b/>
                <w:bCs/>
              </w:rPr>
              <w:t>4.</w:t>
            </w:r>
            <w:r>
              <w:rPr>
                <w:b/>
                <w:bCs/>
              </w:rPr>
              <w:t>605</w:t>
            </w:r>
            <w:r w:rsidR="008324F6">
              <w:rPr>
                <w:b/>
                <w:bCs/>
                <w:vertAlign w:val="superscript"/>
              </w:rPr>
              <w:t>5</w:t>
            </w:r>
            <w:r w:rsidRPr="007A4F11">
              <w:rPr>
                <w:b/>
                <w:bCs/>
              </w:rPr>
              <w:t xml:space="preserve"> papunkčiu</w:t>
            </w:r>
          </w:p>
          <w:p w14:paraId="5FC38DC9" w14:textId="77777777" w:rsidR="007A4F11" w:rsidRPr="007A4F11" w:rsidRDefault="007A4F11" w:rsidP="007A4F11">
            <w:pPr>
              <w:widowControl/>
              <w:suppressAutoHyphens w:val="0"/>
              <w:spacing w:line="259" w:lineRule="auto"/>
              <w:jc w:val="both"/>
              <w:rPr>
                <w:b/>
                <w:bCs/>
              </w:rPr>
            </w:pP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65"/>
              <w:gridCol w:w="6381"/>
              <w:gridCol w:w="1730"/>
            </w:tblGrid>
            <w:tr w:rsidR="008324F6" w:rsidRPr="00D672B5" w14:paraId="5C0D680B" w14:textId="77777777" w:rsidTr="0042366D">
              <w:trPr>
                <w:trHeight w:val="300"/>
              </w:trPr>
              <w:tc>
                <w:tcPr>
                  <w:tcW w:w="1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2327247" w14:textId="77777777" w:rsidR="008324F6" w:rsidRPr="008324F6" w:rsidRDefault="008324F6" w:rsidP="008324F6">
                  <w:pPr>
                    <w:spacing w:line="259" w:lineRule="auto"/>
                    <w:ind w:firstLine="29"/>
                    <w:jc w:val="center"/>
                    <w:rPr>
                      <w:rFonts w:eastAsia="Calibri"/>
                      <w:lang w:eastAsia="en-US"/>
                    </w:rPr>
                  </w:pPr>
                  <w:r w:rsidRPr="008324F6">
                    <w:rPr>
                      <w:rFonts w:eastAsia="Calibri"/>
                      <w:lang w:eastAsia="en-US"/>
                    </w:rPr>
                    <w:t>„4.605</w:t>
                  </w:r>
                  <w:r w:rsidRPr="008324F6">
                    <w:rPr>
                      <w:rFonts w:eastAsia="Calibri"/>
                      <w:vertAlign w:val="superscript"/>
                      <w:lang w:eastAsia="en-US"/>
                    </w:rPr>
                    <w:t>5</w:t>
                  </w:r>
                  <w:r w:rsidRPr="008324F6">
                    <w:rPr>
                      <w:rFonts w:eastAsia="Calibri"/>
                      <w:lang w:eastAsia="en-US"/>
                    </w:rPr>
                    <w:t>.</w:t>
                  </w:r>
                </w:p>
              </w:tc>
              <w:tc>
                <w:tcPr>
                  <w:tcW w:w="6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6D3C7" w14:textId="77777777" w:rsidR="008324F6" w:rsidRPr="008324F6" w:rsidRDefault="008324F6" w:rsidP="008324F6">
                  <w:pPr>
                    <w:spacing w:line="259" w:lineRule="auto"/>
                    <w:jc w:val="both"/>
                    <w:rPr>
                      <w:rFonts w:eastAsia="Calibri"/>
                      <w:lang w:eastAsia="en-US"/>
                    </w:rPr>
                  </w:pPr>
                  <w:r w:rsidRPr="008324F6">
                    <w:rPr>
                      <w:rFonts w:eastAsia="Calibri"/>
                      <w:lang w:eastAsia="en-US"/>
                    </w:rPr>
                    <w:t>leidimo atlikti esminius klinikinio tyrimo</w:t>
                  </w:r>
                  <w:r w:rsidRPr="008324F6">
                    <w:rPr>
                      <w:lang w:eastAsia="en-US"/>
                    </w:rPr>
                    <w:t xml:space="preserve"> su medicinos priemone</w:t>
                  </w:r>
                  <w:r w:rsidRPr="008324F6">
                    <w:rPr>
                      <w:rFonts w:eastAsia="Calibri"/>
                      <w:lang w:eastAsia="en-US"/>
                    </w:rPr>
                    <w:t xml:space="preserve"> pakeitimus išdavimą</w:t>
                  </w:r>
                </w:p>
              </w:tc>
              <w:tc>
                <w:tcPr>
                  <w:tcW w:w="17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20745CC" w14:textId="77777777" w:rsidR="008324F6" w:rsidRPr="008324F6" w:rsidRDefault="008324F6" w:rsidP="008324F6">
                  <w:pPr>
                    <w:spacing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8324F6">
                    <w:rPr>
                      <w:rFonts w:eastAsia="Calibri"/>
                      <w:lang w:eastAsia="en-US"/>
                    </w:rPr>
                    <w:t>1153“.</w:t>
                  </w:r>
                </w:p>
              </w:tc>
            </w:tr>
          </w:tbl>
          <w:p w14:paraId="72E5B7EC" w14:textId="0A837227" w:rsidR="007A4F11" w:rsidRPr="007A4F11" w:rsidRDefault="007A4F11" w:rsidP="007A4F11">
            <w:pPr>
              <w:widowControl/>
              <w:suppressAutoHyphens w:val="0"/>
              <w:spacing w:line="259" w:lineRule="auto"/>
              <w:jc w:val="both"/>
              <w:rPr>
                <w:b/>
              </w:rPr>
            </w:pPr>
          </w:p>
        </w:tc>
        <w:tc>
          <w:tcPr>
            <w:tcW w:w="17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CDC261" w14:textId="77777777" w:rsidR="00204C38" w:rsidRPr="007A4F11" w:rsidRDefault="00231D67" w:rsidP="00D00FD0">
            <w:pPr>
              <w:pStyle w:val="TableContents"/>
              <w:jc w:val="both"/>
            </w:pPr>
            <w:r w:rsidRPr="007A4F11">
              <w:lastRenderedPageBreak/>
              <w:t>Visiškas</w:t>
            </w:r>
          </w:p>
        </w:tc>
      </w:tr>
    </w:tbl>
    <w:p w14:paraId="0A3D806F" w14:textId="77777777" w:rsidR="00BD4891" w:rsidRPr="00BC1FD6" w:rsidRDefault="00BD4891">
      <w:pPr>
        <w:pStyle w:val="Pagrindinistekstas"/>
        <w:sectPr w:rsidR="00BD4891" w:rsidRPr="00BC1FD6" w:rsidSect="00E1160D">
          <w:headerReference w:type="default" r:id="rId7"/>
          <w:footnotePr>
            <w:pos w:val="beneathText"/>
          </w:footnotePr>
          <w:type w:val="continuous"/>
          <w:pgSz w:w="16837" w:h="11905" w:orient="landscape"/>
          <w:pgMar w:top="1701" w:right="567" w:bottom="1134" w:left="1134" w:header="567" w:footer="567" w:gutter="0"/>
          <w:cols w:space="1296"/>
          <w:titlePg/>
          <w:docGrid w:linePitch="326"/>
        </w:sectPr>
      </w:pPr>
    </w:p>
    <w:p w14:paraId="7474CE74" w14:textId="77777777" w:rsidR="00E4691D" w:rsidRPr="00BC1FD6" w:rsidRDefault="00AE05B0" w:rsidP="00FD741C">
      <w:pPr>
        <w:tabs>
          <w:tab w:val="center" w:pos="0"/>
          <w:tab w:val="center" w:pos="4153"/>
          <w:tab w:val="left" w:pos="7230"/>
          <w:tab w:val="right" w:pos="8306"/>
        </w:tabs>
        <w:jc w:val="center"/>
      </w:pPr>
      <w:r w:rsidRPr="00BC1FD6">
        <w:t>_________________</w:t>
      </w:r>
    </w:p>
    <w:sectPr w:rsidR="00E4691D" w:rsidRPr="00BC1FD6" w:rsidSect="007E4235">
      <w:footnotePr>
        <w:pos w:val="beneathText"/>
      </w:footnotePr>
      <w:type w:val="continuous"/>
      <w:pgSz w:w="16837" w:h="11905" w:orient="landscape"/>
      <w:pgMar w:top="1134" w:right="1134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E40B9" w14:textId="77777777" w:rsidR="00D22BE1" w:rsidRDefault="00D22BE1" w:rsidP="00E1160D">
      <w:r>
        <w:separator/>
      </w:r>
    </w:p>
  </w:endnote>
  <w:endnote w:type="continuationSeparator" w:id="0">
    <w:p w14:paraId="4A02EAE8" w14:textId="77777777" w:rsidR="00D22BE1" w:rsidRDefault="00D22BE1" w:rsidP="00E1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DAD8F" w14:textId="77777777" w:rsidR="00D22BE1" w:rsidRDefault="00D22BE1" w:rsidP="00E1160D">
      <w:r>
        <w:separator/>
      </w:r>
    </w:p>
  </w:footnote>
  <w:footnote w:type="continuationSeparator" w:id="0">
    <w:p w14:paraId="66A05373" w14:textId="77777777" w:rsidR="00D22BE1" w:rsidRDefault="00D22BE1" w:rsidP="00E11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8028D" w14:textId="77777777" w:rsidR="00E1160D" w:rsidRDefault="00E1160D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4F56">
      <w:rPr>
        <w:noProof/>
      </w:rPr>
      <w:t>2</w:t>
    </w:r>
    <w:r>
      <w:rPr>
        <w:noProof/>
      </w:rPr>
      <w:fldChar w:fldCharType="end"/>
    </w:r>
  </w:p>
  <w:p w14:paraId="4AF6C339" w14:textId="77777777" w:rsidR="00E1160D" w:rsidRDefault="00E1160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C7F"/>
    <w:rsid w:val="000325E6"/>
    <w:rsid w:val="0009498D"/>
    <w:rsid w:val="000A7203"/>
    <w:rsid w:val="000C4B5F"/>
    <w:rsid w:val="000C4C01"/>
    <w:rsid w:val="000D2569"/>
    <w:rsid w:val="000E15E7"/>
    <w:rsid w:val="001235D5"/>
    <w:rsid w:val="001457E3"/>
    <w:rsid w:val="00152879"/>
    <w:rsid w:val="001A1617"/>
    <w:rsid w:val="001A27F7"/>
    <w:rsid w:val="001A3F35"/>
    <w:rsid w:val="001B0B86"/>
    <w:rsid w:val="001C1854"/>
    <w:rsid w:val="00204C38"/>
    <w:rsid w:val="00207851"/>
    <w:rsid w:val="002252EC"/>
    <w:rsid w:val="00231D67"/>
    <w:rsid w:val="002454BB"/>
    <w:rsid w:val="00252120"/>
    <w:rsid w:val="002C1C7A"/>
    <w:rsid w:val="002D13AE"/>
    <w:rsid w:val="002E44D0"/>
    <w:rsid w:val="00311BCF"/>
    <w:rsid w:val="003141EE"/>
    <w:rsid w:val="003B2B7B"/>
    <w:rsid w:val="003B5F70"/>
    <w:rsid w:val="003C37D8"/>
    <w:rsid w:val="003D16D7"/>
    <w:rsid w:val="003F0A19"/>
    <w:rsid w:val="00426F16"/>
    <w:rsid w:val="00492F2A"/>
    <w:rsid w:val="004A2DFB"/>
    <w:rsid w:val="004C1985"/>
    <w:rsid w:val="005057C7"/>
    <w:rsid w:val="00535A62"/>
    <w:rsid w:val="005420A9"/>
    <w:rsid w:val="00543389"/>
    <w:rsid w:val="0057622F"/>
    <w:rsid w:val="005B5BCF"/>
    <w:rsid w:val="005C243C"/>
    <w:rsid w:val="005C4F56"/>
    <w:rsid w:val="005D1C59"/>
    <w:rsid w:val="00601B79"/>
    <w:rsid w:val="0060603B"/>
    <w:rsid w:val="00606F84"/>
    <w:rsid w:val="00611795"/>
    <w:rsid w:val="006A00FA"/>
    <w:rsid w:val="006C03E4"/>
    <w:rsid w:val="006D7510"/>
    <w:rsid w:val="00752627"/>
    <w:rsid w:val="00790A19"/>
    <w:rsid w:val="007A4F11"/>
    <w:rsid w:val="007E4235"/>
    <w:rsid w:val="008010D3"/>
    <w:rsid w:val="008324F6"/>
    <w:rsid w:val="00841030"/>
    <w:rsid w:val="008763F4"/>
    <w:rsid w:val="0089080E"/>
    <w:rsid w:val="008B2164"/>
    <w:rsid w:val="00946C1C"/>
    <w:rsid w:val="009635A7"/>
    <w:rsid w:val="00986FB5"/>
    <w:rsid w:val="009A5A5F"/>
    <w:rsid w:val="009F186A"/>
    <w:rsid w:val="009F28ED"/>
    <w:rsid w:val="00A25EA7"/>
    <w:rsid w:val="00A86208"/>
    <w:rsid w:val="00A976F6"/>
    <w:rsid w:val="00AA148F"/>
    <w:rsid w:val="00AB3E02"/>
    <w:rsid w:val="00AD5B59"/>
    <w:rsid w:val="00AE05B0"/>
    <w:rsid w:val="00B1528E"/>
    <w:rsid w:val="00B214DF"/>
    <w:rsid w:val="00B3365A"/>
    <w:rsid w:val="00B40C7F"/>
    <w:rsid w:val="00B56795"/>
    <w:rsid w:val="00B57ABB"/>
    <w:rsid w:val="00B6361D"/>
    <w:rsid w:val="00BB4B1A"/>
    <w:rsid w:val="00BC1FD6"/>
    <w:rsid w:val="00BD4891"/>
    <w:rsid w:val="00C22697"/>
    <w:rsid w:val="00C30842"/>
    <w:rsid w:val="00C32ABE"/>
    <w:rsid w:val="00C63172"/>
    <w:rsid w:val="00CC02E2"/>
    <w:rsid w:val="00CC7628"/>
    <w:rsid w:val="00CF20B1"/>
    <w:rsid w:val="00D00FD0"/>
    <w:rsid w:val="00D11F55"/>
    <w:rsid w:val="00D22BE1"/>
    <w:rsid w:val="00D34F05"/>
    <w:rsid w:val="00D62C79"/>
    <w:rsid w:val="00D76B07"/>
    <w:rsid w:val="00DB22DA"/>
    <w:rsid w:val="00DB6A6A"/>
    <w:rsid w:val="00E1160D"/>
    <w:rsid w:val="00E2626A"/>
    <w:rsid w:val="00E26E95"/>
    <w:rsid w:val="00E4691D"/>
    <w:rsid w:val="00E74B6A"/>
    <w:rsid w:val="00EA2724"/>
    <w:rsid w:val="00EA5599"/>
    <w:rsid w:val="00EB36CA"/>
    <w:rsid w:val="00EF3608"/>
    <w:rsid w:val="00F20A13"/>
    <w:rsid w:val="00F2352F"/>
    <w:rsid w:val="00F70AB6"/>
    <w:rsid w:val="00F940B4"/>
    <w:rsid w:val="00FA1F0D"/>
    <w:rsid w:val="00FD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C513E"/>
  <w15:docId w15:val="{6E9C0440-2EA4-4B16-8638-506A9886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Arial Unicode MS"/>
      <w:sz w:val="24"/>
      <w:szCs w:val="24"/>
      <w:lang w:val="lt-LT" w:eastAsia="lt-LT"/>
    </w:rPr>
  </w:style>
  <w:style w:type="paragraph" w:styleId="Antrat1">
    <w:name w:val="heading 1"/>
    <w:basedOn w:val="Heading"/>
    <w:next w:val="Pagrindinistekstas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DiagramaDiagramaCharCharDiagramaCharCharDiagrama1CharCharDiagramaDiagramaCharCharDiagramaCharChar1Diagrama">
    <w:name w:val="Diagrama Diagrama Char Char Diagrama Char Char Diagrama1 Char Char Diagrama Diagrama Char Char Diagrama Char Char1 Diagrama"/>
    <w:basedOn w:val="prastasis"/>
    <w:rsid w:val="00535A62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AE05B0"/>
    <w:pPr>
      <w:widowControl/>
      <w:suppressAutoHyphens w:val="0"/>
      <w:spacing w:after="120"/>
    </w:pPr>
    <w:rPr>
      <w:rFonts w:eastAsia="Times New Roman"/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AE05B0"/>
    <w:rPr>
      <w:sz w:val="16"/>
      <w:szCs w:val="16"/>
    </w:rPr>
  </w:style>
  <w:style w:type="paragraph" w:customStyle="1" w:styleId="Normal1">
    <w:name w:val="Normal1"/>
    <w:basedOn w:val="prastasis"/>
    <w:rsid w:val="00BC1FD6"/>
    <w:pPr>
      <w:widowControl/>
      <w:suppressAutoHyphens w:val="0"/>
      <w:spacing w:before="120"/>
      <w:jc w:val="both"/>
    </w:pPr>
    <w:rPr>
      <w:rFonts w:eastAsia="Times New Roman"/>
      <w:lang w:val="en-US" w:eastAsia="en-US"/>
    </w:rPr>
  </w:style>
  <w:style w:type="paragraph" w:styleId="Debesliotekstas">
    <w:name w:val="Balloon Text"/>
    <w:basedOn w:val="prastasis"/>
    <w:link w:val="DebesliotekstasDiagrama"/>
    <w:rsid w:val="00204C3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204C38"/>
    <w:rPr>
      <w:rFonts w:ascii="Tahoma" w:eastAsia="Arial Unicode MS" w:hAnsi="Tahoma" w:cs="Tahoma"/>
      <w:sz w:val="16"/>
      <w:szCs w:val="16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E1160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E1160D"/>
    <w:rPr>
      <w:rFonts w:eastAsia="Arial Unicode MS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rsid w:val="00E1160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E1160D"/>
    <w:rPr>
      <w:rFonts w:eastAsia="Arial Unicode MS"/>
      <w:sz w:val="24"/>
      <w:szCs w:val="24"/>
      <w:lang w:val="lt-LT" w:eastAsia="lt-LT"/>
    </w:rPr>
  </w:style>
  <w:style w:type="character" w:styleId="Komentaronuoroda">
    <w:name w:val="annotation reference"/>
    <w:rsid w:val="002E44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E44D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2E44D0"/>
    <w:rPr>
      <w:rFonts w:eastAsia="Arial Unicode MS"/>
    </w:rPr>
  </w:style>
  <w:style w:type="paragraph" w:styleId="Komentarotema">
    <w:name w:val="annotation subject"/>
    <w:basedOn w:val="Komentarotekstas"/>
    <w:next w:val="Komentarotekstas"/>
    <w:link w:val="KomentarotemaDiagrama"/>
    <w:rsid w:val="002E44D0"/>
    <w:rPr>
      <w:b/>
      <w:bCs/>
    </w:rPr>
  </w:style>
  <w:style w:type="character" w:customStyle="1" w:styleId="KomentarotemaDiagrama">
    <w:name w:val="Komentaro tema Diagrama"/>
    <w:link w:val="Komentarotema"/>
    <w:rsid w:val="002E44D0"/>
    <w:rPr>
      <w:rFonts w:eastAsia="Arial Unicode MS"/>
      <w:b/>
      <w:bCs/>
    </w:rPr>
  </w:style>
  <w:style w:type="paragraph" w:customStyle="1" w:styleId="normal10">
    <w:name w:val="normal1"/>
    <w:basedOn w:val="prastasis"/>
    <w:rsid w:val="007A4F11"/>
    <w:pPr>
      <w:widowControl/>
      <w:suppressAutoHyphens w:val="0"/>
      <w:spacing w:before="120" w:line="312" w:lineRule="atLeast"/>
      <w:jc w:val="both"/>
    </w:pPr>
    <w:rPr>
      <w:rFonts w:eastAsia="Times New Roman"/>
    </w:rPr>
  </w:style>
  <w:style w:type="paragraph" w:customStyle="1" w:styleId="sti-art1">
    <w:name w:val="sti-art1"/>
    <w:basedOn w:val="prastasis"/>
    <w:rsid w:val="007A4F11"/>
    <w:pPr>
      <w:widowControl/>
      <w:suppressAutoHyphens w:val="0"/>
      <w:spacing w:before="60" w:after="120" w:line="312" w:lineRule="atLeast"/>
      <w:jc w:val="center"/>
    </w:pPr>
    <w:rPr>
      <w:rFonts w:eastAsia="Times New Roman"/>
      <w:b/>
      <w:bCs/>
    </w:rPr>
  </w:style>
  <w:style w:type="paragraph" w:customStyle="1" w:styleId="ti-art1">
    <w:name w:val="ti-art1"/>
    <w:basedOn w:val="prastasis"/>
    <w:rsid w:val="007A4F11"/>
    <w:pPr>
      <w:widowControl/>
      <w:suppressAutoHyphens w:val="0"/>
      <w:spacing w:before="360" w:after="120" w:line="312" w:lineRule="atLeast"/>
      <w:jc w:val="center"/>
    </w:pPr>
    <w:rPr>
      <w:rFonts w:eastAsia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96739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2801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2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06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1422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2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6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22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32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952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975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259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1459</Words>
  <Characters>832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REGLAMENTO IR LIETUVOS RESPUBLIKOS NACIONALINIO TEISĖS AKTO PROJEKTO ATITIKTIES LENTELĖ</vt:lpstr>
      <vt:lpstr>REGLAMENTO IR LIETUVOS RESPUBLIKOS NACIONALINIO TEISĖS AKTO PROJEKTO ATITIKTIES LENTELĖ</vt:lpstr>
    </vt:vector>
  </TitlesOfParts>
  <Company>LRV kanceliarija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IR LIETUVOS RESPUBLIKOS NACIONALINIO TEISĖS AKTO PROJEKTO ATITIKTIES LENTELĖ</dc:title>
  <dc:creator>iepa</dc:creator>
  <cp:lastModifiedBy>Rūta Jasulaitienė</cp:lastModifiedBy>
  <cp:revision>2</cp:revision>
  <cp:lastPrinted>2019-03-28T13:09:00Z</cp:lastPrinted>
  <dcterms:created xsi:type="dcterms:W3CDTF">2020-12-22T13:06:00Z</dcterms:created>
  <dcterms:modified xsi:type="dcterms:W3CDTF">2020-12-22T13:06:00Z</dcterms:modified>
</cp:coreProperties>
</file>