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C53C" w14:textId="3460C406" w:rsidR="00F40E6F" w:rsidRDefault="00F40E6F" w:rsidP="005B71EC">
      <w:pPr>
        <w:ind w:right="79"/>
        <w:jc w:val="center"/>
        <w:rPr>
          <w:b/>
          <w:szCs w:val="24"/>
        </w:rPr>
      </w:pPr>
      <w:r w:rsidRPr="00F40E6F">
        <w:rPr>
          <w:b/>
          <w:szCs w:val="24"/>
        </w:rPr>
        <w:t>LIETUVOS RESPUBLIKOS VYRIAUSYBĖS NUTARIMO „</w:t>
      </w:r>
      <w:r w:rsidR="005B71EC">
        <w:rPr>
          <w:b/>
          <w:szCs w:val="24"/>
        </w:rPr>
        <w:t xml:space="preserve">DĖL </w:t>
      </w:r>
      <w:r w:rsidR="005B71EC" w:rsidRPr="00881E98">
        <w:rPr>
          <w:b/>
          <w:szCs w:val="24"/>
        </w:rPr>
        <w:t>LIETUVOS RESPUBLIKOS VYRIAUSYBĖS 20</w:t>
      </w:r>
      <w:r w:rsidR="005B71EC">
        <w:rPr>
          <w:b/>
          <w:szCs w:val="24"/>
        </w:rPr>
        <w:t>12</w:t>
      </w:r>
      <w:r w:rsidR="005B71EC" w:rsidRPr="00881E98">
        <w:rPr>
          <w:b/>
          <w:szCs w:val="24"/>
        </w:rPr>
        <w:t xml:space="preserve"> M. </w:t>
      </w:r>
      <w:r w:rsidR="005B71EC">
        <w:rPr>
          <w:b/>
          <w:szCs w:val="24"/>
        </w:rPr>
        <w:t>VASARIO</w:t>
      </w:r>
      <w:r w:rsidR="005B71EC" w:rsidRPr="00881E98">
        <w:rPr>
          <w:b/>
          <w:szCs w:val="24"/>
        </w:rPr>
        <w:t xml:space="preserve"> 2 D. NUTARIMO NR. </w:t>
      </w:r>
      <w:r w:rsidR="005B71EC">
        <w:rPr>
          <w:b/>
          <w:szCs w:val="24"/>
        </w:rPr>
        <w:t>127</w:t>
      </w:r>
      <w:r w:rsidR="005B71EC" w:rsidRPr="00881E98">
        <w:rPr>
          <w:b/>
          <w:szCs w:val="24"/>
        </w:rPr>
        <w:t xml:space="preserve"> „DĖL </w:t>
      </w:r>
      <w:r w:rsidR="005B71EC">
        <w:rPr>
          <w:b/>
          <w:szCs w:val="24"/>
        </w:rPr>
        <w:t>NUMATOMŲ GRĖSMIŲ NUSTATYMO IR PERSVARSTYMO BEI INFORMACIJOS TEIKIMO VALSTYBINEI ATOMINĖS ENERGETIKOS SAUGOS INSPEKCIJAI TVARKOS APRAŠO PATVIRTINIMO</w:t>
      </w:r>
      <w:r w:rsidR="005B71EC" w:rsidRPr="00765060">
        <w:rPr>
          <w:b/>
          <w:szCs w:val="24"/>
        </w:rPr>
        <w:t xml:space="preserve">“ </w:t>
      </w:r>
      <w:r w:rsidR="005B71EC" w:rsidRPr="00881E98">
        <w:rPr>
          <w:b/>
          <w:szCs w:val="24"/>
        </w:rPr>
        <w:t>PAKEITIMO</w:t>
      </w:r>
      <w:r>
        <w:rPr>
          <w:b/>
          <w:szCs w:val="24"/>
        </w:rPr>
        <w:t>“</w:t>
      </w:r>
      <w:r w:rsidR="005B71EC" w:rsidRPr="007933B7">
        <w:rPr>
          <w:b/>
          <w:szCs w:val="24"/>
        </w:rPr>
        <w:t xml:space="preserve"> </w:t>
      </w:r>
    </w:p>
    <w:p w14:paraId="4BBC7DC7" w14:textId="2DC4950D" w:rsidR="005B71EC" w:rsidRPr="007933B7" w:rsidRDefault="00F40E6F" w:rsidP="005B71EC">
      <w:pPr>
        <w:ind w:right="79"/>
        <w:jc w:val="center"/>
        <w:rPr>
          <w:b/>
          <w:szCs w:val="24"/>
        </w:rPr>
      </w:pPr>
      <w:r>
        <w:rPr>
          <w:b/>
          <w:szCs w:val="24"/>
        </w:rPr>
        <w:t>DERINIMO PAŽYMA</w:t>
      </w:r>
    </w:p>
    <w:p w14:paraId="4BBC7DC8" w14:textId="77777777" w:rsidR="005B71EC" w:rsidRDefault="005B71EC" w:rsidP="005B71EC">
      <w:pPr>
        <w:ind w:right="79"/>
        <w:jc w:val="center"/>
        <w:rPr>
          <w:sz w:val="22"/>
          <w:szCs w:val="22"/>
        </w:rPr>
      </w:pPr>
    </w:p>
    <w:tbl>
      <w:tblPr>
        <w:tblStyle w:val="TableGrid"/>
        <w:tblW w:w="15021" w:type="dxa"/>
        <w:tblLook w:val="04A0" w:firstRow="1" w:lastRow="0" w:firstColumn="1" w:lastColumn="0" w:noHBand="0" w:noVBand="1"/>
      </w:tblPr>
      <w:tblGrid>
        <w:gridCol w:w="783"/>
        <w:gridCol w:w="2763"/>
        <w:gridCol w:w="3439"/>
        <w:gridCol w:w="8036"/>
      </w:tblGrid>
      <w:tr w:rsidR="00F40E6F" w14:paraId="4BBC7DCC" w14:textId="77777777" w:rsidTr="000125DC">
        <w:tc>
          <w:tcPr>
            <w:tcW w:w="783" w:type="dxa"/>
          </w:tcPr>
          <w:p w14:paraId="4BBC7DC9" w14:textId="77777777" w:rsidR="00F40E6F" w:rsidRDefault="00F40E6F" w:rsidP="00F40E6F">
            <w:pPr>
              <w:ind w:right="79"/>
              <w:jc w:val="center"/>
              <w:rPr>
                <w:b/>
                <w:bCs/>
                <w:color w:val="000000"/>
                <w:szCs w:val="24"/>
              </w:rPr>
            </w:pPr>
            <w:r>
              <w:rPr>
                <w:b/>
                <w:bCs/>
                <w:color w:val="000000"/>
                <w:szCs w:val="24"/>
              </w:rPr>
              <w:t>Eil. Nr.</w:t>
            </w:r>
          </w:p>
        </w:tc>
        <w:tc>
          <w:tcPr>
            <w:tcW w:w="2763" w:type="dxa"/>
          </w:tcPr>
          <w:p w14:paraId="0DF5DE16" w14:textId="2103E713" w:rsidR="00F40E6F" w:rsidRDefault="00F40E6F" w:rsidP="00F40E6F">
            <w:pPr>
              <w:ind w:right="79"/>
              <w:rPr>
                <w:b/>
                <w:bCs/>
                <w:color w:val="000000"/>
                <w:szCs w:val="24"/>
              </w:rPr>
            </w:pPr>
            <w:r w:rsidRPr="00742E0E">
              <w:rPr>
                <w:b/>
              </w:rPr>
              <w:t>Išvadas, pastabas ir (ar) pasiūlymus pateikęs asmuo</w:t>
            </w:r>
            <w:r>
              <w:rPr>
                <w:b/>
              </w:rPr>
              <w:t>, rašto ar kito dokumento, kuriuo pateiktos pastabos, data ir numeris (jei yra)</w:t>
            </w:r>
          </w:p>
        </w:tc>
        <w:tc>
          <w:tcPr>
            <w:tcW w:w="3439" w:type="dxa"/>
          </w:tcPr>
          <w:p w14:paraId="4BBC7DCA" w14:textId="7848EEF3" w:rsidR="00F40E6F" w:rsidRDefault="00F40E6F" w:rsidP="00F40E6F">
            <w:pPr>
              <w:ind w:right="79"/>
              <w:rPr>
                <w:b/>
                <w:bCs/>
                <w:color w:val="000000"/>
                <w:szCs w:val="24"/>
              </w:rPr>
            </w:pPr>
            <w:r w:rsidRPr="00742E0E">
              <w:rPr>
                <w:b/>
              </w:rPr>
              <w:t>Išvados, pastabos ir (ar) pasiūlymai</w:t>
            </w:r>
          </w:p>
        </w:tc>
        <w:tc>
          <w:tcPr>
            <w:tcW w:w="8036" w:type="dxa"/>
          </w:tcPr>
          <w:p w14:paraId="4BBC7DCB" w14:textId="51C66B0E" w:rsidR="00F40E6F" w:rsidRDefault="00F40E6F" w:rsidP="00F40E6F">
            <w:pPr>
              <w:ind w:right="79"/>
              <w:jc w:val="center"/>
              <w:rPr>
                <w:b/>
                <w:bCs/>
                <w:color w:val="000000"/>
                <w:szCs w:val="24"/>
              </w:rPr>
            </w:pPr>
            <w:r w:rsidRPr="00742E0E">
              <w:rPr>
                <w:b/>
              </w:rPr>
              <w:t>Atsižvelgta iš dalies ar neatsižvelgta ir argumentai</w:t>
            </w:r>
          </w:p>
        </w:tc>
      </w:tr>
      <w:tr w:rsidR="007933B7" w14:paraId="4BBC7DD1" w14:textId="77777777" w:rsidTr="000125DC">
        <w:trPr>
          <w:trHeight w:val="1550"/>
        </w:trPr>
        <w:tc>
          <w:tcPr>
            <w:tcW w:w="783" w:type="dxa"/>
          </w:tcPr>
          <w:p w14:paraId="4BBC7DCD" w14:textId="77777777" w:rsidR="007933B7" w:rsidRPr="005B71EC" w:rsidRDefault="007933B7" w:rsidP="005B71EC">
            <w:pPr>
              <w:pStyle w:val="ListParagraph"/>
              <w:numPr>
                <w:ilvl w:val="0"/>
                <w:numId w:val="1"/>
              </w:numPr>
              <w:ind w:right="79"/>
              <w:jc w:val="center"/>
              <w:rPr>
                <w:bCs/>
                <w:color w:val="000000"/>
                <w:szCs w:val="24"/>
              </w:rPr>
            </w:pPr>
          </w:p>
        </w:tc>
        <w:tc>
          <w:tcPr>
            <w:tcW w:w="2763" w:type="dxa"/>
          </w:tcPr>
          <w:p w14:paraId="50AB22A6" w14:textId="7BC80C1C" w:rsidR="007933B7" w:rsidRDefault="007933B7" w:rsidP="005B71EC">
            <w:pPr>
              <w:widowControl w:val="0"/>
              <w:shd w:val="clear" w:color="auto" w:fill="FFFFFF"/>
              <w:tabs>
                <w:tab w:val="left" w:pos="982"/>
              </w:tabs>
              <w:autoSpaceDE w:val="0"/>
              <w:autoSpaceDN w:val="0"/>
              <w:adjustRightInd w:val="0"/>
              <w:spacing w:line="264" w:lineRule="exact"/>
              <w:ind w:right="19"/>
              <w:jc w:val="both"/>
              <w:rPr>
                <w:spacing w:val="-4"/>
                <w:szCs w:val="24"/>
              </w:rPr>
            </w:pPr>
            <w:r>
              <w:rPr>
                <w:spacing w:val="-4"/>
                <w:szCs w:val="24"/>
              </w:rPr>
              <w:t xml:space="preserve">Lietuvos Respublikos valstybės saugumo departamentas. </w:t>
            </w:r>
            <w:r w:rsidR="0002344A">
              <w:t xml:space="preserve">2021-01-07 Nr. 18-198 </w:t>
            </w:r>
          </w:p>
        </w:tc>
        <w:tc>
          <w:tcPr>
            <w:tcW w:w="3439" w:type="dxa"/>
          </w:tcPr>
          <w:p w14:paraId="46F9A6A5" w14:textId="77777777" w:rsidR="0002344A" w:rsidRDefault="0002344A" w:rsidP="0002344A">
            <w:pPr>
              <w:pStyle w:val="Pastraipanenumeruota"/>
              <w:ind w:firstLine="0"/>
            </w:pPr>
            <w:r>
              <w:t>Lietuvos Respublikos Vyriausybės 2019 m. liepos 10 d. nutarimu Nr. 700-9 buvo įtvirtinta, jog Lietuvos Respublikos Vyriausybės kanceliarija yra viena pagrindinių institucijų nustatant grėsmes nacionaliniam saugumui, todėl siūlytume įvertinti Lietuvos Respublikos Vyriausybės kanceliarijos įtraukimo tikslingumą, dalyvaujant numatomų grėsmių nustatymo, persvarstymo, informacijos teikimo procesuose.</w:t>
            </w:r>
          </w:p>
          <w:p w14:paraId="4BBC7DCF" w14:textId="268B3EEC" w:rsidR="007933B7" w:rsidRDefault="007933B7" w:rsidP="00DE6469">
            <w:pPr>
              <w:widowControl w:val="0"/>
              <w:shd w:val="clear" w:color="auto" w:fill="FFFFFF"/>
              <w:tabs>
                <w:tab w:val="left" w:pos="982"/>
              </w:tabs>
              <w:autoSpaceDE w:val="0"/>
              <w:autoSpaceDN w:val="0"/>
              <w:adjustRightInd w:val="0"/>
              <w:spacing w:line="264" w:lineRule="exact"/>
              <w:ind w:right="19"/>
              <w:jc w:val="both"/>
              <w:rPr>
                <w:b/>
                <w:bCs/>
                <w:color w:val="000000"/>
                <w:szCs w:val="24"/>
              </w:rPr>
            </w:pPr>
          </w:p>
        </w:tc>
        <w:tc>
          <w:tcPr>
            <w:tcW w:w="8036" w:type="dxa"/>
          </w:tcPr>
          <w:p w14:paraId="083AA35B" w14:textId="5ACD612C" w:rsidR="007933B7" w:rsidRPr="00DF0E40" w:rsidRDefault="007933B7" w:rsidP="00DE6469">
            <w:pPr>
              <w:jc w:val="both"/>
              <w:rPr>
                <w:bCs/>
                <w:color w:val="000000"/>
                <w:szCs w:val="24"/>
              </w:rPr>
            </w:pPr>
            <w:r>
              <w:rPr>
                <w:bCs/>
                <w:color w:val="000000"/>
                <w:szCs w:val="24"/>
              </w:rPr>
              <w:t>Neatsižvelgta</w:t>
            </w:r>
            <w:r w:rsidR="00F40E6F">
              <w:rPr>
                <w:bCs/>
                <w:color w:val="000000"/>
                <w:szCs w:val="24"/>
              </w:rPr>
              <w:t>.</w:t>
            </w:r>
          </w:p>
          <w:p w14:paraId="4367B44E" w14:textId="77777777" w:rsidR="00620665" w:rsidRDefault="00620665" w:rsidP="001D2C5D">
            <w:pPr>
              <w:ind w:right="79"/>
              <w:jc w:val="both"/>
              <w:rPr>
                <w:szCs w:val="24"/>
                <w:lang w:eastAsia="lt-LT"/>
              </w:rPr>
            </w:pPr>
          </w:p>
          <w:p w14:paraId="5CF5B212" w14:textId="58CE881C" w:rsidR="00620665" w:rsidRDefault="00AD3A97" w:rsidP="001D2C5D">
            <w:pPr>
              <w:ind w:right="79"/>
              <w:jc w:val="both"/>
              <w:rPr>
                <w:szCs w:val="24"/>
                <w:lang w:eastAsia="lt-LT"/>
              </w:rPr>
            </w:pPr>
            <w:r>
              <w:rPr>
                <w:szCs w:val="24"/>
                <w:lang w:eastAsia="lt-LT"/>
              </w:rPr>
              <w:t xml:space="preserve">Atkreipiame dėmesį, kad institucijas, dalyvaujančias nustatant numatomas grėsmes, įvardina </w:t>
            </w:r>
            <w:r w:rsidR="00620665">
              <w:rPr>
                <w:szCs w:val="24"/>
                <w:lang w:eastAsia="lt-LT"/>
              </w:rPr>
              <w:t>Lietuvos Respublikos branduolinės energijos įstatymo 35 straipsnio 4 punktas</w:t>
            </w:r>
            <w:r>
              <w:rPr>
                <w:szCs w:val="24"/>
                <w:lang w:eastAsia="lt-LT"/>
              </w:rPr>
              <w:t>: „</w:t>
            </w:r>
            <w:r w:rsidR="006E03CB">
              <w:rPr>
                <w:color w:val="000000"/>
              </w:rPr>
              <w:t>Numatomą grėsmę branduolinės energetikos objektams ir 1979 m. spalio 26 d. Branduolinių medžiagų fizinės saugos konvencijos II priede nurodytoms I ir II kategorijų branduolinėms medžiagoms, jas įsigyjant, turint, naudojant ir vežant, nustato ir ne rečiau kaip kartą per metus persvarsto Valstybinė atominės energetikos saugos inspekcija, šiuos veiksmus koordinuodama su Valstybės saugumo departamentu, Krašto apsaugos ministerija ir Vidaus reikalų ministerija</w:t>
            </w:r>
            <w:r>
              <w:rPr>
                <w:color w:val="000000"/>
              </w:rPr>
              <w:t>“</w:t>
            </w:r>
            <w:r w:rsidR="006E03CB">
              <w:rPr>
                <w:color w:val="000000"/>
              </w:rPr>
              <w:t>.</w:t>
            </w:r>
            <w:r w:rsidR="006E03CB">
              <w:rPr>
                <w:szCs w:val="24"/>
                <w:lang w:eastAsia="lt-LT"/>
              </w:rPr>
              <w:t xml:space="preserve"> </w:t>
            </w:r>
            <w:r>
              <w:rPr>
                <w:szCs w:val="24"/>
                <w:lang w:eastAsia="lt-LT"/>
              </w:rPr>
              <w:t>Minėtas įstatymas nenumato</w:t>
            </w:r>
            <w:r w:rsidR="00620665">
              <w:rPr>
                <w:szCs w:val="24"/>
                <w:lang w:eastAsia="lt-LT"/>
              </w:rPr>
              <w:t xml:space="preserve">, kad Lietuvos Respublikos Vyriausybės kanceliarija </w:t>
            </w:r>
            <w:r>
              <w:rPr>
                <w:szCs w:val="24"/>
                <w:lang w:eastAsia="lt-LT"/>
              </w:rPr>
              <w:t xml:space="preserve">(toliau – LRVK) nuolat </w:t>
            </w:r>
            <w:r w:rsidR="00620665">
              <w:rPr>
                <w:szCs w:val="24"/>
                <w:lang w:eastAsia="lt-LT"/>
              </w:rPr>
              <w:t>dalyvautų nustatant ar vertinant numatomas grėsmes branduolinės energetikos objektams ar veiklai su branduolinėmis medžiagomis.</w:t>
            </w:r>
            <w:r w:rsidR="007F4752">
              <w:rPr>
                <w:szCs w:val="24"/>
                <w:lang w:eastAsia="lt-LT"/>
              </w:rPr>
              <w:t xml:space="preserve">  </w:t>
            </w:r>
          </w:p>
          <w:p w14:paraId="6122A089" w14:textId="77777777" w:rsidR="007E14BE" w:rsidRDefault="007E14BE" w:rsidP="001D2C5D">
            <w:pPr>
              <w:ind w:right="79"/>
              <w:jc w:val="both"/>
              <w:rPr>
                <w:szCs w:val="24"/>
                <w:lang w:eastAsia="lt-LT"/>
              </w:rPr>
            </w:pPr>
          </w:p>
          <w:p w14:paraId="4BBC7DD0" w14:textId="64B0E277" w:rsidR="0001346B" w:rsidRPr="008001AD" w:rsidRDefault="0001346B" w:rsidP="000125DC">
            <w:pPr>
              <w:ind w:right="79"/>
              <w:jc w:val="both"/>
              <w:rPr>
                <w:szCs w:val="24"/>
                <w:lang w:eastAsia="lt-LT"/>
              </w:rPr>
            </w:pPr>
            <w:r>
              <w:t xml:space="preserve">Taip pat </w:t>
            </w:r>
            <w:r w:rsidR="00AD3A97">
              <w:t xml:space="preserve">informuojame, kad </w:t>
            </w:r>
            <w:r w:rsidR="005A0CEA">
              <w:t>vadovau</w:t>
            </w:r>
            <w:r w:rsidR="00AD3A97">
              <w:t>jantis</w:t>
            </w:r>
            <w:r w:rsidR="007F4752">
              <w:t xml:space="preserve"> </w:t>
            </w:r>
            <w:r w:rsidR="005A0CEA">
              <w:rPr>
                <w:color w:val="000000"/>
              </w:rPr>
              <w:t>Numatomų grėsmių nustatymo ir persvarstymo bei informacijos teikimo Valstybinei atominės energetikos saugos inspekcijai tvarkos aprašo 11.1 p</w:t>
            </w:r>
            <w:r w:rsidR="000125DC">
              <w:rPr>
                <w:color w:val="000000"/>
              </w:rPr>
              <w:t>apunkčiu</w:t>
            </w:r>
            <w:r w:rsidR="005A0CEA">
              <w:rPr>
                <w:color w:val="000000"/>
              </w:rPr>
              <w:t xml:space="preserve"> </w:t>
            </w:r>
            <w:r w:rsidR="00AD3A97">
              <w:rPr>
                <w:color w:val="000000"/>
              </w:rPr>
              <w:t>Komisija</w:t>
            </w:r>
            <w:r w:rsidR="00AD3A97" w:rsidRPr="00AD3A97">
              <w:rPr>
                <w:color w:val="000000"/>
              </w:rPr>
              <w:t>, atlikdama jai pavestas užduotis, turi teisę</w:t>
            </w:r>
            <w:r w:rsidR="00AD3A97">
              <w:rPr>
                <w:color w:val="000000"/>
              </w:rPr>
              <w:t xml:space="preserve"> </w:t>
            </w:r>
            <w:r w:rsidR="00AD3A97" w:rsidRPr="00AD3A97">
              <w:rPr>
                <w:color w:val="000000"/>
              </w:rPr>
              <w:t>kviesti į savo posėdžius kompetentingų institucijų, įstaigų, įmonių ar organizacijų atstovus</w:t>
            </w:r>
            <w:r w:rsidR="00AD3A97">
              <w:rPr>
                <w:color w:val="000000"/>
              </w:rPr>
              <w:t>.</w:t>
            </w:r>
            <w:r w:rsidR="007F4752">
              <w:rPr>
                <w:color w:val="000000"/>
              </w:rPr>
              <w:t xml:space="preserve"> </w:t>
            </w:r>
            <w:r w:rsidR="005A0CEA">
              <w:rPr>
                <w:color w:val="000000"/>
              </w:rPr>
              <w:t xml:space="preserve">LRVK </w:t>
            </w:r>
            <w:r>
              <w:t>Grėsmių valdymo ir krizių prevencijos grupės atstov</w:t>
            </w:r>
            <w:r w:rsidR="00AD3A97">
              <w:t>as</w:t>
            </w:r>
            <w:r>
              <w:t xml:space="preserve"> dalyva</w:t>
            </w:r>
            <w:r w:rsidR="00AD3A97">
              <w:t>vo</w:t>
            </w:r>
            <w:r>
              <w:t xml:space="preserve"> 2019 m. lapkričio 14 d. įvykusiame Numatomų grėsmių vertinimo komisijos posėdyje</w:t>
            </w:r>
            <w:r w:rsidR="00AD3A97">
              <w:t xml:space="preserve"> ir toliau bus kviečiamas</w:t>
            </w:r>
            <w:r w:rsidR="000125DC">
              <w:t>,</w:t>
            </w:r>
            <w:r w:rsidR="00AD3A97">
              <w:t xml:space="preserve"> jeigu tam bus poreikis. Jeigu LRVK matytų būtinybę tapti nuolatiniu Komisijos nariu, tam reikėtų keisti tai reglamentuojantį Branduolinės energijos įstatymą</w:t>
            </w:r>
            <w:r>
              <w:t xml:space="preserve">. </w:t>
            </w:r>
          </w:p>
        </w:tc>
      </w:tr>
    </w:tbl>
    <w:p w14:paraId="4BBC7DE0" w14:textId="56E07468" w:rsidR="00B42D6E" w:rsidRPr="005B71EC" w:rsidRDefault="00A63A2E" w:rsidP="000125DC">
      <w:pPr>
        <w:ind w:right="79"/>
        <w:jc w:val="center"/>
      </w:pPr>
      <w:r>
        <w:rPr>
          <w:b/>
          <w:bCs/>
          <w:color w:val="000000"/>
          <w:szCs w:val="24"/>
        </w:rPr>
        <w:t>________________</w:t>
      </w:r>
    </w:p>
    <w:sectPr w:rsidR="00B42D6E" w:rsidRPr="005B71EC" w:rsidSect="000125DC">
      <w:headerReference w:type="default" r:id="rId10"/>
      <w:pgSz w:w="16838" w:h="11906" w:orient="landscape"/>
      <w:pgMar w:top="1276"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8B1F" w14:textId="77777777" w:rsidR="00F40E6F" w:rsidRDefault="00F40E6F" w:rsidP="00F40E6F">
      <w:r>
        <w:separator/>
      </w:r>
    </w:p>
  </w:endnote>
  <w:endnote w:type="continuationSeparator" w:id="0">
    <w:p w14:paraId="140D8A0E" w14:textId="77777777" w:rsidR="00F40E6F" w:rsidRDefault="00F40E6F" w:rsidP="00F40E6F">
      <w:r>
        <w:continuationSeparator/>
      </w:r>
    </w:p>
  </w:endnote>
  <w:endnote w:type="continuationNotice" w:id="1">
    <w:p w14:paraId="0A87BD80" w14:textId="77777777" w:rsidR="00AA3520" w:rsidRDefault="00AA3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271C" w14:textId="77777777" w:rsidR="00F40E6F" w:rsidRDefault="00F40E6F" w:rsidP="00F40E6F">
      <w:r>
        <w:separator/>
      </w:r>
    </w:p>
  </w:footnote>
  <w:footnote w:type="continuationSeparator" w:id="0">
    <w:p w14:paraId="7E5425C8" w14:textId="77777777" w:rsidR="00F40E6F" w:rsidRDefault="00F40E6F" w:rsidP="00F40E6F">
      <w:r>
        <w:continuationSeparator/>
      </w:r>
    </w:p>
  </w:footnote>
  <w:footnote w:type="continuationNotice" w:id="1">
    <w:p w14:paraId="06B7D57D" w14:textId="77777777" w:rsidR="00AA3520" w:rsidRDefault="00AA3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287345"/>
      <w:docPartObj>
        <w:docPartGallery w:val="Page Numbers (Top of Page)"/>
        <w:docPartUnique/>
      </w:docPartObj>
    </w:sdtPr>
    <w:sdtEndPr>
      <w:rPr>
        <w:noProof/>
      </w:rPr>
    </w:sdtEndPr>
    <w:sdtContent>
      <w:p w14:paraId="551BE4CB" w14:textId="414B713E" w:rsidR="00F40E6F" w:rsidRDefault="00F40E6F">
        <w:pPr>
          <w:pStyle w:val="Header"/>
          <w:jc w:val="center"/>
        </w:pPr>
        <w:r>
          <w:fldChar w:fldCharType="begin"/>
        </w:r>
        <w:r>
          <w:instrText xml:space="preserve"> PAGE   \* MERGEFORMAT </w:instrText>
        </w:r>
        <w:r>
          <w:fldChar w:fldCharType="separate"/>
        </w:r>
        <w:r w:rsidR="000125DC">
          <w:rPr>
            <w:noProof/>
          </w:rPr>
          <w:t>2</w:t>
        </w:r>
        <w:r>
          <w:rPr>
            <w:noProof/>
          </w:rPr>
          <w:fldChar w:fldCharType="end"/>
        </w:r>
      </w:p>
    </w:sdtContent>
  </w:sdt>
  <w:p w14:paraId="30BBC1D8" w14:textId="77777777" w:rsidR="00F40E6F" w:rsidRDefault="00F4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00C"/>
    <w:multiLevelType w:val="singleLevel"/>
    <w:tmpl w:val="1B76E284"/>
    <w:lvl w:ilvl="0">
      <w:start w:val="1"/>
      <w:numFmt w:val="decimal"/>
      <w:lvlText w:val="%1."/>
      <w:legacy w:legacy="1" w:legacySpace="0" w:legacyIndent="255"/>
      <w:lvlJc w:val="left"/>
      <w:rPr>
        <w:rFonts w:ascii="Times New Roman" w:hAnsi="Times New Roman" w:cs="Times New Roman" w:hint="default"/>
      </w:rPr>
    </w:lvl>
  </w:abstractNum>
  <w:abstractNum w:abstractNumId="1" w15:restartNumberingAfterBreak="0">
    <w:nsid w:val="31F71E75"/>
    <w:multiLevelType w:val="hybridMultilevel"/>
    <w:tmpl w:val="E2B870A2"/>
    <w:lvl w:ilvl="0" w:tplc="930EE93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EC"/>
    <w:rsid w:val="000125DC"/>
    <w:rsid w:val="0001346B"/>
    <w:rsid w:val="0002344A"/>
    <w:rsid w:val="000325B3"/>
    <w:rsid w:val="000C0D10"/>
    <w:rsid w:val="000F51A6"/>
    <w:rsid w:val="001839A8"/>
    <w:rsid w:val="001D2C5D"/>
    <w:rsid w:val="001E1789"/>
    <w:rsid w:val="002053A2"/>
    <w:rsid w:val="00284526"/>
    <w:rsid w:val="00434F71"/>
    <w:rsid w:val="00455A61"/>
    <w:rsid w:val="004D587E"/>
    <w:rsid w:val="00510ABE"/>
    <w:rsid w:val="005A0CEA"/>
    <w:rsid w:val="005B71EC"/>
    <w:rsid w:val="00620665"/>
    <w:rsid w:val="00667216"/>
    <w:rsid w:val="006C4240"/>
    <w:rsid w:val="006E03CB"/>
    <w:rsid w:val="007933B7"/>
    <w:rsid w:val="007E14BE"/>
    <w:rsid w:val="007F4752"/>
    <w:rsid w:val="008001AD"/>
    <w:rsid w:val="00811887"/>
    <w:rsid w:val="00833C05"/>
    <w:rsid w:val="00876408"/>
    <w:rsid w:val="008F7EE6"/>
    <w:rsid w:val="00A63A2E"/>
    <w:rsid w:val="00AA3520"/>
    <w:rsid w:val="00AD3A97"/>
    <w:rsid w:val="00B42D6E"/>
    <w:rsid w:val="00B50EA0"/>
    <w:rsid w:val="00BD4770"/>
    <w:rsid w:val="00DE6469"/>
    <w:rsid w:val="00DF0E40"/>
    <w:rsid w:val="00E23ABA"/>
    <w:rsid w:val="00E3781A"/>
    <w:rsid w:val="00E70FDC"/>
    <w:rsid w:val="00EA7F0A"/>
    <w:rsid w:val="00F40E6F"/>
    <w:rsid w:val="00F93189"/>
    <w:rsid w:val="00FC4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7DC7"/>
  <w15:chartTrackingRefBased/>
  <w15:docId w15:val="{904C883D-8625-4827-A99E-2E62F818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EC"/>
    <w:pPr>
      <w:jc w:val="left"/>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EC"/>
    <w:pPr>
      <w:ind w:left="720"/>
      <w:contextualSpacing/>
    </w:pPr>
  </w:style>
  <w:style w:type="character" w:styleId="CommentReference">
    <w:name w:val="annotation reference"/>
    <w:basedOn w:val="DefaultParagraphFont"/>
    <w:uiPriority w:val="99"/>
    <w:semiHidden/>
    <w:unhideWhenUsed/>
    <w:rsid w:val="00DF0E40"/>
    <w:rPr>
      <w:sz w:val="16"/>
      <w:szCs w:val="16"/>
    </w:rPr>
  </w:style>
  <w:style w:type="paragraph" w:styleId="CommentText">
    <w:name w:val="annotation text"/>
    <w:basedOn w:val="Normal"/>
    <w:link w:val="CommentTextChar"/>
    <w:uiPriority w:val="99"/>
    <w:semiHidden/>
    <w:unhideWhenUsed/>
    <w:rsid w:val="00DF0E40"/>
    <w:rPr>
      <w:sz w:val="20"/>
    </w:rPr>
  </w:style>
  <w:style w:type="character" w:customStyle="1" w:styleId="CommentTextChar">
    <w:name w:val="Comment Text Char"/>
    <w:basedOn w:val="DefaultParagraphFont"/>
    <w:link w:val="CommentText"/>
    <w:uiPriority w:val="99"/>
    <w:semiHidden/>
    <w:rsid w:val="00DF0E4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E40"/>
    <w:rPr>
      <w:b/>
      <w:bCs/>
    </w:rPr>
  </w:style>
  <w:style w:type="character" w:customStyle="1" w:styleId="CommentSubjectChar">
    <w:name w:val="Comment Subject Char"/>
    <w:basedOn w:val="CommentTextChar"/>
    <w:link w:val="CommentSubject"/>
    <w:uiPriority w:val="99"/>
    <w:semiHidden/>
    <w:rsid w:val="00DF0E40"/>
    <w:rPr>
      <w:rFonts w:eastAsia="Times New Roman" w:cs="Times New Roman"/>
      <w:b/>
      <w:bCs/>
      <w:sz w:val="20"/>
      <w:szCs w:val="20"/>
    </w:rPr>
  </w:style>
  <w:style w:type="paragraph" w:styleId="BalloonText">
    <w:name w:val="Balloon Text"/>
    <w:basedOn w:val="Normal"/>
    <w:link w:val="BalloonTextChar"/>
    <w:uiPriority w:val="99"/>
    <w:semiHidden/>
    <w:unhideWhenUsed/>
    <w:rsid w:val="00DF0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40"/>
    <w:rPr>
      <w:rFonts w:ascii="Segoe UI" w:eastAsia="Times New Roman" w:hAnsi="Segoe UI" w:cs="Segoe UI"/>
      <w:sz w:val="18"/>
      <w:szCs w:val="18"/>
    </w:rPr>
  </w:style>
  <w:style w:type="paragraph" w:styleId="Header">
    <w:name w:val="header"/>
    <w:basedOn w:val="Normal"/>
    <w:link w:val="HeaderChar"/>
    <w:uiPriority w:val="99"/>
    <w:unhideWhenUsed/>
    <w:rsid w:val="00F40E6F"/>
    <w:pPr>
      <w:tabs>
        <w:tab w:val="center" w:pos="4986"/>
        <w:tab w:val="right" w:pos="9972"/>
      </w:tabs>
    </w:pPr>
  </w:style>
  <w:style w:type="character" w:customStyle="1" w:styleId="HeaderChar">
    <w:name w:val="Header Char"/>
    <w:basedOn w:val="DefaultParagraphFont"/>
    <w:link w:val="Header"/>
    <w:uiPriority w:val="99"/>
    <w:rsid w:val="00F40E6F"/>
    <w:rPr>
      <w:rFonts w:eastAsia="Times New Roman" w:cs="Times New Roman"/>
      <w:szCs w:val="20"/>
    </w:rPr>
  </w:style>
  <w:style w:type="paragraph" w:styleId="Footer">
    <w:name w:val="footer"/>
    <w:basedOn w:val="Normal"/>
    <w:link w:val="FooterChar"/>
    <w:uiPriority w:val="99"/>
    <w:unhideWhenUsed/>
    <w:rsid w:val="00F40E6F"/>
    <w:pPr>
      <w:tabs>
        <w:tab w:val="center" w:pos="4986"/>
        <w:tab w:val="right" w:pos="9972"/>
      </w:tabs>
    </w:pPr>
  </w:style>
  <w:style w:type="character" w:customStyle="1" w:styleId="FooterChar">
    <w:name w:val="Footer Char"/>
    <w:basedOn w:val="DefaultParagraphFont"/>
    <w:link w:val="Footer"/>
    <w:uiPriority w:val="99"/>
    <w:rsid w:val="00F40E6F"/>
    <w:rPr>
      <w:rFonts w:eastAsia="Times New Roman" w:cs="Times New Roman"/>
      <w:szCs w:val="20"/>
    </w:rPr>
  </w:style>
  <w:style w:type="character" w:styleId="FollowedHyperlink">
    <w:name w:val="FollowedHyperlink"/>
    <w:basedOn w:val="DefaultParagraphFont"/>
    <w:rsid w:val="00F40E6F"/>
    <w:rPr>
      <w:color w:val="800080"/>
      <w:u w:val="single"/>
    </w:rPr>
  </w:style>
  <w:style w:type="paragraph" w:styleId="Revision">
    <w:name w:val="Revision"/>
    <w:hidden/>
    <w:uiPriority w:val="99"/>
    <w:semiHidden/>
    <w:rsid w:val="00811887"/>
    <w:pPr>
      <w:jc w:val="left"/>
    </w:pPr>
    <w:rPr>
      <w:rFonts w:eastAsia="Times New Roman" w:cs="Times New Roman"/>
      <w:szCs w:val="20"/>
    </w:rPr>
  </w:style>
  <w:style w:type="paragraph" w:customStyle="1" w:styleId="Pastraipanenumeruota">
    <w:name w:val="Pastraipa (nenumeruota)"/>
    <w:basedOn w:val="Normal"/>
    <w:uiPriority w:val="9"/>
    <w:qFormat/>
    <w:rsid w:val="0002344A"/>
    <w:pPr>
      <w:ind w:firstLine="720"/>
      <w:jc w:val="both"/>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1A6E5-966C-4F7B-962E-96280A9BFCB8}">
  <ds:schemaRefs>
    <ds:schemaRef ds:uri="301c9014-1613-4fe0-8d68-5abdea84592c"/>
    <ds:schemaRef ds:uri="http://purl.org/dc/terms/"/>
    <ds:schemaRef ds:uri="http://schemas.openxmlformats.org/package/2006/metadata/core-properties"/>
    <ds:schemaRef ds:uri="f70de6b8-3297-425e-8b0b-ce726e9489d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B35AC4-E307-49DC-A02D-708B9A25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1BE29-2366-4CCA-98F8-172513841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2021-08-09T06:22:00Z</dcterms:created>
  <dc:creator>Jurgita Jarmalavičiūtė</dc:creator>
  <cp:lastModifiedBy>Jurgita Jarmalaviciute</cp:lastModifiedBy>
  <cp:lastPrinted>2016-04-05T08:21:00Z</cp:lastPrinted>
  <dcterms:modified xsi:type="dcterms:W3CDTF">2021-08-09T06:22:00Z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