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0030" w14:textId="1E8D857F" w:rsidR="00FD07DB" w:rsidRPr="00936E6C" w:rsidRDefault="00965677" w:rsidP="007749B0">
      <w:pPr>
        <w:spacing w:after="0" w:line="240" w:lineRule="auto"/>
        <w:jc w:val="center"/>
        <w:rPr>
          <w:rFonts w:ascii="Times New Roman" w:hAnsi="Times New Roman" w:cs="Times New Roman"/>
          <w:b/>
          <w:bCs/>
          <w:caps/>
          <w:color w:val="000000"/>
          <w:sz w:val="24"/>
          <w:szCs w:val="24"/>
        </w:rPr>
      </w:pPr>
      <w:bookmarkStart w:id="0" w:name="_Hlk76656397"/>
      <w:bookmarkStart w:id="1" w:name="_Hlk82611582"/>
      <w:r w:rsidRPr="00936E6C">
        <w:rPr>
          <w:rFonts w:ascii="Times New Roman" w:hAnsi="Times New Roman" w:cs="Times New Roman"/>
          <w:b/>
          <w:bCs/>
          <w:caps/>
          <w:color w:val="000000"/>
          <w:sz w:val="24"/>
          <w:szCs w:val="24"/>
        </w:rPr>
        <w:t>LIETUVOS RESPUBLIKOS KELIŲ PRIEŽIŪROS IR PLĖTROS PROGRAMOS FINANSAVIMO ĮSTATYMO NR. VIII-2032 2, 3</w:t>
      </w:r>
      <w:r w:rsidR="0012225B" w:rsidRPr="00936E6C">
        <w:rPr>
          <w:rFonts w:ascii="Times New Roman" w:hAnsi="Times New Roman" w:cs="Times New Roman"/>
          <w:b/>
          <w:bCs/>
          <w:caps/>
          <w:color w:val="000000"/>
          <w:sz w:val="24"/>
          <w:szCs w:val="24"/>
        </w:rPr>
        <w:t xml:space="preserve"> </w:t>
      </w:r>
      <w:r w:rsidR="00F50B62" w:rsidRPr="00936E6C">
        <w:rPr>
          <w:rFonts w:ascii="Times New Roman" w:hAnsi="Times New Roman" w:cs="Times New Roman"/>
          <w:b/>
          <w:bCs/>
          <w:caps/>
          <w:color w:val="000000"/>
          <w:sz w:val="24"/>
          <w:szCs w:val="24"/>
        </w:rPr>
        <w:t>ir</w:t>
      </w:r>
      <w:r w:rsidRPr="00936E6C">
        <w:rPr>
          <w:rFonts w:ascii="Times New Roman" w:hAnsi="Times New Roman" w:cs="Times New Roman"/>
          <w:b/>
          <w:bCs/>
          <w:caps/>
          <w:color w:val="000000"/>
          <w:sz w:val="24"/>
          <w:szCs w:val="24"/>
        </w:rPr>
        <w:t xml:space="preserve"> 9 STRAIPSNIŲ PAKEITIMO</w:t>
      </w:r>
      <w:r w:rsidR="0012225B" w:rsidRPr="00936E6C">
        <w:rPr>
          <w:rFonts w:ascii="Times New Roman" w:hAnsi="Times New Roman" w:cs="Times New Roman"/>
          <w:b/>
          <w:bCs/>
          <w:caps/>
          <w:color w:val="000000"/>
          <w:sz w:val="24"/>
          <w:szCs w:val="24"/>
        </w:rPr>
        <w:t xml:space="preserve"> ir 4 straipsnio pripažinimo netekusiu galios</w:t>
      </w:r>
      <w:r w:rsidRPr="00936E6C">
        <w:rPr>
          <w:rFonts w:ascii="Times New Roman" w:hAnsi="Times New Roman" w:cs="Times New Roman"/>
          <w:b/>
          <w:bCs/>
          <w:caps/>
          <w:color w:val="000000"/>
          <w:sz w:val="24"/>
          <w:szCs w:val="24"/>
        </w:rPr>
        <w:t xml:space="preserve"> ĮSTATYMO PROJEKTO </w:t>
      </w:r>
      <w:r w:rsidR="007749B0" w:rsidRPr="00936E6C">
        <w:rPr>
          <w:rFonts w:ascii="Times New Roman" w:hAnsi="Times New Roman" w:cs="Times New Roman"/>
          <w:b/>
          <w:bCs/>
          <w:caps/>
          <w:color w:val="000000"/>
          <w:sz w:val="24"/>
          <w:szCs w:val="24"/>
        </w:rPr>
        <w:t xml:space="preserve">DERINIMO </w:t>
      </w:r>
      <w:r w:rsidR="00601C67" w:rsidRPr="00936E6C">
        <w:rPr>
          <w:rFonts w:ascii="Times New Roman" w:hAnsi="Times New Roman" w:cs="Times New Roman"/>
          <w:b/>
          <w:bCs/>
          <w:caps/>
          <w:color w:val="000000"/>
          <w:sz w:val="24"/>
          <w:szCs w:val="24"/>
        </w:rPr>
        <w:t>PAŽYMA</w:t>
      </w:r>
    </w:p>
    <w:p w14:paraId="76C690B1" w14:textId="77777777" w:rsidR="00BA0FFC" w:rsidRPr="00936E6C" w:rsidRDefault="00BA0FFC" w:rsidP="007749B0">
      <w:pPr>
        <w:spacing w:after="0" w:line="240" w:lineRule="auto"/>
        <w:jc w:val="center"/>
        <w:rPr>
          <w:rFonts w:ascii="Times New Roman" w:hAnsi="Times New Roman" w:cs="Times New Roman"/>
          <w:b/>
          <w:bCs/>
          <w:caps/>
          <w:color w:val="000000"/>
          <w:sz w:val="24"/>
          <w:szCs w:val="24"/>
        </w:rPr>
      </w:pPr>
    </w:p>
    <w:tbl>
      <w:tblPr>
        <w:tblpPr w:leftFromText="180" w:rightFromText="180" w:vertAnchor="text" w:tblpX="-289" w:tblpY="1"/>
        <w:tblOverlap w:val="never"/>
        <w:tblW w:w="1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500"/>
        <w:gridCol w:w="4967"/>
      </w:tblGrid>
      <w:tr w:rsidR="00C24F9C" w:rsidRPr="00936E6C" w14:paraId="087CF255" w14:textId="77777777" w:rsidTr="00D954BC">
        <w:tc>
          <w:tcPr>
            <w:tcW w:w="1985" w:type="dxa"/>
            <w:vAlign w:val="center"/>
          </w:tcPr>
          <w:p w14:paraId="3C2ADE52" w14:textId="77777777" w:rsidR="00FD07DB" w:rsidRPr="00936E6C" w:rsidRDefault="00FD07DB" w:rsidP="00690950">
            <w:pPr>
              <w:tabs>
                <w:tab w:val="left" w:pos="0"/>
              </w:tabs>
              <w:spacing w:after="0" w:line="240" w:lineRule="auto"/>
              <w:jc w:val="center"/>
              <w:rPr>
                <w:rFonts w:ascii="Times New Roman" w:hAnsi="Times New Roman" w:cs="Times New Roman"/>
                <w:b/>
                <w:bCs/>
                <w:sz w:val="24"/>
                <w:szCs w:val="24"/>
              </w:rPr>
            </w:pPr>
            <w:bookmarkStart w:id="2" w:name="_Hlk76655963"/>
            <w:bookmarkEnd w:id="0"/>
            <w:r w:rsidRPr="00936E6C">
              <w:rPr>
                <w:rFonts w:ascii="Times New Roman" w:hAnsi="Times New Roman" w:cs="Times New Roman"/>
                <w:b/>
                <w:bCs/>
                <w:sz w:val="24"/>
                <w:szCs w:val="24"/>
              </w:rPr>
              <w:t>Institucija, pateikusi pastabas ir pasiūlymus</w:t>
            </w:r>
          </w:p>
        </w:tc>
        <w:tc>
          <w:tcPr>
            <w:tcW w:w="8500" w:type="dxa"/>
            <w:vAlign w:val="center"/>
          </w:tcPr>
          <w:p w14:paraId="539FC20F" w14:textId="77777777" w:rsidR="00FD07DB" w:rsidRPr="00936E6C" w:rsidRDefault="00FD07DB" w:rsidP="00690950">
            <w:pPr>
              <w:tabs>
                <w:tab w:val="left" w:pos="0"/>
              </w:tabs>
              <w:spacing w:after="120" w:line="240" w:lineRule="auto"/>
              <w:jc w:val="center"/>
              <w:rPr>
                <w:rFonts w:ascii="Times New Roman" w:hAnsi="Times New Roman" w:cs="Times New Roman"/>
                <w:b/>
                <w:bCs/>
                <w:sz w:val="24"/>
                <w:szCs w:val="24"/>
              </w:rPr>
            </w:pPr>
            <w:r w:rsidRPr="00936E6C">
              <w:rPr>
                <w:rFonts w:ascii="Times New Roman" w:hAnsi="Times New Roman" w:cs="Times New Roman"/>
                <w:b/>
                <w:bCs/>
                <w:sz w:val="24"/>
                <w:szCs w:val="24"/>
              </w:rPr>
              <w:t>Pastabos ir pasiūlymai</w:t>
            </w:r>
          </w:p>
        </w:tc>
        <w:tc>
          <w:tcPr>
            <w:tcW w:w="4967" w:type="dxa"/>
            <w:vAlign w:val="center"/>
          </w:tcPr>
          <w:p w14:paraId="32E4A439" w14:textId="77777777" w:rsidR="00FD07DB" w:rsidRPr="00936E6C" w:rsidRDefault="00FD07DB" w:rsidP="00690950">
            <w:pPr>
              <w:tabs>
                <w:tab w:val="left" w:pos="0"/>
              </w:tabs>
              <w:spacing w:after="0" w:line="240" w:lineRule="auto"/>
              <w:jc w:val="center"/>
              <w:rPr>
                <w:rFonts w:ascii="Times New Roman" w:hAnsi="Times New Roman" w:cs="Times New Roman"/>
                <w:b/>
                <w:bCs/>
                <w:sz w:val="24"/>
                <w:szCs w:val="24"/>
              </w:rPr>
            </w:pPr>
            <w:r w:rsidRPr="00936E6C">
              <w:rPr>
                <w:rFonts w:ascii="Times New Roman" w:hAnsi="Times New Roman" w:cs="Times New Roman"/>
                <w:b/>
                <w:bCs/>
                <w:sz w:val="24"/>
                <w:szCs w:val="24"/>
              </w:rPr>
              <w:t xml:space="preserve">Argumentai, kodėl neatsižvelgta arba tik iš dalies atsižvelgta į pastabas ir pasiūlymus </w:t>
            </w:r>
          </w:p>
        </w:tc>
      </w:tr>
      <w:tr w:rsidR="00965677" w:rsidRPr="00936E6C" w14:paraId="36901BC8" w14:textId="77777777" w:rsidTr="00D954BC">
        <w:trPr>
          <w:trHeight w:val="1412"/>
        </w:trPr>
        <w:tc>
          <w:tcPr>
            <w:tcW w:w="1985" w:type="dxa"/>
          </w:tcPr>
          <w:p w14:paraId="0F22FF67" w14:textId="2AE1455C" w:rsidR="00965677" w:rsidRPr="00936E6C" w:rsidRDefault="00965677" w:rsidP="00690950">
            <w:pPr>
              <w:spacing w:after="0" w:line="240" w:lineRule="auto"/>
              <w:jc w:val="both"/>
              <w:rPr>
                <w:rFonts w:ascii="Times New Roman" w:hAnsi="Times New Roman" w:cs="Times New Roman"/>
                <w:sz w:val="24"/>
                <w:szCs w:val="24"/>
              </w:rPr>
            </w:pPr>
            <w:r w:rsidRPr="00936E6C">
              <w:rPr>
                <w:rFonts w:ascii="Times New Roman" w:hAnsi="Times New Roman" w:cs="Times New Roman"/>
                <w:sz w:val="24"/>
                <w:szCs w:val="24"/>
              </w:rPr>
              <w:t xml:space="preserve">Jonavos rajono savivaldybės administracijos 2021 m. rugpjūčio 23 d. </w:t>
            </w:r>
            <w:r w:rsidR="00DD0E28" w:rsidRPr="00936E6C">
              <w:rPr>
                <w:rFonts w:ascii="Times New Roman" w:hAnsi="Times New Roman" w:cs="Times New Roman"/>
                <w:sz w:val="24"/>
                <w:szCs w:val="24"/>
              </w:rPr>
              <w:t xml:space="preserve">laiškas </w:t>
            </w:r>
            <w:r w:rsidRPr="00936E6C">
              <w:rPr>
                <w:rFonts w:ascii="Times New Roman" w:hAnsi="Times New Roman" w:cs="Times New Roman"/>
                <w:sz w:val="24"/>
                <w:szCs w:val="24"/>
              </w:rPr>
              <w:t>el. pašt</w:t>
            </w:r>
            <w:r w:rsidR="00DD0E28" w:rsidRPr="00936E6C">
              <w:rPr>
                <w:rFonts w:ascii="Times New Roman" w:hAnsi="Times New Roman" w:cs="Times New Roman"/>
                <w:sz w:val="24"/>
                <w:szCs w:val="24"/>
              </w:rPr>
              <w:t>u</w:t>
            </w:r>
            <w:r w:rsidRPr="00936E6C">
              <w:rPr>
                <w:rFonts w:ascii="Times New Roman" w:hAnsi="Times New Roman" w:cs="Times New Roman"/>
                <w:sz w:val="24"/>
                <w:szCs w:val="24"/>
              </w:rPr>
              <w:t xml:space="preserve"> </w:t>
            </w:r>
          </w:p>
        </w:tc>
        <w:tc>
          <w:tcPr>
            <w:tcW w:w="8500" w:type="dxa"/>
          </w:tcPr>
          <w:p w14:paraId="4CACC106" w14:textId="5E7F8D0C" w:rsidR="00965677" w:rsidRPr="00936E6C" w:rsidRDefault="00965677" w:rsidP="00690950">
            <w:pPr>
              <w:pStyle w:val="Default"/>
              <w:spacing w:after="120"/>
              <w:jc w:val="both"/>
              <w:rPr>
                <w:highlight w:val="yellow"/>
                <w:lang w:val="lt-LT"/>
              </w:rPr>
            </w:pPr>
            <w:r w:rsidRPr="00936E6C">
              <w:rPr>
                <w:lang w:val="lt-LT"/>
              </w:rPr>
              <w:t>Siūlome mažinti lėšų skyrimą saugaus eismo priemonėm ir prieštaraujame siūlymui 10 proc. lėšų skirti darnaus judumo priemonėms finansuoti. Mažosioms savivaldybės didėja lėšų ne įsisavinimo rizika. Kaimo seniūnijose mažės finansavimas.</w:t>
            </w:r>
          </w:p>
        </w:tc>
        <w:tc>
          <w:tcPr>
            <w:tcW w:w="4967" w:type="dxa"/>
          </w:tcPr>
          <w:p w14:paraId="63A73CF8" w14:textId="5CAF5BCB" w:rsidR="00F044B3" w:rsidRPr="00936E6C" w:rsidRDefault="0027706D" w:rsidP="00690950">
            <w:pPr>
              <w:tabs>
                <w:tab w:val="left" w:pos="317"/>
              </w:tabs>
              <w:spacing w:after="0" w:line="240" w:lineRule="auto"/>
              <w:jc w:val="both"/>
              <w:rPr>
                <w:rFonts w:ascii="Times New Roman" w:eastAsia="Calibri" w:hAnsi="Times New Roman" w:cs="Times New Roman"/>
                <w:b/>
                <w:sz w:val="24"/>
                <w:szCs w:val="24"/>
              </w:rPr>
            </w:pPr>
            <w:r w:rsidRPr="00936E6C">
              <w:rPr>
                <w:rFonts w:ascii="Times New Roman" w:eastAsia="Calibri" w:hAnsi="Times New Roman" w:cs="Times New Roman"/>
                <w:b/>
                <w:sz w:val="24"/>
                <w:szCs w:val="24"/>
              </w:rPr>
              <w:t>Atsižvelgta</w:t>
            </w:r>
            <w:r w:rsidR="00F044B3" w:rsidRPr="00936E6C">
              <w:rPr>
                <w:rFonts w:ascii="Times New Roman" w:eastAsia="Calibri" w:hAnsi="Times New Roman" w:cs="Times New Roman"/>
                <w:b/>
                <w:sz w:val="24"/>
                <w:szCs w:val="24"/>
              </w:rPr>
              <w:t xml:space="preserve">. </w:t>
            </w:r>
          </w:p>
          <w:p w14:paraId="64507F82" w14:textId="0C0698A9" w:rsidR="00F044B3" w:rsidRPr="00133EBC" w:rsidRDefault="0027706D" w:rsidP="00690950">
            <w:pPr>
              <w:tabs>
                <w:tab w:val="left" w:pos="317"/>
              </w:tabs>
              <w:spacing w:after="0" w:line="240" w:lineRule="auto"/>
              <w:jc w:val="both"/>
              <w:rPr>
                <w:rFonts w:ascii="Times New Roman" w:eastAsia="Calibri" w:hAnsi="Times New Roman" w:cs="Times New Roman"/>
                <w:bCs/>
                <w:sz w:val="24"/>
                <w:szCs w:val="24"/>
              </w:rPr>
            </w:pPr>
            <w:r w:rsidRPr="00936E6C">
              <w:rPr>
                <w:rFonts w:ascii="Times New Roman" w:eastAsia="Calibri" w:hAnsi="Times New Roman" w:cs="Times New Roman"/>
                <w:bCs/>
                <w:sz w:val="24"/>
                <w:szCs w:val="24"/>
              </w:rPr>
              <w:t>Programos finansavimo</w:t>
            </w:r>
            <w:r w:rsidR="00F044B3" w:rsidRPr="00936E6C">
              <w:rPr>
                <w:rFonts w:ascii="Times New Roman" w:eastAsia="Calibri" w:hAnsi="Times New Roman" w:cs="Times New Roman"/>
                <w:bCs/>
                <w:sz w:val="24"/>
                <w:szCs w:val="24"/>
              </w:rPr>
              <w:t xml:space="preserve"> lėšos nėra savivaldybės biudžeto lėšos, o </w:t>
            </w:r>
            <w:r w:rsidRPr="00936E6C">
              <w:rPr>
                <w:rFonts w:ascii="Times New Roman" w:eastAsia="Calibri" w:hAnsi="Times New Roman" w:cs="Times New Roman"/>
                <w:bCs/>
                <w:sz w:val="24"/>
                <w:szCs w:val="24"/>
              </w:rPr>
              <w:t xml:space="preserve">valstybės </w:t>
            </w:r>
            <w:r w:rsidR="00F044B3" w:rsidRPr="00936E6C">
              <w:rPr>
                <w:rFonts w:ascii="Times New Roman" w:eastAsia="Calibri" w:hAnsi="Times New Roman" w:cs="Times New Roman"/>
                <w:bCs/>
                <w:sz w:val="24"/>
                <w:szCs w:val="24"/>
              </w:rPr>
              <w:t>dotacija. Kaip ir E</w:t>
            </w:r>
            <w:r w:rsidRPr="00936E6C">
              <w:rPr>
                <w:rFonts w:ascii="Times New Roman" w:eastAsia="Calibri" w:hAnsi="Times New Roman" w:cs="Times New Roman"/>
                <w:bCs/>
                <w:sz w:val="24"/>
                <w:szCs w:val="24"/>
              </w:rPr>
              <w:t xml:space="preserve">uropos </w:t>
            </w:r>
            <w:r w:rsidR="00F044B3" w:rsidRPr="00936E6C">
              <w:rPr>
                <w:rFonts w:ascii="Times New Roman" w:eastAsia="Calibri" w:hAnsi="Times New Roman" w:cs="Times New Roman"/>
                <w:bCs/>
                <w:sz w:val="24"/>
                <w:szCs w:val="24"/>
              </w:rPr>
              <w:t>S</w:t>
            </w:r>
            <w:r w:rsidRPr="00936E6C">
              <w:rPr>
                <w:rFonts w:ascii="Times New Roman" w:eastAsia="Calibri" w:hAnsi="Times New Roman" w:cs="Times New Roman"/>
                <w:bCs/>
                <w:sz w:val="24"/>
                <w:szCs w:val="24"/>
              </w:rPr>
              <w:t>ąjungos</w:t>
            </w:r>
            <w:r w:rsidR="00F044B3" w:rsidRPr="00936E6C">
              <w:rPr>
                <w:rFonts w:ascii="Times New Roman" w:eastAsia="Calibri" w:hAnsi="Times New Roman" w:cs="Times New Roman"/>
                <w:bCs/>
                <w:sz w:val="24"/>
                <w:szCs w:val="24"/>
              </w:rPr>
              <w:t xml:space="preserve"> fondų lėšos, dotacija skiriama  tam tikromis sąlygomis</w:t>
            </w:r>
            <w:r w:rsidR="00975D64" w:rsidRPr="00936E6C">
              <w:rPr>
                <w:rFonts w:ascii="Times New Roman" w:eastAsia="Calibri" w:hAnsi="Times New Roman" w:cs="Times New Roman"/>
                <w:bCs/>
                <w:sz w:val="24"/>
                <w:szCs w:val="24"/>
              </w:rPr>
              <w:t>, t</w:t>
            </w:r>
            <w:r w:rsidR="00F044B3" w:rsidRPr="00936E6C">
              <w:rPr>
                <w:rFonts w:ascii="Times New Roman" w:eastAsia="Calibri" w:hAnsi="Times New Roman" w:cs="Times New Roman"/>
                <w:bCs/>
                <w:sz w:val="24"/>
                <w:szCs w:val="24"/>
              </w:rPr>
              <w:t>odėl siūlymas</w:t>
            </w:r>
            <w:r w:rsidR="00F044B3" w:rsidRPr="00936E6C">
              <w:rPr>
                <w:rFonts w:ascii="Times New Roman" w:hAnsi="Times New Roman" w:cs="Times New Roman"/>
                <w:bCs/>
                <w:sz w:val="24"/>
                <w:szCs w:val="24"/>
              </w:rPr>
              <w:t xml:space="preserve"> </w:t>
            </w:r>
            <w:r w:rsidR="00F044B3" w:rsidRPr="00936E6C">
              <w:rPr>
                <w:rFonts w:ascii="Times New Roman" w:eastAsia="Calibri" w:hAnsi="Times New Roman" w:cs="Times New Roman"/>
                <w:bCs/>
                <w:sz w:val="24"/>
                <w:szCs w:val="24"/>
              </w:rPr>
              <w:t>atsisakyti</w:t>
            </w:r>
            <w:r w:rsidR="00C74A27" w:rsidRPr="00936E6C">
              <w:rPr>
                <w:rFonts w:ascii="Times New Roman" w:eastAsia="Calibri" w:hAnsi="Times New Roman" w:cs="Times New Roman"/>
                <w:bCs/>
                <w:sz w:val="24"/>
                <w:szCs w:val="24"/>
              </w:rPr>
              <w:t xml:space="preserve"> reikalavimo</w:t>
            </w:r>
            <w:r w:rsidR="00F044B3" w:rsidRPr="00936E6C">
              <w:rPr>
                <w:rFonts w:ascii="Times New Roman" w:eastAsia="Calibri" w:hAnsi="Times New Roman" w:cs="Times New Roman"/>
                <w:bCs/>
                <w:sz w:val="24"/>
                <w:szCs w:val="24"/>
              </w:rPr>
              <w:t xml:space="preserve"> ne mažiau kaip 5 proc. lėšų naudoti saugaus eismo priemonėms ir ne mažiau kaip 10 proc. –</w:t>
            </w:r>
            <w:r w:rsidR="002402FB">
              <w:rPr>
                <w:rFonts w:ascii="Times New Roman" w:eastAsia="Calibri" w:hAnsi="Times New Roman" w:cs="Times New Roman"/>
                <w:bCs/>
                <w:sz w:val="24"/>
                <w:szCs w:val="24"/>
              </w:rPr>
              <w:t xml:space="preserve"> </w:t>
            </w:r>
            <w:r w:rsidR="00F044B3" w:rsidRPr="00936E6C">
              <w:rPr>
                <w:rFonts w:ascii="Times New Roman" w:eastAsia="Calibri" w:hAnsi="Times New Roman" w:cs="Times New Roman"/>
                <w:bCs/>
                <w:sz w:val="24"/>
                <w:szCs w:val="24"/>
              </w:rPr>
              <w:t>darnaus judumo priemon</w:t>
            </w:r>
            <w:r w:rsidR="002402FB">
              <w:rPr>
                <w:rFonts w:ascii="Times New Roman" w:eastAsia="Calibri" w:hAnsi="Times New Roman" w:cs="Times New Roman"/>
                <w:bCs/>
                <w:sz w:val="24"/>
                <w:szCs w:val="24"/>
              </w:rPr>
              <w:t>ėm</w:t>
            </w:r>
            <w:r w:rsidR="00F044B3" w:rsidRPr="00936E6C">
              <w:rPr>
                <w:rFonts w:ascii="Times New Roman" w:eastAsia="Calibri" w:hAnsi="Times New Roman" w:cs="Times New Roman"/>
                <w:bCs/>
                <w:sz w:val="24"/>
                <w:szCs w:val="24"/>
              </w:rPr>
              <w:t xml:space="preserve">s </w:t>
            </w:r>
            <w:r w:rsidR="002402FB" w:rsidRPr="00936E6C">
              <w:rPr>
                <w:rFonts w:ascii="Times New Roman" w:eastAsia="Calibri" w:hAnsi="Times New Roman" w:cs="Times New Roman"/>
                <w:bCs/>
                <w:sz w:val="24"/>
                <w:szCs w:val="24"/>
              </w:rPr>
              <w:t xml:space="preserve">finansuoti </w:t>
            </w:r>
            <w:r w:rsidR="00F044B3" w:rsidRPr="00936E6C">
              <w:rPr>
                <w:rFonts w:ascii="Times New Roman" w:eastAsia="Calibri" w:hAnsi="Times New Roman" w:cs="Times New Roman"/>
                <w:bCs/>
                <w:sz w:val="24"/>
                <w:szCs w:val="24"/>
                <w:u w:val="single"/>
              </w:rPr>
              <w:t>nėra pagr</w:t>
            </w:r>
            <w:r w:rsidR="002402FB">
              <w:rPr>
                <w:rFonts w:ascii="Times New Roman" w:eastAsia="Calibri" w:hAnsi="Times New Roman" w:cs="Times New Roman"/>
                <w:bCs/>
                <w:sz w:val="24"/>
                <w:szCs w:val="24"/>
                <w:u w:val="single"/>
              </w:rPr>
              <w:t>į</w:t>
            </w:r>
            <w:r w:rsidR="00F044B3" w:rsidRPr="00936E6C">
              <w:rPr>
                <w:rFonts w:ascii="Times New Roman" w:eastAsia="Calibri" w:hAnsi="Times New Roman" w:cs="Times New Roman"/>
                <w:bCs/>
                <w:sz w:val="24"/>
                <w:szCs w:val="24"/>
                <w:u w:val="single"/>
              </w:rPr>
              <w:t>stas.</w:t>
            </w:r>
            <w:r w:rsidR="00F044B3" w:rsidRPr="00936E6C">
              <w:rPr>
                <w:rFonts w:ascii="Times New Roman" w:eastAsia="Calibri" w:hAnsi="Times New Roman" w:cs="Times New Roman"/>
                <w:bCs/>
                <w:sz w:val="24"/>
                <w:szCs w:val="24"/>
              </w:rPr>
              <w:t xml:space="preserve"> </w:t>
            </w:r>
            <w:r w:rsidR="00133EBC">
              <w:rPr>
                <w:rFonts w:ascii="Times New Roman" w:eastAsia="Calibri" w:hAnsi="Times New Roman" w:cs="Times New Roman"/>
                <w:bCs/>
                <w:sz w:val="24"/>
                <w:szCs w:val="24"/>
              </w:rPr>
              <w:t xml:space="preserve">Atkreipiame dėmesį, kad </w:t>
            </w:r>
            <w:r w:rsidR="00133EBC">
              <w:rPr>
                <w:rFonts w:ascii="Times New Roman" w:eastAsia="Calibri" w:hAnsi="Times New Roman" w:cs="Times New Roman"/>
                <w:bCs/>
                <w:sz w:val="24"/>
                <w:szCs w:val="24"/>
                <w:lang w:val="en-US"/>
              </w:rPr>
              <w:t>5 proc.</w:t>
            </w:r>
            <w:r w:rsidR="002402FB">
              <w:rPr>
                <w:rFonts w:ascii="Times New Roman" w:eastAsia="Calibri" w:hAnsi="Times New Roman" w:cs="Times New Roman"/>
                <w:bCs/>
                <w:sz w:val="24"/>
                <w:szCs w:val="24"/>
                <w:lang w:val="en-US"/>
              </w:rPr>
              <w:t xml:space="preserve"> </w:t>
            </w:r>
            <w:proofErr w:type="spellStart"/>
            <w:r w:rsidR="00133EBC">
              <w:rPr>
                <w:rFonts w:ascii="Times New Roman" w:eastAsia="Calibri" w:hAnsi="Times New Roman" w:cs="Times New Roman"/>
                <w:bCs/>
                <w:sz w:val="24"/>
                <w:szCs w:val="24"/>
                <w:lang w:val="en-US"/>
              </w:rPr>
              <w:t>eismo</w:t>
            </w:r>
            <w:proofErr w:type="spellEnd"/>
            <w:r w:rsidR="00133EBC">
              <w:rPr>
                <w:rFonts w:ascii="Times New Roman" w:eastAsia="Calibri" w:hAnsi="Times New Roman" w:cs="Times New Roman"/>
                <w:bCs/>
                <w:sz w:val="24"/>
                <w:szCs w:val="24"/>
                <w:lang w:val="en-US"/>
              </w:rPr>
              <w:t xml:space="preserve"> </w:t>
            </w:r>
            <w:proofErr w:type="spellStart"/>
            <w:r w:rsidR="00133EBC">
              <w:rPr>
                <w:rFonts w:ascii="Times New Roman" w:eastAsia="Calibri" w:hAnsi="Times New Roman" w:cs="Times New Roman"/>
                <w:bCs/>
                <w:sz w:val="24"/>
                <w:szCs w:val="24"/>
                <w:lang w:val="en-US"/>
              </w:rPr>
              <w:t>saugos</w:t>
            </w:r>
            <w:proofErr w:type="spellEnd"/>
            <w:r w:rsidR="00133EBC">
              <w:rPr>
                <w:rFonts w:ascii="Times New Roman" w:eastAsia="Calibri" w:hAnsi="Times New Roman" w:cs="Times New Roman"/>
                <w:bCs/>
                <w:sz w:val="24"/>
                <w:szCs w:val="24"/>
                <w:lang w:val="en-US"/>
              </w:rPr>
              <w:t xml:space="preserve"> </w:t>
            </w:r>
            <w:proofErr w:type="spellStart"/>
            <w:r w:rsidR="00133EBC">
              <w:rPr>
                <w:rFonts w:ascii="Times New Roman" w:eastAsia="Calibri" w:hAnsi="Times New Roman" w:cs="Times New Roman"/>
                <w:bCs/>
                <w:sz w:val="24"/>
                <w:szCs w:val="24"/>
                <w:lang w:val="en-US"/>
              </w:rPr>
              <w:t>priemon</w:t>
            </w:r>
            <w:r w:rsidR="00133EBC">
              <w:rPr>
                <w:rFonts w:ascii="Times New Roman" w:eastAsia="Calibri" w:hAnsi="Times New Roman" w:cs="Times New Roman"/>
                <w:bCs/>
                <w:sz w:val="24"/>
                <w:szCs w:val="24"/>
              </w:rPr>
              <w:t>ėms</w:t>
            </w:r>
            <w:proofErr w:type="spellEnd"/>
            <w:r w:rsidR="00133EBC">
              <w:rPr>
                <w:rFonts w:ascii="Times New Roman" w:eastAsia="Calibri" w:hAnsi="Times New Roman" w:cs="Times New Roman"/>
                <w:bCs/>
                <w:sz w:val="24"/>
                <w:szCs w:val="24"/>
              </w:rPr>
              <w:t xml:space="preserve"> skyrimo kriterijus eg</w:t>
            </w:r>
            <w:r w:rsidR="002402FB">
              <w:rPr>
                <w:rFonts w:ascii="Times New Roman" w:eastAsia="Calibri" w:hAnsi="Times New Roman" w:cs="Times New Roman"/>
                <w:bCs/>
                <w:sz w:val="24"/>
                <w:szCs w:val="24"/>
              </w:rPr>
              <w:t>z</w:t>
            </w:r>
            <w:r w:rsidR="00133EBC">
              <w:rPr>
                <w:rFonts w:ascii="Times New Roman" w:eastAsia="Calibri" w:hAnsi="Times New Roman" w:cs="Times New Roman"/>
                <w:bCs/>
                <w:sz w:val="24"/>
                <w:szCs w:val="24"/>
              </w:rPr>
              <w:t>istavo iki šiol.</w:t>
            </w:r>
          </w:p>
          <w:p w14:paraId="7F3893EF" w14:textId="77777777" w:rsidR="00F044B3" w:rsidRPr="00936E6C" w:rsidRDefault="00F044B3" w:rsidP="00690950">
            <w:pPr>
              <w:tabs>
                <w:tab w:val="left" w:pos="317"/>
              </w:tabs>
              <w:spacing w:after="0" w:line="240" w:lineRule="auto"/>
              <w:jc w:val="both"/>
              <w:rPr>
                <w:rFonts w:ascii="Times New Roman" w:eastAsia="Calibri" w:hAnsi="Times New Roman" w:cs="Times New Roman"/>
                <w:bCs/>
                <w:sz w:val="24"/>
                <w:szCs w:val="24"/>
              </w:rPr>
            </w:pPr>
          </w:p>
          <w:p w14:paraId="1A75DC46" w14:textId="25B69381" w:rsidR="00965677" w:rsidRPr="00936E6C" w:rsidRDefault="00975D64" w:rsidP="00690950">
            <w:pPr>
              <w:tabs>
                <w:tab w:val="left" w:pos="317"/>
              </w:tabs>
              <w:spacing w:after="0" w:line="240" w:lineRule="auto"/>
              <w:jc w:val="both"/>
              <w:rPr>
                <w:rFonts w:ascii="Times New Roman" w:eastAsia="Calibri" w:hAnsi="Times New Roman" w:cs="Times New Roman"/>
                <w:b/>
                <w:sz w:val="24"/>
                <w:szCs w:val="24"/>
              </w:rPr>
            </w:pPr>
            <w:r w:rsidRPr="00936E6C">
              <w:rPr>
                <w:rFonts w:ascii="Times New Roman" w:eastAsia="Calibri" w:hAnsi="Times New Roman" w:cs="Times New Roman"/>
                <w:bCs/>
                <w:sz w:val="24"/>
                <w:szCs w:val="24"/>
              </w:rPr>
              <w:t xml:space="preserve">Susisiekimo ministerija siūlo sumažinti reikalavimą </w:t>
            </w:r>
            <w:r w:rsidR="00F044B3" w:rsidRPr="00936E6C">
              <w:rPr>
                <w:rFonts w:ascii="Times New Roman" w:eastAsia="Calibri" w:hAnsi="Times New Roman" w:cs="Times New Roman"/>
                <w:bCs/>
                <w:sz w:val="24"/>
                <w:szCs w:val="24"/>
              </w:rPr>
              <w:t>finansuoti darnaus judumo priemones</w:t>
            </w:r>
            <w:r w:rsidRPr="00936E6C">
              <w:rPr>
                <w:rFonts w:ascii="Times New Roman" w:eastAsia="Calibri" w:hAnsi="Times New Roman" w:cs="Times New Roman"/>
                <w:bCs/>
                <w:sz w:val="24"/>
                <w:szCs w:val="24"/>
              </w:rPr>
              <w:t xml:space="preserve"> </w:t>
            </w:r>
            <w:r w:rsidR="00F044B3" w:rsidRPr="00936E6C">
              <w:rPr>
                <w:rFonts w:ascii="Times New Roman" w:eastAsia="Calibri" w:hAnsi="Times New Roman" w:cs="Times New Roman"/>
                <w:bCs/>
                <w:sz w:val="24"/>
                <w:szCs w:val="24"/>
              </w:rPr>
              <w:t>iki 5 proc.</w:t>
            </w:r>
            <w:r w:rsidR="00C74A27" w:rsidRPr="00936E6C">
              <w:rPr>
                <w:rFonts w:ascii="Times New Roman" w:eastAsia="Calibri" w:hAnsi="Times New Roman" w:cs="Times New Roman"/>
                <w:bCs/>
                <w:sz w:val="24"/>
                <w:szCs w:val="24"/>
              </w:rPr>
              <w:t xml:space="preserve"> </w:t>
            </w:r>
          </w:p>
        </w:tc>
      </w:tr>
      <w:tr w:rsidR="006827BE" w:rsidRPr="00936E6C" w14:paraId="3BA2AECE" w14:textId="77777777" w:rsidTr="00D954BC">
        <w:tc>
          <w:tcPr>
            <w:tcW w:w="1985" w:type="dxa"/>
          </w:tcPr>
          <w:p w14:paraId="3CF9CB10" w14:textId="67FEE5BF" w:rsidR="006827BE" w:rsidRPr="00936E6C" w:rsidRDefault="006827BE" w:rsidP="00690950">
            <w:pPr>
              <w:spacing w:after="0" w:line="240" w:lineRule="auto"/>
              <w:jc w:val="both"/>
              <w:rPr>
                <w:rFonts w:ascii="Times New Roman" w:hAnsi="Times New Roman" w:cs="Times New Roman"/>
                <w:sz w:val="24"/>
                <w:szCs w:val="24"/>
              </w:rPr>
            </w:pPr>
            <w:r w:rsidRPr="00936E6C">
              <w:rPr>
                <w:rFonts w:ascii="Times New Roman" w:hAnsi="Times New Roman" w:cs="Times New Roman"/>
                <w:sz w:val="24"/>
                <w:szCs w:val="24"/>
              </w:rPr>
              <w:t xml:space="preserve">AB „LTG </w:t>
            </w:r>
            <w:proofErr w:type="spellStart"/>
            <w:r w:rsidRPr="00936E6C">
              <w:rPr>
                <w:rFonts w:ascii="Times New Roman" w:hAnsi="Times New Roman" w:cs="Times New Roman"/>
                <w:sz w:val="24"/>
                <w:szCs w:val="24"/>
              </w:rPr>
              <w:t>Infra</w:t>
            </w:r>
            <w:proofErr w:type="spellEnd"/>
            <w:r w:rsidRPr="00936E6C">
              <w:rPr>
                <w:rFonts w:ascii="Times New Roman" w:hAnsi="Times New Roman" w:cs="Times New Roman"/>
                <w:sz w:val="24"/>
                <w:szCs w:val="24"/>
              </w:rPr>
              <w:t>“  2021 m. rugpjūčio 25 d. raštas Nr.  SD(LGI)-3874</w:t>
            </w:r>
          </w:p>
        </w:tc>
        <w:tc>
          <w:tcPr>
            <w:tcW w:w="8500" w:type="dxa"/>
          </w:tcPr>
          <w:p w14:paraId="1C683BE8" w14:textId="77777777" w:rsidR="006827BE" w:rsidRPr="00936E6C" w:rsidRDefault="006827BE" w:rsidP="00690950">
            <w:pPr>
              <w:pStyle w:val="prastasiniatinklio"/>
              <w:spacing w:before="0" w:beforeAutospacing="0" w:after="120" w:afterAutospacing="0"/>
              <w:contextualSpacing/>
              <w:jc w:val="both"/>
              <w:rPr>
                <w:color w:val="000000"/>
                <w:shd w:val="clear" w:color="auto" w:fill="FFFFFF"/>
              </w:rPr>
            </w:pPr>
            <w:r w:rsidRPr="00936E6C">
              <w:rPr>
                <w:color w:val="000000"/>
                <w:shd w:val="clear" w:color="auto" w:fill="FFFFFF"/>
              </w:rPr>
              <w:t xml:space="preserve">I. </w:t>
            </w:r>
            <w:r w:rsidRPr="00936E6C">
              <w:rPr>
                <w:i/>
                <w:iCs/>
                <w:color w:val="000000"/>
                <w:shd w:val="clear" w:color="auto" w:fill="FFFFFF"/>
              </w:rPr>
              <w:t>Dėl pasiūlymų papildyti įstatymo projektą</w:t>
            </w:r>
          </w:p>
          <w:p w14:paraId="65CEFAFC" w14:textId="22359284" w:rsidR="006827BE" w:rsidRPr="00936E6C" w:rsidRDefault="006827BE" w:rsidP="00690950">
            <w:pPr>
              <w:pStyle w:val="prastasiniatinklio"/>
              <w:spacing w:before="0" w:beforeAutospacing="0" w:after="120" w:afterAutospacing="0"/>
              <w:contextualSpacing/>
              <w:jc w:val="both"/>
              <w:rPr>
                <w:color w:val="000000"/>
                <w:shd w:val="clear" w:color="auto" w:fill="FFFFFF"/>
              </w:rPr>
            </w:pPr>
            <w:r w:rsidRPr="00936E6C">
              <w:rPr>
                <w:color w:val="000000"/>
                <w:shd w:val="clear" w:color="auto" w:fill="FFFFFF"/>
              </w:rPr>
              <w:t xml:space="preserve">Valdytojas, pakartodamas tai, kas buvo išdėstyta AB „Lietuvos geležinkelių infrastruktūra“ 2020 m. liepos 17 d.  rašte, Nr. SD(LGI)-2754 „Dėl įstatymų, susijusių su Kelių priežiūros ir plėtros programos lėšų paskirstymu, keitimo“ (toliau – </w:t>
            </w:r>
            <w:r w:rsidRPr="00936E6C">
              <w:rPr>
                <w:b/>
                <w:bCs/>
                <w:color w:val="000000"/>
                <w:shd w:val="clear" w:color="auto" w:fill="FFFFFF"/>
              </w:rPr>
              <w:t>Valdytojo raštas</w:t>
            </w:r>
            <w:r w:rsidRPr="00936E6C">
              <w:rPr>
                <w:color w:val="000000"/>
                <w:shd w:val="clear" w:color="auto" w:fill="FFFFFF"/>
              </w:rPr>
              <w:t>), pažymi, kad šiame rašte išdėstytas poreikis dėl</w:t>
            </w:r>
            <w:r w:rsidRPr="00936E6C">
              <w:rPr>
                <w:bCs/>
              </w:rPr>
              <w:t xml:space="preserve"> Kelių priežiūros ir plėtros programos lėšų, kurios galėtų būti skiriamos automobilių keliuose esančios viešosios geležinkelių infrastruktūros valdytojo patikėjimo teise valdomos ne geležinkelių transporto eismui skirtos infrastruktūros įrengimo, rekonstravimo, modernizavimo ir remonto darbų finansavimui užtikrinti, ir šio poreikio išlieka aktualus (šis poreikis Valdytojo atstovų buvo pristatytas ir paaiškintas 2021 m. liepos 8 d. vykusiose apskirtojo stalo diskusijoje – viešojoje konsultacijoje dėl Kelių </w:t>
            </w:r>
            <w:r w:rsidRPr="00936E6C">
              <w:rPr>
                <w:color w:val="000000"/>
                <w:shd w:val="clear" w:color="auto" w:fill="FFFFFF"/>
              </w:rPr>
              <w:t>priežiūros ir plėtros programos peržiūros</w:t>
            </w:r>
            <w:r w:rsidRPr="00936E6C">
              <w:rPr>
                <w:bCs/>
              </w:rPr>
              <w:t xml:space="preserve">). Atitinkamai, siūlome projekto 5 straipsniu keičiamą </w:t>
            </w:r>
            <w:r w:rsidRPr="00936E6C">
              <w:rPr>
                <w:color w:val="000000"/>
                <w:shd w:val="clear" w:color="auto" w:fill="FFFFFF"/>
              </w:rPr>
              <w:t xml:space="preserve">Lietuvos Respublikos kelių priežiūros ir plėtros programos finansavimo įstatymo (toliau – </w:t>
            </w:r>
            <w:r w:rsidRPr="00936E6C">
              <w:rPr>
                <w:b/>
                <w:bCs/>
                <w:color w:val="000000"/>
                <w:shd w:val="clear" w:color="auto" w:fill="FFFFFF"/>
              </w:rPr>
              <w:t>įstatymas</w:t>
            </w:r>
            <w:r w:rsidRPr="00936E6C">
              <w:rPr>
                <w:color w:val="000000"/>
                <w:shd w:val="clear" w:color="auto" w:fill="FFFFFF"/>
              </w:rPr>
              <w:t xml:space="preserve">) 9 straipsnį papildyti šiomis naujomis 3, 8, 9 dalimis: </w:t>
            </w:r>
          </w:p>
          <w:p w14:paraId="507F8F3B" w14:textId="77777777" w:rsidR="006827BE" w:rsidRPr="00936E6C" w:rsidRDefault="006827BE" w:rsidP="00690950">
            <w:pPr>
              <w:pStyle w:val="prastasiniatinklio"/>
              <w:spacing w:before="0" w:beforeAutospacing="0" w:after="120" w:afterAutospacing="0"/>
              <w:ind w:firstLine="720"/>
              <w:contextualSpacing/>
              <w:jc w:val="both"/>
            </w:pPr>
            <w:r w:rsidRPr="00936E6C">
              <w:rPr>
                <w:color w:val="000000"/>
                <w:shd w:val="clear" w:color="auto" w:fill="FFFFFF"/>
              </w:rPr>
              <w:lastRenderedPageBreak/>
              <w:t>„</w:t>
            </w:r>
            <w:r w:rsidRPr="00936E6C">
              <w:rPr>
                <w:b/>
                <w:bCs/>
                <w:color w:val="000000"/>
                <w:shd w:val="clear" w:color="auto" w:fill="FFFFFF"/>
              </w:rPr>
              <w:t xml:space="preserve">3. </w:t>
            </w:r>
            <w:r w:rsidRPr="00936E6C">
              <w:rPr>
                <w:b/>
                <w:bCs/>
              </w:rPr>
              <w:t>Programos finansavimo lėšos taip pat naudojamos viešosios geležinkelių infrastruktūros valdytojo patikėjimo teise valdomų pervažų, perėjų, kelių transporto ir (ar) pėsčiųjų eismui skirtų pralaidų, viadukų, tunelių techninės priežiūros, remonto, rekonstrukcijos, modernizavimo finansavimui užtikrinti</w:t>
            </w:r>
            <w:r w:rsidRPr="00936E6C">
              <w:t>.;</w:t>
            </w:r>
          </w:p>
          <w:p w14:paraId="48A6A3AC" w14:textId="77777777" w:rsidR="006827BE" w:rsidRPr="00936E6C" w:rsidRDefault="006827BE" w:rsidP="00690950">
            <w:pPr>
              <w:pStyle w:val="prastasiniatinklio"/>
              <w:spacing w:before="0" w:beforeAutospacing="0" w:after="120" w:afterAutospacing="0"/>
              <w:ind w:firstLine="720"/>
              <w:contextualSpacing/>
              <w:jc w:val="both"/>
            </w:pPr>
            <w:r w:rsidRPr="00936E6C">
              <w:t>&lt;...&gt;</w:t>
            </w:r>
          </w:p>
          <w:p w14:paraId="3BE1E423" w14:textId="77777777" w:rsidR="006827BE" w:rsidRPr="00936E6C" w:rsidRDefault="006827BE" w:rsidP="00690950">
            <w:pPr>
              <w:pStyle w:val="prastasiniatinklio"/>
              <w:spacing w:before="0" w:beforeAutospacing="0" w:after="120" w:afterAutospacing="0"/>
              <w:ind w:firstLine="709"/>
              <w:contextualSpacing/>
              <w:jc w:val="both"/>
              <w:rPr>
                <w:b/>
                <w:bCs/>
                <w:color w:val="000000"/>
                <w:shd w:val="clear" w:color="auto" w:fill="FFFFFF"/>
              </w:rPr>
            </w:pPr>
            <w:r w:rsidRPr="00936E6C">
              <w:rPr>
                <w:b/>
                <w:bCs/>
                <w:color w:val="000000"/>
                <w:shd w:val="clear" w:color="auto" w:fill="FFFFFF"/>
              </w:rPr>
              <w:t>8. Metinėje lėšų naudojimo sąmatoje šio įstatymo 9 straipsnio 3 dalyje nustatytoms veikloms numatoma 2 procentų Programos finansavimo lėšų“</w:t>
            </w:r>
            <w:r w:rsidRPr="00936E6C">
              <w:rPr>
                <w:color w:val="000000"/>
                <w:shd w:val="clear" w:color="auto" w:fill="FFFFFF"/>
              </w:rPr>
              <w:t>;</w:t>
            </w:r>
          </w:p>
          <w:p w14:paraId="05149F59" w14:textId="3B51B8C1" w:rsidR="006827BE" w:rsidRPr="00936E6C" w:rsidRDefault="006827BE" w:rsidP="00690950">
            <w:pPr>
              <w:pStyle w:val="prastasiniatinklio"/>
              <w:spacing w:before="0" w:beforeAutospacing="0" w:after="120" w:afterAutospacing="0"/>
              <w:ind w:firstLine="709"/>
              <w:contextualSpacing/>
              <w:jc w:val="both"/>
              <w:rPr>
                <w:b/>
                <w:bCs/>
                <w:color w:val="000000"/>
                <w:shd w:val="clear" w:color="auto" w:fill="FFFFFF"/>
              </w:rPr>
            </w:pPr>
            <w:r w:rsidRPr="00936E6C">
              <w:rPr>
                <w:b/>
                <w:bCs/>
                <w:color w:val="000000"/>
                <w:shd w:val="clear" w:color="auto" w:fill="FFFFFF"/>
              </w:rPr>
              <w:t>9. Programos finansavimo lėšų naudojimo tvarką 9 straipsnio 3 dalyje nustatytoms veikloms įgyvendina viešosios geležinkelių infrastruktūros valdytojas (taip kaip tai apibrėžia Kodeksas)“.</w:t>
            </w:r>
          </w:p>
          <w:p w14:paraId="3240228D" w14:textId="77777777" w:rsidR="007212C4" w:rsidRPr="00936E6C" w:rsidRDefault="007212C4" w:rsidP="00690950">
            <w:pPr>
              <w:pStyle w:val="prastasiniatinklio"/>
              <w:spacing w:before="0" w:beforeAutospacing="0" w:after="120" w:afterAutospacing="0"/>
              <w:contextualSpacing/>
              <w:jc w:val="both"/>
              <w:rPr>
                <w:bCs/>
              </w:rPr>
            </w:pPr>
          </w:p>
          <w:p w14:paraId="0331DAE6" w14:textId="235C9801" w:rsidR="006827BE" w:rsidRPr="00936E6C" w:rsidRDefault="006827BE" w:rsidP="00690950">
            <w:pPr>
              <w:pStyle w:val="prastasiniatinklio"/>
              <w:spacing w:before="0" w:beforeAutospacing="0" w:after="120" w:afterAutospacing="0"/>
              <w:contextualSpacing/>
              <w:jc w:val="both"/>
              <w:rPr>
                <w:color w:val="000000"/>
                <w:shd w:val="clear" w:color="auto" w:fill="FFFFFF"/>
              </w:rPr>
            </w:pPr>
            <w:r w:rsidRPr="00936E6C">
              <w:rPr>
                <w:bCs/>
              </w:rPr>
              <w:t>Taip pat siūlome patikslinti projekto 5 straipsnyje išdėstyto įstatymo 9 straipsnio 4 ir 7 dalis (be aukščiau nurodyto pasiūlymo įtraukimo – nurodyto straipsnio 3 ir 6 dalys numatant procentinės Programos finansavimo lėšų dalies perskirstymą suinteresuotoms šalims įstatymo 9 straipsnio 1 dalyje nustatytoms veikloms – 66 procentų ir įstatymo 9 straipsnio 2 dalyje nustatytoms veikloms –  32 procentų iš Programos finansavimo lėšų bei minėtąsias dalis išdėstyti taip:</w:t>
            </w:r>
            <w:r w:rsidRPr="00936E6C">
              <w:rPr>
                <w:b/>
                <w:bCs/>
                <w:color w:val="000000"/>
                <w:shd w:val="clear" w:color="auto" w:fill="FFFFFF"/>
              </w:rPr>
              <w:t>„4. Metinėje lėšų naudojimo sąmatoje šio įstatymo 9 straipsnio 1 dalyje nustatytoms veikloms numatoma 66 procentų Programos finansavimo lėšų. Lietuvos Respublikos susisiekimo ministerija patvirtina ilgalaikės valstybinės reikšmės kelių priežiūros ir plėtros gaires</w:t>
            </w:r>
            <w:r w:rsidRPr="00936E6C">
              <w:rPr>
                <w:color w:val="000000"/>
                <w:shd w:val="clear" w:color="auto" w:fill="FFFFFF"/>
              </w:rPr>
              <w:t>.</w:t>
            </w:r>
          </w:p>
          <w:p w14:paraId="2AA75A8F" w14:textId="77777777" w:rsidR="006827BE" w:rsidRPr="00936E6C" w:rsidRDefault="006827BE" w:rsidP="00690950">
            <w:pPr>
              <w:pStyle w:val="prastasiniatinklio"/>
              <w:spacing w:before="0" w:beforeAutospacing="0" w:after="120" w:afterAutospacing="0"/>
              <w:ind w:firstLine="851"/>
              <w:contextualSpacing/>
              <w:jc w:val="both"/>
              <w:rPr>
                <w:b/>
                <w:bCs/>
                <w:color w:val="000000"/>
                <w:shd w:val="clear" w:color="auto" w:fill="FFFFFF"/>
              </w:rPr>
            </w:pPr>
            <w:r w:rsidRPr="00936E6C">
              <w:rPr>
                <w:color w:val="000000"/>
                <w:shd w:val="clear" w:color="auto" w:fill="FFFFFF"/>
              </w:rPr>
              <w:t>&lt;...&gt;</w:t>
            </w:r>
          </w:p>
          <w:p w14:paraId="7149F1D8" w14:textId="77777777" w:rsidR="006827BE" w:rsidRPr="00936E6C" w:rsidRDefault="006827BE" w:rsidP="00690950">
            <w:pPr>
              <w:pStyle w:val="prastasiniatinklio"/>
              <w:spacing w:before="0" w:beforeAutospacing="0" w:after="120" w:afterAutospacing="0"/>
              <w:ind w:firstLine="720"/>
              <w:contextualSpacing/>
              <w:jc w:val="both"/>
              <w:rPr>
                <w:b/>
                <w:bCs/>
                <w:color w:val="000000"/>
                <w:shd w:val="clear" w:color="auto" w:fill="FFFFFF"/>
              </w:rPr>
            </w:pPr>
            <w:r w:rsidRPr="00936E6C">
              <w:rPr>
                <w:b/>
                <w:bCs/>
                <w:color w:val="000000"/>
                <w:shd w:val="clear" w:color="auto" w:fill="FFFFFF"/>
              </w:rPr>
              <w:t>„7. Metinėje lėšų naudojimo sąmatoje šio įstatymo 9 straipsnio 2 dalyje nustatytoms veikloms numatoma 32 procentų Programos finansavimo lėšų, kurie paskirstomi taip“</w:t>
            </w:r>
            <w:r w:rsidRPr="00936E6C">
              <w:rPr>
                <w:color w:val="000000"/>
                <w:shd w:val="clear" w:color="auto" w:fill="FFFFFF"/>
              </w:rPr>
              <w:t>.</w:t>
            </w:r>
          </w:p>
          <w:p w14:paraId="72F63EB2" w14:textId="49299A5B" w:rsidR="006827BE" w:rsidRPr="00936E6C" w:rsidRDefault="006827BE" w:rsidP="00690950">
            <w:pPr>
              <w:pStyle w:val="prastasiniatinklio"/>
              <w:spacing w:before="0" w:beforeAutospacing="0" w:after="120" w:afterAutospacing="0"/>
              <w:contextualSpacing/>
              <w:jc w:val="both"/>
              <w:rPr>
                <w:bCs/>
              </w:rPr>
            </w:pPr>
            <w:r w:rsidRPr="00936E6C">
              <w:rPr>
                <w:bCs/>
              </w:rPr>
              <w:t>Projektas su aukščiau šiame rašte pateiktais pasiūlymais pridedamas.</w:t>
            </w:r>
          </w:p>
          <w:p w14:paraId="290D874D" w14:textId="77777777" w:rsidR="007212C4" w:rsidRPr="00936E6C" w:rsidRDefault="007212C4" w:rsidP="00690950">
            <w:pPr>
              <w:pStyle w:val="prastasiniatinklio"/>
              <w:spacing w:before="0" w:beforeAutospacing="0" w:after="120" w:afterAutospacing="0"/>
              <w:contextualSpacing/>
              <w:jc w:val="both"/>
              <w:rPr>
                <w:bCs/>
              </w:rPr>
            </w:pPr>
          </w:p>
          <w:p w14:paraId="6BD036AF" w14:textId="617A39F0" w:rsidR="006827BE" w:rsidRPr="00936E6C" w:rsidRDefault="006827BE" w:rsidP="00690950">
            <w:pPr>
              <w:pStyle w:val="prastasiniatinklio"/>
              <w:spacing w:before="0" w:beforeAutospacing="0" w:after="120" w:afterAutospacing="0"/>
              <w:contextualSpacing/>
              <w:jc w:val="both"/>
              <w:rPr>
                <w:bCs/>
              </w:rPr>
            </w:pPr>
            <w:r w:rsidRPr="00936E6C">
              <w:rPr>
                <w:bCs/>
              </w:rPr>
              <w:t xml:space="preserve">II. </w:t>
            </w:r>
            <w:r w:rsidRPr="00936E6C">
              <w:rPr>
                <w:bCs/>
                <w:i/>
                <w:iCs/>
              </w:rPr>
              <w:t>Dėl pasiūlymų papildyti projektą pagrindimo</w:t>
            </w:r>
          </w:p>
          <w:p w14:paraId="2DCED9E0" w14:textId="37FCA52F" w:rsidR="006827BE" w:rsidRPr="00936E6C" w:rsidRDefault="006827BE" w:rsidP="00690950">
            <w:pPr>
              <w:pStyle w:val="prastasiniatinklio"/>
              <w:spacing w:before="0" w:beforeAutospacing="0" w:after="120" w:afterAutospacing="0"/>
              <w:contextualSpacing/>
              <w:jc w:val="both"/>
              <w:rPr>
                <w:bCs/>
              </w:rPr>
            </w:pPr>
            <w:r w:rsidRPr="00936E6C">
              <w:rPr>
                <w:bCs/>
              </w:rPr>
              <w:t>Šiame rašte išdėstyti pasiūlymai dėl projekto papildymo grindžiami šiais argumentais:</w:t>
            </w:r>
          </w:p>
          <w:p w14:paraId="73893B6A" w14:textId="77777777" w:rsidR="006827BE" w:rsidRPr="00936E6C" w:rsidRDefault="006827BE" w:rsidP="00690950">
            <w:pPr>
              <w:pStyle w:val="prastasiniatinklio"/>
              <w:spacing w:before="0" w:beforeAutospacing="0" w:after="120" w:afterAutospacing="0"/>
              <w:ind w:firstLine="851"/>
              <w:contextualSpacing/>
              <w:jc w:val="both"/>
              <w:rPr>
                <w:bCs/>
              </w:rPr>
            </w:pPr>
            <w:r w:rsidRPr="00936E6C">
              <w:rPr>
                <w:bCs/>
              </w:rPr>
              <w:t xml:space="preserve">(1) pagal esamą viešosios geležinkelių infrastruktūros valdytojo patikėjimo teise valdomos ne geležinkelių transporto eismui skirtos infrastruktūros (pervažų, perėjų, kelių transporto ir (ar) pėsčiųjų eismui skirtų pralaidų, viadukų ir tunelių) įrengimo, rekonstravimo, modernizavimo ir remonto darbų finansavimo modelį šie darbai yra finansuojami iš viešosios geležinkelių infrastruktūros valdytojui skirtų lėšų. Ši finansinė našta nėra proporcinga, nes, pvz., funkciškai pervaža yra automobilių kelio </w:t>
            </w:r>
            <w:r w:rsidRPr="00936E6C">
              <w:rPr>
                <w:bCs/>
              </w:rPr>
              <w:lastRenderedPageBreak/>
              <w:t>dalis, analogiškai kaip automobilių viadukas virš geležinkelio kelio. Pervažos klojinys dėvisi tik dėl automobilių transporto poveikio. Dėl automobilių transporto sukeliamų apkrovų reikia dažniau (papildomai) remontuoti pervažos ribose esančią sankasą ir geležinkelio kelio viršutinę konstrukciją negu sankasą ir geležinkelio kelio viršutinę konstrukciją, kuri yra ne pervažoje;</w:t>
            </w:r>
          </w:p>
          <w:p w14:paraId="72B957ED" w14:textId="724D439C" w:rsidR="006827BE" w:rsidRPr="00936E6C" w:rsidRDefault="006827BE" w:rsidP="00690950">
            <w:pPr>
              <w:pStyle w:val="prastasiniatinklio"/>
              <w:widowControl w:val="0"/>
              <w:spacing w:before="0" w:beforeAutospacing="0" w:after="120" w:afterAutospacing="0"/>
              <w:ind w:firstLine="851"/>
              <w:contextualSpacing/>
              <w:jc w:val="both"/>
              <w:rPr>
                <w:bCs/>
              </w:rPr>
            </w:pPr>
            <w:r w:rsidRPr="00936E6C">
              <w:rPr>
                <w:bCs/>
              </w:rPr>
              <w:t xml:space="preserve">(2) už automobilių kelių (tuo pačiu ir tuose keliuose esančios geležinkelio infrastruktūros) naudojimąsi surinkti mokesčiai skiriami automobilių kelių priežiūrai, remontui ir įrengimui, o šiuose keliuose esančios viešosios geležinkelių infrastruktūros valdytojo patikėjimo teise valdomos ne geležinkelių transporto eismui skirtos infrastruktūros priežiūrai, remontui ir įrengimui – neskiriami. </w:t>
            </w:r>
          </w:p>
          <w:p w14:paraId="1927A931" w14:textId="77777777" w:rsidR="006827BE" w:rsidRPr="00936E6C" w:rsidRDefault="006827BE" w:rsidP="00690950">
            <w:pPr>
              <w:pStyle w:val="prastasiniatinklio"/>
              <w:widowControl w:val="0"/>
              <w:spacing w:before="0" w:beforeAutospacing="0" w:after="120" w:afterAutospacing="0"/>
              <w:ind w:firstLine="851"/>
              <w:contextualSpacing/>
              <w:jc w:val="both"/>
              <w:rPr>
                <w:bCs/>
              </w:rPr>
            </w:pPr>
          </w:p>
          <w:p w14:paraId="208EE156" w14:textId="4FC4F365" w:rsidR="006827BE" w:rsidRPr="00936E6C" w:rsidRDefault="006827BE" w:rsidP="00690950">
            <w:pPr>
              <w:pStyle w:val="prastasiniatinklio"/>
              <w:spacing w:before="0" w:beforeAutospacing="0" w:after="120" w:afterAutospacing="0"/>
              <w:contextualSpacing/>
              <w:jc w:val="both"/>
              <w:rPr>
                <w:bCs/>
              </w:rPr>
            </w:pPr>
            <w:r w:rsidRPr="00936E6C">
              <w:rPr>
                <w:bCs/>
              </w:rPr>
              <w:t>Įvertinus pateiktus argumentus, pervažos reikalingos ir jomis naudojasi tik automobilių transportas, pėsčiųjų viadukais per geležinkelio kelius naudojasi ne tik traukinių keleiviai, bet ir gyventojai arba tik gyventojai, tačiau visa finansinė našta, susijusi su ne geležinkelių transporto eismui skirtos infrastruktūros statybos, rekonstravimo, modernizavimo ir remonto darbų finansavimu, tenka tik geležinkelių infrastruktūros valdytojui.</w:t>
            </w:r>
          </w:p>
          <w:p w14:paraId="51BA4747" w14:textId="77777777" w:rsidR="006827BE" w:rsidRPr="00936E6C" w:rsidRDefault="006827BE" w:rsidP="00690950">
            <w:pPr>
              <w:pStyle w:val="prastasiniatinklio"/>
              <w:spacing w:before="0" w:beforeAutospacing="0" w:after="120" w:afterAutospacing="0"/>
              <w:contextualSpacing/>
              <w:jc w:val="both"/>
              <w:rPr>
                <w:bCs/>
              </w:rPr>
            </w:pPr>
          </w:p>
          <w:p w14:paraId="08C0AFA1" w14:textId="155D588C" w:rsidR="006827BE" w:rsidRPr="00936E6C" w:rsidRDefault="006827BE" w:rsidP="00690950">
            <w:pPr>
              <w:pStyle w:val="prastasiniatinklio"/>
              <w:widowControl w:val="0"/>
              <w:spacing w:before="0" w:beforeAutospacing="0" w:after="120" w:afterAutospacing="0"/>
              <w:contextualSpacing/>
              <w:jc w:val="both"/>
              <w:rPr>
                <w:bCs/>
              </w:rPr>
            </w:pPr>
            <w:r w:rsidRPr="00936E6C">
              <w:rPr>
                <w:bCs/>
              </w:rPr>
              <w:t xml:space="preserve">Pažymėtina, kad pasiūlymo įtraukimas į projektą, atitinkamai, jo įgyvendinimas yra labai svarbus LTG </w:t>
            </w:r>
            <w:proofErr w:type="spellStart"/>
            <w:r w:rsidRPr="00936E6C">
              <w:rPr>
                <w:bCs/>
              </w:rPr>
              <w:t>Infra</w:t>
            </w:r>
            <w:proofErr w:type="spellEnd"/>
            <w:r w:rsidRPr="00936E6C">
              <w:rPr>
                <w:bCs/>
              </w:rPr>
              <w:t xml:space="preserve"> Valdytojui, kuris, siekdamas didinti geležinkelių transporto eismo saugą pervažose, iki 2030 m. yra numatęs suremontuoti 50 viešojo naudojimo pervažų (numatoma išlaidų suma apie 16,8 mln. Eur), modernizuoti 11 pėsčiųjų tiltų (viadukų) (numatoma išlaidų suma apie 7 mln. Eur.), taip pat modernizuoti 26 prioritetines viešojo naudojimo pervažas (numatoma išlaidų suma apie 7 mln. Eur). Valdytojo skaičiavimais viešojo naudojimo pervažų ir pėsčiųjų tiltų (viadukų) remontui ir modernizavimo išlaidos gali siekti apie 30,9 mln. Eur.</w:t>
            </w:r>
          </w:p>
          <w:p w14:paraId="391AAF54" w14:textId="77777777" w:rsidR="006827BE" w:rsidRPr="00936E6C" w:rsidRDefault="006827BE" w:rsidP="00690950">
            <w:pPr>
              <w:pStyle w:val="prastasiniatinklio"/>
              <w:widowControl w:val="0"/>
              <w:spacing w:before="0" w:beforeAutospacing="0" w:after="120" w:afterAutospacing="0"/>
              <w:contextualSpacing/>
              <w:jc w:val="both"/>
              <w:rPr>
                <w:bCs/>
              </w:rPr>
            </w:pPr>
          </w:p>
          <w:p w14:paraId="16451C36" w14:textId="7DC45BBC" w:rsidR="006827BE" w:rsidRPr="00936E6C" w:rsidRDefault="006827BE" w:rsidP="00690950">
            <w:pPr>
              <w:pStyle w:val="prastasiniatinklio"/>
              <w:spacing w:before="0" w:beforeAutospacing="0" w:after="120" w:afterAutospacing="0"/>
              <w:contextualSpacing/>
              <w:jc w:val="both"/>
              <w:rPr>
                <w:bCs/>
              </w:rPr>
            </w:pPr>
            <w:r w:rsidRPr="00936E6C">
              <w:rPr>
                <w:bCs/>
              </w:rPr>
              <w:t>Papildomai pažymėtina, kad šiuo metu Lietuvoje yra 541 viešojo naudojimo pervaža, kurių priežiūrai per metus vidutiniškai reikia skirti apie 3 mln. Eur. Preliminariais Valdytojo skaičiavimais viešojo naudojimo pervažų, perėjų ir pėsčiųjų tiltų (viadukų) priežiūros, remonto ir modernizavimo išlaidos iki 2030 m. gali siekti vidutiniškai apie 11,73 mln. Eur. per metus:</w:t>
            </w:r>
          </w:p>
          <w:tbl>
            <w:tblPr>
              <w:tblW w:w="7671" w:type="dxa"/>
              <w:tblInd w:w="5" w:type="dxa"/>
              <w:tblLayout w:type="fixed"/>
              <w:tblLook w:val="04A0" w:firstRow="1" w:lastRow="0" w:firstColumn="1" w:lastColumn="0" w:noHBand="0" w:noVBand="1"/>
            </w:tblPr>
            <w:tblGrid>
              <w:gridCol w:w="5919"/>
              <w:gridCol w:w="1444"/>
              <w:gridCol w:w="308"/>
            </w:tblGrid>
            <w:tr w:rsidR="006827BE" w:rsidRPr="00936E6C" w14:paraId="3DCF4A40" w14:textId="77777777" w:rsidTr="009157E1">
              <w:trPr>
                <w:gridAfter w:val="1"/>
                <w:wAfter w:w="308" w:type="dxa"/>
                <w:trHeight w:val="739"/>
              </w:trPr>
              <w:tc>
                <w:tcPr>
                  <w:tcW w:w="5919" w:type="dxa"/>
                  <w:vMerge w:val="restart"/>
                  <w:tcBorders>
                    <w:top w:val="single" w:sz="8" w:space="0" w:color="auto"/>
                    <w:left w:val="single" w:sz="4" w:space="0" w:color="auto"/>
                    <w:bottom w:val="single" w:sz="8" w:space="0" w:color="000000"/>
                    <w:right w:val="single" w:sz="4" w:space="0" w:color="auto"/>
                  </w:tcBorders>
                  <w:shd w:val="clear" w:color="auto" w:fill="FFFFFF" w:themeFill="background1"/>
                  <w:noWrap/>
                  <w:vAlign w:val="center"/>
                  <w:hideMark/>
                </w:tcPr>
                <w:p w14:paraId="7458010E" w14:textId="77777777" w:rsidR="006827BE" w:rsidRPr="00936E6C" w:rsidRDefault="006827BE" w:rsidP="005E2431">
                  <w:pPr>
                    <w:framePr w:hSpace="180" w:wrap="around" w:vAnchor="text" w:hAnchor="text" w:x="-289" w:y="1"/>
                    <w:spacing w:after="120" w:line="240" w:lineRule="auto"/>
                    <w:suppressOverlap/>
                    <w:jc w:val="center"/>
                    <w:rPr>
                      <w:rFonts w:ascii="Times New Roman" w:hAnsi="Times New Roman" w:cs="Times New Roman"/>
                      <w:color w:val="000000"/>
                      <w:sz w:val="24"/>
                      <w:szCs w:val="24"/>
                    </w:rPr>
                  </w:pPr>
                  <w:r w:rsidRPr="00936E6C">
                    <w:rPr>
                      <w:rFonts w:ascii="Times New Roman" w:hAnsi="Times New Roman" w:cs="Times New Roman"/>
                      <w:color w:val="000000"/>
                      <w:sz w:val="24"/>
                      <w:szCs w:val="24"/>
                    </w:rPr>
                    <w:t xml:space="preserve">Valdytojo numatomos įgyvendinti programos, kurioms reikalingos papildomos valstybės biudžeto lėšos </w:t>
                  </w:r>
                </w:p>
              </w:tc>
              <w:tc>
                <w:tcPr>
                  <w:tcW w:w="1444" w:type="dxa"/>
                  <w:vMerge w:val="restart"/>
                  <w:tcBorders>
                    <w:top w:val="single" w:sz="8" w:space="0" w:color="auto"/>
                    <w:left w:val="single" w:sz="4" w:space="0" w:color="auto"/>
                    <w:bottom w:val="single" w:sz="8" w:space="0" w:color="000000"/>
                    <w:right w:val="single" w:sz="4" w:space="0" w:color="auto"/>
                  </w:tcBorders>
                  <w:shd w:val="clear" w:color="auto" w:fill="FFFFFF" w:themeFill="background1"/>
                  <w:vAlign w:val="center"/>
                  <w:hideMark/>
                </w:tcPr>
                <w:p w14:paraId="6F2D7430" w14:textId="77777777" w:rsidR="006827BE" w:rsidRPr="00936E6C" w:rsidRDefault="006827BE" w:rsidP="005E2431">
                  <w:pPr>
                    <w:framePr w:hSpace="180" w:wrap="around" w:vAnchor="text" w:hAnchor="text" w:x="-289" w:y="1"/>
                    <w:spacing w:after="120" w:line="240" w:lineRule="auto"/>
                    <w:suppressOverlap/>
                    <w:jc w:val="center"/>
                    <w:rPr>
                      <w:rFonts w:ascii="Times New Roman" w:hAnsi="Times New Roman" w:cs="Times New Roman"/>
                      <w:color w:val="000000"/>
                      <w:sz w:val="24"/>
                      <w:szCs w:val="24"/>
                    </w:rPr>
                  </w:pPr>
                  <w:r w:rsidRPr="00936E6C">
                    <w:rPr>
                      <w:rFonts w:ascii="Times New Roman" w:hAnsi="Times New Roman" w:cs="Times New Roman"/>
                      <w:color w:val="000000"/>
                      <w:sz w:val="24"/>
                      <w:szCs w:val="24"/>
                    </w:rPr>
                    <w:t xml:space="preserve">Lėšų poreikis </w:t>
                  </w:r>
                  <w:r w:rsidRPr="00936E6C">
                    <w:rPr>
                      <w:rFonts w:ascii="Times New Roman" w:hAnsi="Times New Roman" w:cs="Times New Roman"/>
                      <w:color w:val="000000"/>
                      <w:sz w:val="24"/>
                      <w:szCs w:val="24"/>
                    </w:rPr>
                    <w:lastRenderedPageBreak/>
                    <w:t>vidutiniškai per metus, mln. Eur*</w:t>
                  </w:r>
                </w:p>
              </w:tc>
            </w:tr>
            <w:tr w:rsidR="006827BE" w:rsidRPr="00936E6C" w14:paraId="7C5AA5B3" w14:textId="77777777" w:rsidTr="009157E1">
              <w:trPr>
                <w:trHeight w:val="369"/>
              </w:trPr>
              <w:tc>
                <w:tcPr>
                  <w:tcW w:w="5919" w:type="dxa"/>
                  <w:vMerge/>
                  <w:tcBorders>
                    <w:top w:val="single" w:sz="8" w:space="0" w:color="auto"/>
                    <w:left w:val="single" w:sz="4" w:space="0" w:color="auto"/>
                    <w:bottom w:val="single" w:sz="8" w:space="0" w:color="000000"/>
                    <w:right w:val="single" w:sz="4" w:space="0" w:color="auto"/>
                  </w:tcBorders>
                  <w:shd w:val="clear" w:color="auto" w:fill="FFFFFF" w:themeFill="background1"/>
                  <w:vAlign w:val="center"/>
                  <w:hideMark/>
                </w:tcPr>
                <w:p w14:paraId="546059FB" w14:textId="77777777" w:rsidR="006827BE" w:rsidRPr="00936E6C" w:rsidRDefault="006827BE" w:rsidP="005E2431">
                  <w:pPr>
                    <w:framePr w:hSpace="180" w:wrap="around" w:vAnchor="text" w:hAnchor="text" w:x="-289" w:y="1"/>
                    <w:spacing w:after="120" w:line="240" w:lineRule="auto"/>
                    <w:suppressOverlap/>
                    <w:rPr>
                      <w:rFonts w:ascii="Times New Roman" w:hAnsi="Times New Roman" w:cs="Times New Roman"/>
                      <w:color w:val="000000"/>
                      <w:sz w:val="24"/>
                      <w:szCs w:val="24"/>
                    </w:rPr>
                  </w:pPr>
                </w:p>
              </w:tc>
              <w:tc>
                <w:tcPr>
                  <w:tcW w:w="1444" w:type="dxa"/>
                  <w:vMerge/>
                  <w:tcBorders>
                    <w:top w:val="single" w:sz="8" w:space="0" w:color="auto"/>
                    <w:left w:val="single" w:sz="4" w:space="0" w:color="auto"/>
                    <w:bottom w:val="single" w:sz="8" w:space="0" w:color="000000"/>
                    <w:right w:val="single" w:sz="4" w:space="0" w:color="auto"/>
                  </w:tcBorders>
                  <w:shd w:val="clear" w:color="auto" w:fill="FFFFFF" w:themeFill="background1"/>
                  <w:vAlign w:val="center"/>
                  <w:hideMark/>
                </w:tcPr>
                <w:p w14:paraId="0F68DF22" w14:textId="77777777" w:rsidR="006827BE" w:rsidRPr="00936E6C" w:rsidRDefault="006827BE" w:rsidP="005E2431">
                  <w:pPr>
                    <w:framePr w:hSpace="180" w:wrap="around" w:vAnchor="text" w:hAnchor="text" w:x="-289" w:y="1"/>
                    <w:spacing w:after="120" w:line="240" w:lineRule="auto"/>
                    <w:suppressOverlap/>
                    <w:rPr>
                      <w:rFonts w:ascii="Times New Roman" w:hAnsi="Times New Roman" w:cs="Times New Roman"/>
                      <w:color w:val="000000"/>
                      <w:sz w:val="24"/>
                      <w:szCs w:val="24"/>
                    </w:rPr>
                  </w:pPr>
                </w:p>
              </w:tc>
              <w:tc>
                <w:tcPr>
                  <w:tcW w:w="308" w:type="dxa"/>
                  <w:tcBorders>
                    <w:top w:val="nil"/>
                    <w:left w:val="nil"/>
                    <w:bottom w:val="nil"/>
                    <w:right w:val="nil"/>
                  </w:tcBorders>
                  <w:shd w:val="clear" w:color="auto" w:fill="auto"/>
                  <w:noWrap/>
                  <w:vAlign w:val="bottom"/>
                  <w:hideMark/>
                </w:tcPr>
                <w:p w14:paraId="4544D2E0" w14:textId="77777777" w:rsidR="006827BE" w:rsidRPr="00936E6C" w:rsidRDefault="006827BE" w:rsidP="005E2431">
                  <w:pPr>
                    <w:framePr w:hSpace="180" w:wrap="around" w:vAnchor="text" w:hAnchor="text" w:x="-289" w:y="1"/>
                    <w:spacing w:after="120" w:line="240" w:lineRule="auto"/>
                    <w:suppressOverlap/>
                    <w:jc w:val="center"/>
                    <w:rPr>
                      <w:rFonts w:ascii="Times New Roman" w:hAnsi="Times New Roman" w:cs="Times New Roman"/>
                      <w:color w:val="000000"/>
                      <w:sz w:val="24"/>
                      <w:szCs w:val="24"/>
                    </w:rPr>
                  </w:pPr>
                </w:p>
              </w:tc>
            </w:tr>
            <w:tr w:rsidR="006827BE" w:rsidRPr="00936E6C" w14:paraId="21E3A61C" w14:textId="77777777" w:rsidTr="001E2C54">
              <w:trPr>
                <w:trHeight w:val="162"/>
              </w:trPr>
              <w:tc>
                <w:tcPr>
                  <w:tcW w:w="5919" w:type="dxa"/>
                  <w:vMerge/>
                  <w:tcBorders>
                    <w:top w:val="single" w:sz="8" w:space="0" w:color="auto"/>
                    <w:left w:val="single" w:sz="4" w:space="0" w:color="auto"/>
                    <w:bottom w:val="single" w:sz="8" w:space="0" w:color="000000"/>
                    <w:right w:val="single" w:sz="4" w:space="0" w:color="auto"/>
                  </w:tcBorders>
                  <w:shd w:val="clear" w:color="auto" w:fill="FFFFFF" w:themeFill="background1"/>
                  <w:vAlign w:val="center"/>
                  <w:hideMark/>
                </w:tcPr>
                <w:p w14:paraId="3C93CB6C" w14:textId="77777777" w:rsidR="006827BE" w:rsidRPr="00936E6C" w:rsidRDefault="006827BE" w:rsidP="005E2431">
                  <w:pPr>
                    <w:framePr w:hSpace="180" w:wrap="around" w:vAnchor="text" w:hAnchor="text" w:x="-289" w:y="1"/>
                    <w:spacing w:after="120" w:line="240" w:lineRule="auto"/>
                    <w:suppressOverlap/>
                    <w:rPr>
                      <w:rFonts w:ascii="Times New Roman" w:hAnsi="Times New Roman" w:cs="Times New Roman"/>
                      <w:color w:val="000000"/>
                      <w:sz w:val="24"/>
                      <w:szCs w:val="24"/>
                    </w:rPr>
                  </w:pPr>
                </w:p>
              </w:tc>
              <w:tc>
                <w:tcPr>
                  <w:tcW w:w="1444" w:type="dxa"/>
                  <w:vMerge/>
                  <w:tcBorders>
                    <w:top w:val="single" w:sz="8" w:space="0" w:color="auto"/>
                    <w:left w:val="single" w:sz="4" w:space="0" w:color="auto"/>
                    <w:bottom w:val="single" w:sz="8" w:space="0" w:color="000000"/>
                    <w:right w:val="single" w:sz="4" w:space="0" w:color="auto"/>
                  </w:tcBorders>
                  <w:shd w:val="clear" w:color="auto" w:fill="FFFFFF" w:themeFill="background1"/>
                  <w:vAlign w:val="center"/>
                  <w:hideMark/>
                </w:tcPr>
                <w:p w14:paraId="0CEFD0C5" w14:textId="77777777" w:rsidR="006827BE" w:rsidRPr="00936E6C" w:rsidRDefault="006827BE" w:rsidP="005E2431">
                  <w:pPr>
                    <w:framePr w:hSpace="180" w:wrap="around" w:vAnchor="text" w:hAnchor="text" w:x="-289" w:y="1"/>
                    <w:spacing w:after="120" w:line="240" w:lineRule="auto"/>
                    <w:suppressOverlap/>
                    <w:rPr>
                      <w:rFonts w:ascii="Times New Roman" w:hAnsi="Times New Roman" w:cs="Times New Roman"/>
                      <w:color w:val="000000"/>
                      <w:sz w:val="24"/>
                      <w:szCs w:val="24"/>
                    </w:rPr>
                  </w:pPr>
                </w:p>
              </w:tc>
              <w:tc>
                <w:tcPr>
                  <w:tcW w:w="308" w:type="dxa"/>
                  <w:tcBorders>
                    <w:top w:val="nil"/>
                    <w:left w:val="nil"/>
                    <w:bottom w:val="nil"/>
                    <w:right w:val="nil"/>
                  </w:tcBorders>
                  <w:shd w:val="clear" w:color="auto" w:fill="auto"/>
                  <w:noWrap/>
                  <w:vAlign w:val="bottom"/>
                  <w:hideMark/>
                </w:tcPr>
                <w:p w14:paraId="6728C392" w14:textId="77777777" w:rsidR="006827BE" w:rsidRPr="00936E6C" w:rsidRDefault="006827BE" w:rsidP="005E2431">
                  <w:pPr>
                    <w:framePr w:hSpace="180" w:wrap="around" w:vAnchor="text" w:hAnchor="text" w:x="-289" w:y="1"/>
                    <w:spacing w:after="120" w:line="240" w:lineRule="auto"/>
                    <w:suppressOverlap/>
                    <w:rPr>
                      <w:rFonts w:ascii="Times New Roman" w:hAnsi="Times New Roman" w:cs="Times New Roman"/>
                      <w:sz w:val="24"/>
                      <w:szCs w:val="24"/>
                    </w:rPr>
                  </w:pPr>
                </w:p>
              </w:tc>
            </w:tr>
            <w:tr w:rsidR="006827BE" w:rsidRPr="00936E6C" w14:paraId="1D13142C" w14:textId="77777777" w:rsidTr="009157E1">
              <w:trPr>
                <w:trHeight w:val="378"/>
              </w:trPr>
              <w:tc>
                <w:tcPr>
                  <w:tcW w:w="591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568537E" w14:textId="77777777" w:rsidR="006827BE" w:rsidRPr="00936E6C" w:rsidRDefault="006827BE" w:rsidP="005E2431">
                  <w:pPr>
                    <w:framePr w:hSpace="180" w:wrap="around" w:vAnchor="text" w:hAnchor="text" w:x="-289" w:y="1"/>
                    <w:spacing w:after="120" w:line="240" w:lineRule="auto"/>
                    <w:suppressOverlap/>
                    <w:rPr>
                      <w:rFonts w:ascii="Times New Roman" w:hAnsi="Times New Roman" w:cs="Times New Roman"/>
                      <w:color w:val="000000"/>
                      <w:sz w:val="24"/>
                      <w:szCs w:val="24"/>
                    </w:rPr>
                  </w:pPr>
                  <w:r w:rsidRPr="00936E6C">
                    <w:rPr>
                      <w:rFonts w:ascii="Times New Roman" w:hAnsi="Times New Roman" w:cs="Times New Roman"/>
                      <w:color w:val="000000"/>
                      <w:sz w:val="24"/>
                      <w:szCs w:val="24"/>
                    </w:rPr>
                    <w:t>Pervažų priežiūra</w:t>
                  </w:r>
                </w:p>
              </w:tc>
              <w:tc>
                <w:tcPr>
                  <w:tcW w:w="1444" w:type="dxa"/>
                  <w:tcBorders>
                    <w:top w:val="nil"/>
                    <w:left w:val="nil"/>
                    <w:bottom w:val="single" w:sz="4" w:space="0" w:color="auto"/>
                    <w:right w:val="single" w:sz="4" w:space="0" w:color="auto"/>
                  </w:tcBorders>
                  <w:shd w:val="clear" w:color="auto" w:fill="FFFFFF" w:themeFill="background1"/>
                  <w:noWrap/>
                  <w:vAlign w:val="bottom"/>
                  <w:hideMark/>
                </w:tcPr>
                <w:p w14:paraId="7E57E202" w14:textId="77777777" w:rsidR="006827BE" w:rsidRPr="00936E6C" w:rsidRDefault="006827BE" w:rsidP="005E2431">
                  <w:pPr>
                    <w:framePr w:hSpace="180" w:wrap="around" w:vAnchor="text" w:hAnchor="text" w:x="-289" w:y="1"/>
                    <w:spacing w:after="120" w:line="240" w:lineRule="auto"/>
                    <w:suppressOverlap/>
                    <w:jc w:val="right"/>
                    <w:rPr>
                      <w:rFonts w:ascii="Times New Roman" w:hAnsi="Times New Roman" w:cs="Times New Roman"/>
                      <w:color w:val="000000"/>
                      <w:sz w:val="24"/>
                      <w:szCs w:val="24"/>
                    </w:rPr>
                  </w:pPr>
                  <w:r w:rsidRPr="00936E6C">
                    <w:rPr>
                      <w:rFonts w:ascii="Times New Roman" w:hAnsi="Times New Roman" w:cs="Times New Roman"/>
                      <w:color w:val="000000"/>
                      <w:sz w:val="24"/>
                      <w:szCs w:val="24"/>
                    </w:rPr>
                    <w:t>3</w:t>
                  </w:r>
                </w:p>
              </w:tc>
              <w:tc>
                <w:tcPr>
                  <w:tcW w:w="308" w:type="dxa"/>
                  <w:vAlign w:val="center"/>
                  <w:hideMark/>
                </w:tcPr>
                <w:p w14:paraId="0C8673BF" w14:textId="77777777" w:rsidR="006827BE" w:rsidRPr="00936E6C" w:rsidRDefault="006827BE" w:rsidP="005E2431">
                  <w:pPr>
                    <w:framePr w:hSpace="180" w:wrap="around" w:vAnchor="text" w:hAnchor="text" w:x="-289" w:y="1"/>
                    <w:spacing w:after="120" w:line="240" w:lineRule="auto"/>
                    <w:suppressOverlap/>
                    <w:rPr>
                      <w:rFonts w:ascii="Times New Roman" w:hAnsi="Times New Roman" w:cs="Times New Roman"/>
                      <w:sz w:val="24"/>
                      <w:szCs w:val="24"/>
                    </w:rPr>
                  </w:pPr>
                </w:p>
              </w:tc>
            </w:tr>
            <w:tr w:rsidR="006827BE" w:rsidRPr="00936E6C" w14:paraId="76B746F3" w14:textId="77777777" w:rsidTr="009157E1">
              <w:trPr>
                <w:trHeight w:val="369"/>
              </w:trPr>
              <w:tc>
                <w:tcPr>
                  <w:tcW w:w="591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FF98EC8" w14:textId="77777777" w:rsidR="006827BE" w:rsidRPr="00936E6C" w:rsidRDefault="006827BE" w:rsidP="005E2431">
                  <w:pPr>
                    <w:framePr w:hSpace="180" w:wrap="around" w:vAnchor="text" w:hAnchor="text" w:x="-289" w:y="1"/>
                    <w:spacing w:after="120" w:line="240" w:lineRule="auto"/>
                    <w:suppressOverlap/>
                    <w:rPr>
                      <w:rFonts w:ascii="Times New Roman" w:hAnsi="Times New Roman" w:cs="Times New Roman"/>
                      <w:color w:val="000000"/>
                      <w:sz w:val="24"/>
                      <w:szCs w:val="24"/>
                    </w:rPr>
                  </w:pPr>
                  <w:r w:rsidRPr="00936E6C">
                    <w:rPr>
                      <w:rFonts w:ascii="Times New Roman" w:hAnsi="Times New Roman" w:cs="Times New Roman"/>
                      <w:color w:val="000000"/>
                      <w:sz w:val="24"/>
                      <w:szCs w:val="24"/>
                    </w:rPr>
                    <w:t xml:space="preserve">Pervažų remonto programa </w:t>
                  </w:r>
                </w:p>
              </w:tc>
              <w:tc>
                <w:tcPr>
                  <w:tcW w:w="1444" w:type="dxa"/>
                  <w:tcBorders>
                    <w:top w:val="nil"/>
                    <w:left w:val="nil"/>
                    <w:bottom w:val="single" w:sz="4" w:space="0" w:color="auto"/>
                    <w:right w:val="single" w:sz="4" w:space="0" w:color="auto"/>
                  </w:tcBorders>
                  <w:shd w:val="clear" w:color="auto" w:fill="FFFFFF" w:themeFill="background1"/>
                  <w:noWrap/>
                  <w:vAlign w:val="bottom"/>
                  <w:hideMark/>
                </w:tcPr>
                <w:p w14:paraId="23E794B4" w14:textId="77777777" w:rsidR="006827BE" w:rsidRPr="00936E6C" w:rsidRDefault="006827BE" w:rsidP="005E2431">
                  <w:pPr>
                    <w:framePr w:hSpace="180" w:wrap="around" w:vAnchor="text" w:hAnchor="text" w:x="-289" w:y="1"/>
                    <w:spacing w:after="120" w:line="240" w:lineRule="auto"/>
                    <w:suppressOverlap/>
                    <w:jc w:val="right"/>
                    <w:rPr>
                      <w:rFonts w:ascii="Times New Roman" w:hAnsi="Times New Roman" w:cs="Times New Roman"/>
                      <w:color w:val="000000"/>
                      <w:sz w:val="24"/>
                      <w:szCs w:val="24"/>
                    </w:rPr>
                  </w:pPr>
                  <w:r w:rsidRPr="00936E6C">
                    <w:rPr>
                      <w:rFonts w:ascii="Times New Roman" w:hAnsi="Times New Roman" w:cs="Times New Roman"/>
                      <w:color w:val="000000"/>
                      <w:sz w:val="24"/>
                      <w:szCs w:val="24"/>
                    </w:rPr>
                    <w:t>1,68</w:t>
                  </w:r>
                </w:p>
              </w:tc>
              <w:tc>
                <w:tcPr>
                  <w:tcW w:w="308" w:type="dxa"/>
                  <w:vAlign w:val="center"/>
                  <w:hideMark/>
                </w:tcPr>
                <w:p w14:paraId="06409596" w14:textId="77777777" w:rsidR="006827BE" w:rsidRPr="00936E6C" w:rsidRDefault="006827BE" w:rsidP="005E2431">
                  <w:pPr>
                    <w:framePr w:hSpace="180" w:wrap="around" w:vAnchor="text" w:hAnchor="text" w:x="-289" w:y="1"/>
                    <w:spacing w:after="120" w:line="240" w:lineRule="auto"/>
                    <w:suppressOverlap/>
                    <w:rPr>
                      <w:rFonts w:ascii="Times New Roman" w:hAnsi="Times New Roman" w:cs="Times New Roman"/>
                      <w:sz w:val="24"/>
                      <w:szCs w:val="24"/>
                    </w:rPr>
                  </w:pPr>
                </w:p>
              </w:tc>
            </w:tr>
            <w:tr w:rsidR="006827BE" w:rsidRPr="00936E6C" w14:paraId="10D0D473" w14:textId="77777777" w:rsidTr="009157E1">
              <w:trPr>
                <w:trHeight w:val="314"/>
              </w:trPr>
              <w:tc>
                <w:tcPr>
                  <w:tcW w:w="591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029BF9A" w14:textId="77777777" w:rsidR="006827BE" w:rsidRPr="00936E6C" w:rsidRDefault="006827BE" w:rsidP="005E2431">
                  <w:pPr>
                    <w:framePr w:hSpace="180" w:wrap="around" w:vAnchor="text" w:hAnchor="text" w:x="-289" w:y="1"/>
                    <w:spacing w:after="120" w:line="240" w:lineRule="auto"/>
                    <w:suppressOverlap/>
                    <w:rPr>
                      <w:rFonts w:ascii="Times New Roman" w:hAnsi="Times New Roman" w:cs="Times New Roman"/>
                      <w:color w:val="000000"/>
                      <w:sz w:val="24"/>
                      <w:szCs w:val="24"/>
                    </w:rPr>
                  </w:pPr>
                  <w:r w:rsidRPr="00936E6C">
                    <w:rPr>
                      <w:rFonts w:ascii="Times New Roman" w:hAnsi="Times New Roman" w:cs="Times New Roman"/>
                      <w:color w:val="000000"/>
                      <w:sz w:val="24"/>
                      <w:szCs w:val="24"/>
                    </w:rPr>
                    <w:t>Pervažų saugumo didinimo programa:</w:t>
                  </w:r>
                </w:p>
              </w:tc>
              <w:tc>
                <w:tcPr>
                  <w:tcW w:w="1444" w:type="dxa"/>
                  <w:tcBorders>
                    <w:top w:val="nil"/>
                    <w:left w:val="nil"/>
                    <w:bottom w:val="single" w:sz="4" w:space="0" w:color="auto"/>
                    <w:right w:val="single" w:sz="4" w:space="0" w:color="auto"/>
                  </w:tcBorders>
                  <w:shd w:val="clear" w:color="auto" w:fill="FFFFFF" w:themeFill="background1"/>
                  <w:noWrap/>
                  <w:vAlign w:val="bottom"/>
                  <w:hideMark/>
                </w:tcPr>
                <w:p w14:paraId="0CA8635F" w14:textId="77777777" w:rsidR="006827BE" w:rsidRPr="00936E6C" w:rsidRDefault="006827BE" w:rsidP="005E2431">
                  <w:pPr>
                    <w:framePr w:hSpace="180" w:wrap="around" w:vAnchor="text" w:hAnchor="text" w:x="-289" w:y="1"/>
                    <w:spacing w:after="120" w:line="240" w:lineRule="auto"/>
                    <w:suppressOverlap/>
                    <w:jc w:val="right"/>
                    <w:rPr>
                      <w:rFonts w:ascii="Times New Roman" w:hAnsi="Times New Roman" w:cs="Times New Roman"/>
                      <w:color w:val="000000"/>
                      <w:sz w:val="24"/>
                      <w:szCs w:val="24"/>
                    </w:rPr>
                  </w:pPr>
                  <w:r w:rsidRPr="00936E6C">
                    <w:rPr>
                      <w:rFonts w:ascii="Times New Roman" w:hAnsi="Times New Roman" w:cs="Times New Roman"/>
                      <w:color w:val="000000"/>
                      <w:sz w:val="24"/>
                      <w:szCs w:val="24"/>
                    </w:rPr>
                    <w:t>5,88</w:t>
                  </w:r>
                </w:p>
              </w:tc>
              <w:tc>
                <w:tcPr>
                  <w:tcW w:w="308" w:type="dxa"/>
                  <w:vAlign w:val="center"/>
                  <w:hideMark/>
                </w:tcPr>
                <w:p w14:paraId="32F8E0B2" w14:textId="77777777" w:rsidR="006827BE" w:rsidRPr="00936E6C" w:rsidRDefault="006827BE" w:rsidP="005E2431">
                  <w:pPr>
                    <w:framePr w:hSpace="180" w:wrap="around" w:vAnchor="text" w:hAnchor="text" w:x="-289" w:y="1"/>
                    <w:spacing w:after="120" w:line="240" w:lineRule="auto"/>
                    <w:suppressOverlap/>
                    <w:rPr>
                      <w:rFonts w:ascii="Times New Roman" w:hAnsi="Times New Roman" w:cs="Times New Roman"/>
                      <w:sz w:val="24"/>
                      <w:szCs w:val="24"/>
                    </w:rPr>
                  </w:pPr>
                </w:p>
              </w:tc>
            </w:tr>
            <w:tr w:rsidR="006827BE" w:rsidRPr="00936E6C" w14:paraId="52D3A529" w14:textId="77777777" w:rsidTr="009157E1">
              <w:trPr>
                <w:trHeight w:val="369"/>
              </w:trPr>
              <w:tc>
                <w:tcPr>
                  <w:tcW w:w="5919" w:type="dxa"/>
                  <w:tcBorders>
                    <w:top w:val="nil"/>
                    <w:left w:val="single" w:sz="4" w:space="0" w:color="auto"/>
                    <w:bottom w:val="single" w:sz="8" w:space="0" w:color="auto"/>
                    <w:right w:val="single" w:sz="4" w:space="0" w:color="auto"/>
                  </w:tcBorders>
                  <w:shd w:val="clear" w:color="auto" w:fill="FFFFFF" w:themeFill="background1"/>
                  <w:noWrap/>
                  <w:vAlign w:val="bottom"/>
                </w:tcPr>
                <w:p w14:paraId="3672F3B4" w14:textId="77777777" w:rsidR="006827BE" w:rsidRPr="00936E6C" w:rsidRDefault="006827BE" w:rsidP="005E2431">
                  <w:pPr>
                    <w:framePr w:hSpace="180" w:wrap="around" w:vAnchor="text" w:hAnchor="text" w:x="-289" w:y="1"/>
                    <w:spacing w:after="120" w:line="240" w:lineRule="auto"/>
                    <w:suppressOverlap/>
                    <w:rPr>
                      <w:rFonts w:ascii="Times New Roman" w:hAnsi="Times New Roman" w:cs="Times New Roman"/>
                      <w:color w:val="000000"/>
                      <w:sz w:val="24"/>
                      <w:szCs w:val="24"/>
                    </w:rPr>
                  </w:pPr>
                  <w:r w:rsidRPr="00936E6C">
                    <w:rPr>
                      <w:rFonts w:ascii="Times New Roman" w:hAnsi="Times New Roman" w:cs="Times New Roman"/>
                      <w:color w:val="000000"/>
                      <w:sz w:val="24"/>
                      <w:szCs w:val="24"/>
                    </w:rPr>
                    <w:t xml:space="preserve">Pėsčiųjų tiltų (viadukų) renovavimo programa </w:t>
                  </w:r>
                </w:p>
              </w:tc>
              <w:tc>
                <w:tcPr>
                  <w:tcW w:w="1444" w:type="dxa"/>
                  <w:tcBorders>
                    <w:top w:val="nil"/>
                    <w:left w:val="nil"/>
                    <w:bottom w:val="single" w:sz="8" w:space="0" w:color="auto"/>
                    <w:right w:val="single" w:sz="4" w:space="0" w:color="auto"/>
                  </w:tcBorders>
                  <w:shd w:val="clear" w:color="auto" w:fill="FFFFFF" w:themeFill="background1"/>
                  <w:noWrap/>
                  <w:vAlign w:val="bottom"/>
                </w:tcPr>
                <w:p w14:paraId="72FC1582" w14:textId="77777777" w:rsidR="006827BE" w:rsidRPr="00936E6C" w:rsidRDefault="006827BE" w:rsidP="005E2431">
                  <w:pPr>
                    <w:framePr w:hSpace="180" w:wrap="around" w:vAnchor="text" w:hAnchor="text" w:x="-289" w:y="1"/>
                    <w:spacing w:after="120" w:line="240" w:lineRule="auto"/>
                    <w:suppressOverlap/>
                    <w:jc w:val="right"/>
                    <w:rPr>
                      <w:rFonts w:ascii="Times New Roman" w:hAnsi="Times New Roman" w:cs="Times New Roman"/>
                      <w:color w:val="000000"/>
                      <w:sz w:val="24"/>
                      <w:szCs w:val="24"/>
                    </w:rPr>
                  </w:pPr>
                  <w:r w:rsidRPr="00936E6C">
                    <w:rPr>
                      <w:rFonts w:ascii="Times New Roman" w:hAnsi="Times New Roman" w:cs="Times New Roman"/>
                      <w:color w:val="000000"/>
                      <w:sz w:val="24"/>
                      <w:szCs w:val="24"/>
                    </w:rPr>
                    <w:t>1,17</w:t>
                  </w:r>
                </w:p>
              </w:tc>
              <w:tc>
                <w:tcPr>
                  <w:tcW w:w="308" w:type="dxa"/>
                  <w:vAlign w:val="center"/>
                </w:tcPr>
                <w:p w14:paraId="4BD20341" w14:textId="77777777" w:rsidR="006827BE" w:rsidRPr="00936E6C" w:rsidRDefault="006827BE" w:rsidP="005E2431">
                  <w:pPr>
                    <w:framePr w:hSpace="180" w:wrap="around" w:vAnchor="text" w:hAnchor="text" w:x="-289" w:y="1"/>
                    <w:spacing w:after="120" w:line="240" w:lineRule="auto"/>
                    <w:suppressOverlap/>
                    <w:rPr>
                      <w:rFonts w:ascii="Times New Roman" w:hAnsi="Times New Roman" w:cs="Times New Roman"/>
                      <w:sz w:val="24"/>
                      <w:szCs w:val="24"/>
                    </w:rPr>
                  </w:pPr>
                </w:p>
              </w:tc>
            </w:tr>
            <w:tr w:rsidR="006827BE" w:rsidRPr="00936E6C" w14:paraId="1CEE15A6" w14:textId="77777777" w:rsidTr="001E2C54">
              <w:trPr>
                <w:trHeight w:val="432"/>
              </w:trPr>
              <w:tc>
                <w:tcPr>
                  <w:tcW w:w="5919" w:type="dxa"/>
                  <w:tcBorders>
                    <w:top w:val="nil"/>
                    <w:left w:val="single" w:sz="4" w:space="0" w:color="auto"/>
                    <w:bottom w:val="single" w:sz="8" w:space="0" w:color="auto"/>
                    <w:right w:val="single" w:sz="4" w:space="0" w:color="auto"/>
                  </w:tcBorders>
                  <w:shd w:val="clear" w:color="auto" w:fill="FFFFFF" w:themeFill="background1"/>
                  <w:noWrap/>
                  <w:vAlign w:val="bottom"/>
                </w:tcPr>
                <w:p w14:paraId="1C73F9DA" w14:textId="72653745" w:rsidR="006827BE" w:rsidRPr="00936E6C" w:rsidRDefault="006827BE" w:rsidP="005E2431">
                  <w:pPr>
                    <w:framePr w:hSpace="180" w:wrap="around" w:vAnchor="text" w:hAnchor="text" w:x="-289" w:y="1"/>
                    <w:spacing w:after="120" w:line="240" w:lineRule="auto"/>
                    <w:suppressOverlap/>
                    <w:rPr>
                      <w:rFonts w:ascii="Times New Roman" w:hAnsi="Times New Roman" w:cs="Times New Roman"/>
                      <w:color w:val="000000"/>
                      <w:sz w:val="24"/>
                      <w:szCs w:val="24"/>
                    </w:rPr>
                  </w:pPr>
                  <w:r w:rsidRPr="00936E6C">
                    <w:rPr>
                      <w:rFonts w:ascii="Times New Roman" w:hAnsi="Times New Roman" w:cs="Times New Roman"/>
                      <w:color w:val="000000"/>
                      <w:sz w:val="24"/>
                      <w:szCs w:val="24"/>
                    </w:rPr>
                    <w:t>VISO:</w:t>
                  </w:r>
                </w:p>
              </w:tc>
              <w:tc>
                <w:tcPr>
                  <w:tcW w:w="1444" w:type="dxa"/>
                  <w:tcBorders>
                    <w:top w:val="nil"/>
                    <w:left w:val="nil"/>
                    <w:bottom w:val="single" w:sz="8" w:space="0" w:color="auto"/>
                    <w:right w:val="single" w:sz="4" w:space="0" w:color="auto"/>
                  </w:tcBorders>
                  <w:shd w:val="clear" w:color="auto" w:fill="FFFFFF" w:themeFill="background1"/>
                  <w:noWrap/>
                  <w:vAlign w:val="bottom"/>
                </w:tcPr>
                <w:p w14:paraId="2844DF83" w14:textId="77777777" w:rsidR="006827BE" w:rsidRPr="00936E6C" w:rsidRDefault="006827BE" w:rsidP="005E2431">
                  <w:pPr>
                    <w:framePr w:hSpace="180" w:wrap="around" w:vAnchor="text" w:hAnchor="text" w:x="-289" w:y="1"/>
                    <w:spacing w:after="120" w:line="240" w:lineRule="auto"/>
                    <w:suppressOverlap/>
                    <w:jc w:val="right"/>
                    <w:rPr>
                      <w:rFonts w:ascii="Times New Roman" w:hAnsi="Times New Roman" w:cs="Times New Roman"/>
                      <w:b/>
                      <w:bCs/>
                      <w:color w:val="000000"/>
                      <w:sz w:val="24"/>
                      <w:szCs w:val="24"/>
                    </w:rPr>
                  </w:pPr>
                  <w:r w:rsidRPr="00936E6C">
                    <w:rPr>
                      <w:rFonts w:ascii="Times New Roman" w:hAnsi="Times New Roman" w:cs="Times New Roman"/>
                      <w:b/>
                      <w:bCs/>
                      <w:color w:val="000000"/>
                      <w:sz w:val="24"/>
                      <w:szCs w:val="24"/>
                    </w:rPr>
                    <w:t>11,73</w:t>
                  </w:r>
                </w:p>
              </w:tc>
              <w:tc>
                <w:tcPr>
                  <w:tcW w:w="308" w:type="dxa"/>
                  <w:vAlign w:val="center"/>
                  <w:hideMark/>
                </w:tcPr>
                <w:p w14:paraId="753F6AB8" w14:textId="77777777" w:rsidR="006827BE" w:rsidRPr="00936E6C" w:rsidRDefault="006827BE" w:rsidP="005E2431">
                  <w:pPr>
                    <w:framePr w:hSpace="180" w:wrap="around" w:vAnchor="text" w:hAnchor="text" w:x="-289" w:y="1"/>
                    <w:spacing w:after="120" w:line="240" w:lineRule="auto"/>
                    <w:suppressOverlap/>
                    <w:rPr>
                      <w:rFonts w:ascii="Times New Roman" w:hAnsi="Times New Roman" w:cs="Times New Roman"/>
                      <w:b/>
                      <w:bCs/>
                      <w:sz w:val="24"/>
                      <w:szCs w:val="24"/>
                    </w:rPr>
                  </w:pPr>
                </w:p>
              </w:tc>
            </w:tr>
          </w:tbl>
          <w:p w14:paraId="58D1F07F" w14:textId="21927779" w:rsidR="006827BE" w:rsidRPr="00936E6C" w:rsidRDefault="006827BE" w:rsidP="00690950">
            <w:pPr>
              <w:pStyle w:val="prastasiniatinklio"/>
              <w:spacing w:before="0" w:beforeAutospacing="0" w:after="120" w:afterAutospacing="0"/>
              <w:ind w:firstLine="142"/>
              <w:jc w:val="both"/>
              <w:rPr>
                <w:bCs/>
              </w:rPr>
            </w:pPr>
            <w:r w:rsidRPr="00936E6C">
              <w:rPr>
                <w:bCs/>
              </w:rPr>
              <w:t xml:space="preserve">*2021 m. prognozė, remiantis AB „LTG </w:t>
            </w:r>
            <w:proofErr w:type="spellStart"/>
            <w:r w:rsidRPr="00936E6C">
              <w:rPr>
                <w:bCs/>
              </w:rPr>
              <w:t>Infra</w:t>
            </w:r>
            <w:proofErr w:type="spellEnd"/>
            <w:r w:rsidRPr="00936E6C">
              <w:rPr>
                <w:bCs/>
              </w:rPr>
              <w:t>“ veiklos planais</w:t>
            </w:r>
          </w:p>
          <w:p w14:paraId="55F0004D" w14:textId="407E143C" w:rsidR="006827BE" w:rsidRPr="00936E6C" w:rsidRDefault="006827BE" w:rsidP="00690950">
            <w:pPr>
              <w:pStyle w:val="prastasiniatinklio"/>
              <w:tabs>
                <w:tab w:val="left" w:pos="851"/>
              </w:tabs>
              <w:spacing w:before="0" w:beforeAutospacing="0" w:after="120" w:afterAutospacing="0"/>
              <w:jc w:val="both"/>
              <w:rPr>
                <w:color w:val="000000"/>
              </w:rPr>
            </w:pPr>
            <w:r w:rsidRPr="00936E6C">
              <w:rPr>
                <w:color w:val="000000"/>
              </w:rPr>
              <w:t xml:space="preserve">Atsižvelgus į tai, kas išdėstyta, prašome įtraukti į projektą aukščiau pateiktus pasiūlymus, taip pat įvertinti Valdytojo raštu teiktą pasiūlymą dėl Lietuvos Respublikos kelių įstatymo 2 ir 16 straipsnių pakeitimo, esant poreikiui, teikti jį kartu su projektu. </w:t>
            </w:r>
          </w:p>
        </w:tc>
        <w:tc>
          <w:tcPr>
            <w:tcW w:w="4967" w:type="dxa"/>
          </w:tcPr>
          <w:p w14:paraId="6823D48C" w14:textId="77777777" w:rsidR="006827BE" w:rsidRPr="00936E6C" w:rsidRDefault="006827BE" w:rsidP="00690950">
            <w:pPr>
              <w:tabs>
                <w:tab w:val="left" w:pos="317"/>
              </w:tabs>
              <w:spacing w:after="0" w:line="240" w:lineRule="auto"/>
              <w:jc w:val="both"/>
              <w:rPr>
                <w:rFonts w:ascii="Times New Roman" w:eastAsia="Calibri" w:hAnsi="Times New Roman" w:cs="Times New Roman"/>
                <w:b/>
                <w:sz w:val="24"/>
                <w:szCs w:val="24"/>
              </w:rPr>
            </w:pPr>
            <w:r w:rsidRPr="00936E6C">
              <w:rPr>
                <w:rFonts w:ascii="Times New Roman" w:eastAsia="Calibri" w:hAnsi="Times New Roman" w:cs="Times New Roman"/>
                <w:b/>
                <w:sz w:val="24"/>
                <w:szCs w:val="24"/>
              </w:rPr>
              <w:lastRenderedPageBreak/>
              <w:t>Neatsižvelgta.</w:t>
            </w:r>
          </w:p>
          <w:p w14:paraId="734866F5" w14:textId="4092CA43" w:rsidR="00DE6CBD" w:rsidRPr="00936E6C" w:rsidRDefault="001E2C54" w:rsidP="00690950">
            <w:pPr>
              <w:tabs>
                <w:tab w:val="left" w:pos="317"/>
              </w:tabs>
              <w:spacing w:after="0" w:line="240" w:lineRule="auto"/>
              <w:jc w:val="both"/>
              <w:rPr>
                <w:rFonts w:ascii="Times New Roman" w:eastAsia="Calibri" w:hAnsi="Times New Roman" w:cs="Times New Roman"/>
                <w:bCs/>
                <w:sz w:val="24"/>
                <w:szCs w:val="24"/>
                <w:highlight w:val="yellow"/>
              </w:rPr>
            </w:pPr>
            <w:r w:rsidRPr="00936E6C">
              <w:rPr>
                <w:rFonts w:ascii="Times New Roman" w:eastAsia="Calibri" w:hAnsi="Times New Roman" w:cs="Times New Roman"/>
                <w:bCs/>
                <w:sz w:val="24"/>
                <w:szCs w:val="24"/>
              </w:rPr>
              <w:t xml:space="preserve">Eismo saugos </w:t>
            </w:r>
            <w:r w:rsidR="00DD0E28" w:rsidRPr="00936E6C">
              <w:rPr>
                <w:rFonts w:ascii="Times New Roman" w:eastAsia="Calibri" w:hAnsi="Times New Roman" w:cs="Times New Roman"/>
                <w:bCs/>
                <w:sz w:val="24"/>
                <w:szCs w:val="24"/>
              </w:rPr>
              <w:t xml:space="preserve">atžvilgiu </w:t>
            </w:r>
            <w:r w:rsidRPr="00936E6C">
              <w:rPr>
                <w:rFonts w:ascii="Times New Roman" w:eastAsia="Calibri" w:hAnsi="Times New Roman" w:cs="Times New Roman"/>
                <w:bCs/>
                <w:sz w:val="24"/>
                <w:szCs w:val="24"/>
              </w:rPr>
              <w:t>pervaža</w:t>
            </w:r>
            <w:r w:rsidR="006963AB" w:rsidRPr="00936E6C">
              <w:rPr>
                <w:rFonts w:ascii="Times New Roman" w:eastAsia="Calibri" w:hAnsi="Times New Roman" w:cs="Times New Roman"/>
                <w:bCs/>
                <w:sz w:val="24"/>
                <w:szCs w:val="24"/>
              </w:rPr>
              <w:t>,  viadukas ar tunelis</w:t>
            </w:r>
            <w:r w:rsidRPr="00936E6C">
              <w:rPr>
                <w:rFonts w:ascii="Times New Roman" w:eastAsia="Calibri" w:hAnsi="Times New Roman" w:cs="Times New Roman"/>
                <w:bCs/>
                <w:sz w:val="24"/>
                <w:szCs w:val="24"/>
              </w:rPr>
              <w:t xml:space="preserve"> </w:t>
            </w:r>
            <w:r w:rsidR="006963AB" w:rsidRPr="00936E6C">
              <w:rPr>
                <w:rFonts w:ascii="Times New Roman" w:eastAsia="Calibri" w:hAnsi="Times New Roman" w:cs="Times New Roman"/>
                <w:bCs/>
                <w:sz w:val="24"/>
                <w:szCs w:val="24"/>
              </w:rPr>
              <w:t>iš esmės dažnu atveju y</w:t>
            </w:r>
            <w:r w:rsidRPr="00936E6C">
              <w:rPr>
                <w:rFonts w:ascii="Times New Roman" w:eastAsia="Calibri" w:hAnsi="Times New Roman" w:cs="Times New Roman"/>
                <w:bCs/>
                <w:sz w:val="24"/>
                <w:szCs w:val="24"/>
              </w:rPr>
              <w:t xml:space="preserve">ra bendras geležinkelių infrastruktūros ir kelių infrastruktūros projektas. </w:t>
            </w:r>
            <w:r w:rsidR="00AF3CBD" w:rsidRPr="00936E6C">
              <w:rPr>
                <w:rFonts w:ascii="Times New Roman" w:eastAsia="Calibri" w:hAnsi="Times New Roman" w:cs="Times New Roman"/>
                <w:bCs/>
                <w:sz w:val="24"/>
                <w:szCs w:val="24"/>
              </w:rPr>
              <w:t xml:space="preserve">Todėl </w:t>
            </w:r>
            <w:r w:rsidR="006963AB" w:rsidRPr="00936E6C">
              <w:rPr>
                <w:rFonts w:ascii="Times New Roman" w:eastAsia="Calibri" w:hAnsi="Times New Roman" w:cs="Times New Roman"/>
                <w:bCs/>
                <w:sz w:val="24"/>
                <w:szCs w:val="24"/>
              </w:rPr>
              <w:t>numatyti</w:t>
            </w:r>
            <w:r w:rsidR="00AF3CBD" w:rsidRPr="00936E6C">
              <w:rPr>
                <w:rFonts w:ascii="Times New Roman" w:eastAsia="Calibri" w:hAnsi="Times New Roman" w:cs="Times New Roman"/>
                <w:bCs/>
                <w:sz w:val="24"/>
                <w:szCs w:val="24"/>
              </w:rPr>
              <w:t xml:space="preserve"> atskirą finansavimą</w:t>
            </w:r>
            <w:r w:rsidR="00690950" w:rsidRPr="00936E6C">
              <w:rPr>
                <w:sz w:val="24"/>
                <w:szCs w:val="24"/>
              </w:rPr>
              <w:t xml:space="preserve"> </w:t>
            </w:r>
            <w:r w:rsidR="006939F6" w:rsidRPr="00936E6C">
              <w:rPr>
                <w:rFonts w:ascii="Times New Roman" w:hAnsi="Times New Roman" w:cs="Times New Roman"/>
                <w:sz w:val="24"/>
                <w:szCs w:val="24"/>
              </w:rPr>
              <w:t>tik</w:t>
            </w:r>
            <w:r w:rsidR="006939F6" w:rsidRPr="00936E6C">
              <w:rPr>
                <w:sz w:val="24"/>
                <w:szCs w:val="24"/>
              </w:rPr>
              <w:t xml:space="preserve"> </w:t>
            </w:r>
            <w:r w:rsidR="00690950" w:rsidRPr="00936E6C">
              <w:rPr>
                <w:rFonts w:ascii="Times New Roman" w:eastAsia="Calibri" w:hAnsi="Times New Roman" w:cs="Times New Roman"/>
                <w:bCs/>
                <w:sz w:val="24"/>
                <w:szCs w:val="24"/>
              </w:rPr>
              <w:t>viešosios geležinkelių infrastruktūros valdytoj</w:t>
            </w:r>
            <w:r w:rsidR="006939F6" w:rsidRPr="00936E6C">
              <w:rPr>
                <w:rFonts w:ascii="Times New Roman" w:eastAsia="Calibri" w:hAnsi="Times New Roman" w:cs="Times New Roman"/>
                <w:bCs/>
                <w:sz w:val="24"/>
                <w:szCs w:val="24"/>
              </w:rPr>
              <w:t xml:space="preserve">ui </w:t>
            </w:r>
            <w:r w:rsidR="00AF3CBD" w:rsidRPr="00936E6C">
              <w:rPr>
                <w:rFonts w:ascii="Times New Roman" w:eastAsia="Calibri" w:hAnsi="Times New Roman" w:cs="Times New Roman"/>
                <w:bCs/>
                <w:sz w:val="24"/>
                <w:szCs w:val="24"/>
              </w:rPr>
              <w:t xml:space="preserve">nėra tikslinga. </w:t>
            </w:r>
            <w:r w:rsidR="00133EBC">
              <w:rPr>
                <w:rFonts w:ascii="Times New Roman" w:eastAsia="Calibri" w:hAnsi="Times New Roman" w:cs="Times New Roman"/>
                <w:bCs/>
                <w:sz w:val="24"/>
                <w:szCs w:val="24"/>
              </w:rPr>
              <w:t xml:space="preserve">Dėl šio AB „LTG </w:t>
            </w:r>
            <w:proofErr w:type="spellStart"/>
            <w:r w:rsidR="00133EBC">
              <w:rPr>
                <w:rFonts w:ascii="Times New Roman" w:eastAsia="Calibri" w:hAnsi="Times New Roman" w:cs="Times New Roman"/>
                <w:bCs/>
                <w:sz w:val="24"/>
                <w:szCs w:val="24"/>
              </w:rPr>
              <w:t>Infra</w:t>
            </w:r>
            <w:proofErr w:type="spellEnd"/>
            <w:r w:rsidR="00133EBC">
              <w:rPr>
                <w:rFonts w:ascii="Times New Roman" w:eastAsia="Calibri" w:hAnsi="Times New Roman" w:cs="Times New Roman"/>
                <w:bCs/>
                <w:sz w:val="24"/>
                <w:szCs w:val="24"/>
              </w:rPr>
              <w:t>“ siūlymo ateityje reikėtų atskiros diskusijos.</w:t>
            </w:r>
          </w:p>
        </w:tc>
      </w:tr>
      <w:tr w:rsidR="006827BE" w:rsidRPr="00936E6C" w14:paraId="3899BA88" w14:textId="77777777" w:rsidTr="00D954BC">
        <w:tc>
          <w:tcPr>
            <w:tcW w:w="1985" w:type="dxa"/>
          </w:tcPr>
          <w:p w14:paraId="54721224" w14:textId="77777777" w:rsidR="006827BE" w:rsidRPr="00936E6C" w:rsidRDefault="006827BE" w:rsidP="00690950">
            <w:pPr>
              <w:spacing w:after="0" w:line="240" w:lineRule="auto"/>
              <w:jc w:val="both"/>
              <w:rPr>
                <w:rFonts w:ascii="Times New Roman" w:hAnsi="Times New Roman" w:cs="Times New Roman"/>
                <w:sz w:val="24"/>
                <w:szCs w:val="24"/>
              </w:rPr>
            </w:pPr>
            <w:bookmarkStart w:id="3" w:name="_Hlk81404220"/>
            <w:r w:rsidRPr="00936E6C">
              <w:rPr>
                <w:rFonts w:ascii="Times New Roman" w:hAnsi="Times New Roman" w:cs="Times New Roman"/>
                <w:sz w:val="24"/>
                <w:szCs w:val="24"/>
              </w:rPr>
              <w:lastRenderedPageBreak/>
              <w:t xml:space="preserve">Lietuvos </w:t>
            </w:r>
            <w:r w:rsidRPr="00936E6C">
              <w:rPr>
                <w:rFonts w:ascii="Times New Roman" w:hAnsi="Times New Roman" w:cs="Times New Roman"/>
                <w:sz w:val="24"/>
                <w:szCs w:val="24"/>
              </w:rPr>
              <w:tab/>
            </w:r>
          </w:p>
          <w:p w14:paraId="3191299E" w14:textId="6A983FAC" w:rsidR="006827BE" w:rsidRPr="00936E6C" w:rsidRDefault="006827BE" w:rsidP="00690950">
            <w:pPr>
              <w:spacing w:after="0" w:line="240" w:lineRule="auto"/>
              <w:jc w:val="both"/>
              <w:rPr>
                <w:rFonts w:ascii="Times New Roman" w:hAnsi="Times New Roman" w:cs="Times New Roman"/>
                <w:sz w:val="24"/>
                <w:szCs w:val="24"/>
              </w:rPr>
            </w:pPr>
            <w:r w:rsidRPr="00936E6C">
              <w:rPr>
                <w:rFonts w:ascii="Times New Roman" w:hAnsi="Times New Roman" w:cs="Times New Roman"/>
                <w:sz w:val="24"/>
                <w:szCs w:val="24"/>
              </w:rPr>
              <w:t>Respublikos socialinės apsaugos ir darbo ministerijos 2021 m. rugpjūčio 26 d. raštas Nr. (10.16Mr-48)SD-4054</w:t>
            </w:r>
          </w:p>
        </w:tc>
        <w:tc>
          <w:tcPr>
            <w:tcW w:w="8500" w:type="dxa"/>
          </w:tcPr>
          <w:p w14:paraId="3E356105" w14:textId="78FEF3BE" w:rsidR="006827BE" w:rsidRPr="00936E6C" w:rsidRDefault="006827BE" w:rsidP="00690950">
            <w:pPr>
              <w:pStyle w:val="Pagrindinistekstas"/>
              <w:jc w:val="both"/>
            </w:pPr>
            <w:r w:rsidRPr="00936E6C">
              <w:t xml:space="preserve">1. Siekiant skatinti neįgaliųjų socialinės integracijos procesą, stiprinti šeimų, auginančių vaikus su negalia, ir neįgaliųjų, kurie dėl neįgalumo negali vairuoti automobilių, socialinį saugumą ir suteikti didesnes galimybes aktyviai dalyvauti visuomenės gyvenime, siūlytina papildyti Lietuvos Respublikos kelių priežiūros ir plėtros programos finansavimo įstatymo 9 straipsnio 7 dalies 1 punktą ir jį išdėstyti taip: </w:t>
            </w:r>
          </w:p>
          <w:p w14:paraId="35AA088A" w14:textId="6CCEFC49" w:rsidR="006827BE" w:rsidRPr="00936E6C" w:rsidRDefault="006827BE" w:rsidP="00690950">
            <w:pPr>
              <w:pStyle w:val="Pagrindinistekstas"/>
              <w:jc w:val="both"/>
            </w:pPr>
            <w:r w:rsidRPr="00936E6C">
              <w:t>„1) neįgaliųjų ir jų nuosavybės ar kitokiu teisėtu pagrindu valdomų automobilių, kuriuos jie vairuoja arba kuriais jie važiuoja</w:t>
            </w:r>
            <w:r w:rsidRPr="00936E6C">
              <w:rPr>
                <w:b/>
                <w:bCs/>
              </w:rPr>
              <w:t>, ir automobilių, kuriais vežami neįgalieji</w:t>
            </w:r>
            <w:r w:rsidRPr="00936E6C">
              <w:t xml:space="preserve">.“ </w:t>
            </w:r>
          </w:p>
          <w:p w14:paraId="3427893C" w14:textId="77777777" w:rsidR="006827BE" w:rsidRPr="00936E6C" w:rsidRDefault="006827BE" w:rsidP="00690950">
            <w:pPr>
              <w:pStyle w:val="Pagrindinistekstas"/>
              <w:jc w:val="both"/>
            </w:pPr>
            <w:r w:rsidRPr="00936E6C">
              <w:t>2. Taip pat siūlytina įvertinti pridedamas Neįgaliųjų reikalų departamento prie Socialinės apsaugos ir darbo ministerijos ir neįgaliųjų nevyriausybinių organizacijų pateiktas pastabas ir pasiūlymus.</w:t>
            </w:r>
          </w:p>
          <w:p w14:paraId="3F5FE38F" w14:textId="77777777" w:rsidR="006827BE" w:rsidRPr="00936E6C" w:rsidRDefault="006827BE" w:rsidP="00690950">
            <w:pPr>
              <w:pStyle w:val="Pagrindinistekstas"/>
              <w:jc w:val="both"/>
            </w:pPr>
            <w:r w:rsidRPr="00936E6C">
              <w:t xml:space="preserve">Lietuvos paraplegikų asociacija pateikė pasiūlymą sukonkretinti (paaiškinti) formuluotę „žmonėms su individualiais poreikiais“, kad jos turinys nepaliktų jokios interpretacijos galimybės, jog programos finansavimo lėšų naudojimas infrastruktūros pritaikymui reiškia privalomą pritaikymą neįgaliųjų (žmonių su negalia) poreikiams, laikantis teisės aktuose įtvirtintų reikalavimų. Bendrija „Pagava“ siūlo kelių naudotojo </w:t>
            </w:r>
            <w:r w:rsidRPr="00936E6C">
              <w:lastRenderedPageBreak/>
              <w:t>mokesčio leisti nemokėti automobiliams, kurie naudojasi Neįgaliųjų asmenų automobilių statymo kortele.</w:t>
            </w:r>
          </w:p>
          <w:p w14:paraId="182666B1" w14:textId="77777777" w:rsidR="006827BE" w:rsidRPr="00936E6C" w:rsidRDefault="006827BE" w:rsidP="00690950">
            <w:pPr>
              <w:pStyle w:val="Pagrindinistekstas"/>
              <w:jc w:val="both"/>
            </w:pPr>
            <w:r w:rsidRPr="00936E6C">
              <w:t>Projekto 4 straipsnyje vartojama formuluotė „specialiai neįgaliesiems vežti ir (ar) vairuoti pritaikytomis transporto priemonėmis ar jų junginiais“.</w:t>
            </w:r>
          </w:p>
          <w:p w14:paraId="143E6261" w14:textId="77777777" w:rsidR="006827BE" w:rsidRPr="00936E6C" w:rsidRDefault="006827BE" w:rsidP="00690950">
            <w:pPr>
              <w:pStyle w:val="Pagrindinistekstas"/>
              <w:jc w:val="both"/>
            </w:pPr>
            <w:r w:rsidRPr="00936E6C">
              <w:t xml:space="preserve">Projekto 5 straipsnyje vartojamas žodžių junginys „žmonėms su individualiais poreikiais pritaikymui“. Šiame straipsnyje taip pat formuluojama „neįgaliųjų ir jų nuosavybės ar kitokiu teisėtu pagrindu valdomų automobilių, kuriuos jie vairuoja arba kuriais jie važiuoja“. </w:t>
            </w:r>
          </w:p>
          <w:p w14:paraId="3850E10E" w14:textId="77777777" w:rsidR="006827BE" w:rsidRPr="00936E6C" w:rsidRDefault="006827BE" w:rsidP="00690950">
            <w:pPr>
              <w:pStyle w:val="Pagrindinistekstas"/>
              <w:jc w:val="both"/>
            </w:pPr>
            <w:r w:rsidRPr="00936E6C">
              <w:t xml:space="preserve">Suprantame, kad iniciatyva ir pageidavimas iki šiol vartojamą žodžių junginį „specialiesiems neįgaliųjų poreikiams“ keisti į „žmonėms su individualiais poreikiais“ kilo iš neįgaliųjų bendruomenės, tačiau jokiame teisės akte nėra apibrėžtas „žmonės su individualiais poreikiais“ turinys. </w:t>
            </w:r>
          </w:p>
          <w:p w14:paraId="11D6AA4F" w14:textId="77777777" w:rsidR="006827BE" w:rsidRPr="00936E6C" w:rsidRDefault="006827BE" w:rsidP="00690950">
            <w:pPr>
              <w:pStyle w:val="Pagrindinistekstas"/>
              <w:jc w:val="both"/>
            </w:pPr>
            <w:r w:rsidRPr="00936E6C">
              <w:t xml:space="preserve">Šiame Projekte vartojamas ir terminas „neįgalieji“, infrastruktūros pritaikymo kontekste vartojama formuluotė „žmonėms su individualiais poreikiais“ sukuria spragą (teisinį neaiškumą), nes nėra aišku, kaip infrastruktūros pritaikymo darbai koreliuoja su teisiniame reguliavime įtvirtintais reikalavimais (Statybos įstatymo 6 straipsnio 3 dalis ir STR 2.03.01:2019 „Statinių prieinamumas“ 1 punktas). Šiuose teisės aktuose įtvirtintos imperatyvios normos dėl būtinumo pritaikyti specialiesiems neįgaliųjų poreikiams ir nustatyti konkretūs pritaikymo reikalavimai. Ar „žmonėms su individualiais poreikiais“ reiškia tą patį, ar apima platesnį žmonių ratą? Jei apima platesnį žmonių su individualiais poreikiais ratą, kaip su pritaikymo reikalavimais? </w:t>
            </w:r>
          </w:p>
          <w:p w14:paraId="28F66220" w14:textId="6B78A127" w:rsidR="006827BE" w:rsidRPr="00936E6C" w:rsidRDefault="006827BE" w:rsidP="00690950">
            <w:pPr>
              <w:pStyle w:val="Pagrindinistekstas"/>
              <w:jc w:val="both"/>
            </w:pPr>
            <w:r w:rsidRPr="00936E6C">
              <w:t>Atsižvelgdami į išdėstytus argumentus, siūlome sukonkretinti (paaiškinti) formuluotę „žmonėms su individualiais poreikiais“, kad jos turinys nepaliktų jokios interpretacijos galimybės, jog programos finansavimo lėšų naudojimas infrastruktūros pritaikymui reiškia privalomą pritaikymą neįgaliųjų (žmonių su negalia) poreikiams, laikantis teisės aktuose įtvirtintų reikalavimų.</w:t>
            </w:r>
          </w:p>
        </w:tc>
        <w:tc>
          <w:tcPr>
            <w:tcW w:w="4967" w:type="dxa"/>
          </w:tcPr>
          <w:p w14:paraId="2EAFDB7A" w14:textId="77777777" w:rsidR="006827BE" w:rsidRPr="00936E6C" w:rsidRDefault="00FD7CBC" w:rsidP="00690950">
            <w:pPr>
              <w:tabs>
                <w:tab w:val="left" w:pos="317"/>
              </w:tabs>
              <w:spacing w:after="0" w:line="240" w:lineRule="auto"/>
              <w:jc w:val="both"/>
              <w:rPr>
                <w:rFonts w:ascii="Times New Roman" w:eastAsia="Calibri" w:hAnsi="Times New Roman" w:cs="Times New Roman"/>
                <w:b/>
                <w:sz w:val="24"/>
                <w:szCs w:val="24"/>
              </w:rPr>
            </w:pPr>
            <w:r w:rsidRPr="00936E6C">
              <w:rPr>
                <w:rFonts w:ascii="Times New Roman" w:eastAsia="Calibri" w:hAnsi="Times New Roman" w:cs="Times New Roman"/>
                <w:b/>
                <w:sz w:val="24"/>
                <w:szCs w:val="24"/>
              </w:rPr>
              <w:lastRenderedPageBreak/>
              <w:t xml:space="preserve">Neatsižvelgta. </w:t>
            </w:r>
            <w:r w:rsidR="006827BE" w:rsidRPr="00936E6C">
              <w:rPr>
                <w:rFonts w:ascii="Times New Roman" w:eastAsia="Calibri" w:hAnsi="Times New Roman" w:cs="Times New Roman"/>
                <w:b/>
                <w:sz w:val="24"/>
                <w:szCs w:val="24"/>
              </w:rPr>
              <w:t xml:space="preserve"> </w:t>
            </w:r>
          </w:p>
          <w:p w14:paraId="0F1F234B" w14:textId="13566041" w:rsidR="00FD7CBC" w:rsidRPr="00936E6C" w:rsidRDefault="00FD7CBC" w:rsidP="00690950">
            <w:pPr>
              <w:tabs>
                <w:tab w:val="left" w:pos="317"/>
              </w:tabs>
              <w:spacing w:after="0" w:line="240" w:lineRule="auto"/>
              <w:jc w:val="both"/>
              <w:rPr>
                <w:rFonts w:ascii="Times New Roman" w:eastAsia="Calibri" w:hAnsi="Times New Roman" w:cs="Times New Roman"/>
                <w:bCs/>
                <w:sz w:val="24"/>
                <w:szCs w:val="24"/>
              </w:rPr>
            </w:pPr>
            <w:r w:rsidRPr="00936E6C">
              <w:rPr>
                <w:rFonts w:ascii="Times New Roman" w:eastAsia="Calibri" w:hAnsi="Times New Roman" w:cs="Times New Roman"/>
                <w:bCs/>
                <w:sz w:val="24"/>
                <w:szCs w:val="24"/>
              </w:rPr>
              <w:t>Susisiekimo ministerijos nuomone, Lietuvos Respublikos kelių priežiūros ir plėtros programos finansavimo įstatymo 9 straipsnio 7 dalies 1 punkte patvirtinta nuostata „kuriais jie važiuoja“</w:t>
            </w:r>
            <w:r w:rsidR="00F14C89" w:rsidRPr="00936E6C">
              <w:rPr>
                <w:rFonts w:ascii="Times New Roman" w:eastAsia="Calibri" w:hAnsi="Times New Roman" w:cs="Times New Roman"/>
                <w:bCs/>
                <w:sz w:val="24"/>
                <w:szCs w:val="24"/>
              </w:rPr>
              <w:t xml:space="preserve"> jau dabar </w:t>
            </w:r>
            <w:r w:rsidR="00F14C89" w:rsidRPr="00DC4242">
              <w:rPr>
                <w:rFonts w:ascii="Times New Roman" w:eastAsia="Calibri" w:hAnsi="Times New Roman" w:cs="Times New Roman"/>
                <w:bCs/>
                <w:sz w:val="24"/>
                <w:szCs w:val="24"/>
              </w:rPr>
              <w:t xml:space="preserve">atspindi </w:t>
            </w:r>
            <w:r w:rsidR="007F7AF3" w:rsidRPr="00DC4242">
              <w:rPr>
                <w:rFonts w:ascii="Times New Roman" w:eastAsia="Calibri" w:hAnsi="Times New Roman" w:cs="Times New Roman"/>
                <w:bCs/>
                <w:sz w:val="24"/>
                <w:szCs w:val="24"/>
              </w:rPr>
              <w:t>nuostat</w:t>
            </w:r>
            <w:r w:rsidR="00936E6C" w:rsidRPr="00DC4242">
              <w:rPr>
                <w:rFonts w:ascii="Times New Roman" w:eastAsia="Calibri" w:hAnsi="Times New Roman" w:cs="Times New Roman"/>
                <w:bCs/>
                <w:sz w:val="24"/>
                <w:szCs w:val="24"/>
              </w:rPr>
              <w:t>ą</w:t>
            </w:r>
            <w:r w:rsidR="007F7AF3" w:rsidRPr="00DC4242">
              <w:rPr>
                <w:rFonts w:ascii="Times New Roman" w:eastAsia="Calibri" w:hAnsi="Times New Roman" w:cs="Times New Roman"/>
                <w:bCs/>
                <w:sz w:val="24"/>
                <w:szCs w:val="24"/>
              </w:rPr>
              <w:t xml:space="preserve"> </w:t>
            </w:r>
            <w:r w:rsidRPr="00DC4242">
              <w:rPr>
                <w:rFonts w:ascii="Times New Roman" w:eastAsia="Calibri" w:hAnsi="Times New Roman" w:cs="Times New Roman"/>
                <w:bCs/>
                <w:sz w:val="24"/>
                <w:szCs w:val="24"/>
              </w:rPr>
              <w:t>„automobilių, kuriais vežami neįgalieji“, todėl keisti minėtą</w:t>
            </w:r>
            <w:r w:rsidRPr="00936E6C">
              <w:rPr>
                <w:rFonts w:ascii="Times New Roman" w:eastAsia="Calibri" w:hAnsi="Times New Roman" w:cs="Times New Roman"/>
                <w:bCs/>
                <w:sz w:val="24"/>
                <w:szCs w:val="24"/>
              </w:rPr>
              <w:t xml:space="preserve"> punktą nėra tikslinga. </w:t>
            </w:r>
          </w:p>
        </w:tc>
      </w:tr>
      <w:bookmarkEnd w:id="3"/>
      <w:tr w:rsidR="006827BE" w:rsidRPr="00936E6C" w14:paraId="40DDB4B9" w14:textId="77777777" w:rsidTr="00D954BC">
        <w:tc>
          <w:tcPr>
            <w:tcW w:w="1985" w:type="dxa"/>
          </w:tcPr>
          <w:p w14:paraId="355324BE" w14:textId="1FB2D4E6" w:rsidR="006827BE" w:rsidRPr="00936E6C" w:rsidRDefault="006827BE" w:rsidP="00690950">
            <w:pPr>
              <w:spacing w:after="0" w:line="240" w:lineRule="auto"/>
              <w:jc w:val="both"/>
              <w:rPr>
                <w:rFonts w:ascii="Times New Roman" w:hAnsi="Times New Roman" w:cs="Times New Roman"/>
                <w:sz w:val="24"/>
                <w:szCs w:val="24"/>
              </w:rPr>
            </w:pPr>
            <w:r w:rsidRPr="00936E6C">
              <w:rPr>
                <w:rFonts w:ascii="Times New Roman" w:hAnsi="Times New Roman" w:cs="Times New Roman"/>
                <w:sz w:val="24"/>
                <w:szCs w:val="24"/>
              </w:rPr>
              <w:t>Lietuvos Respublikos krašto apsaugos ministerijos  2021 m. rugpjūčio 27 d. raštas Nr. 12-01-1486</w:t>
            </w:r>
          </w:p>
        </w:tc>
        <w:tc>
          <w:tcPr>
            <w:tcW w:w="8500" w:type="dxa"/>
          </w:tcPr>
          <w:p w14:paraId="28DEEB06" w14:textId="77777777" w:rsidR="006827BE" w:rsidRPr="00936E6C" w:rsidRDefault="006827BE" w:rsidP="00690950">
            <w:pPr>
              <w:pStyle w:val="Pagrindinistekstas"/>
              <w:jc w:val="both"/>
            </w:pPr>
            <w:r w:rsidRPr="00936E6C">
              <w:t xml:space="preserve">Krašto apsaugos ministerijai (toliau – KAM) pastarąjį dešimtmetį buvo skiriamas finansavimas privažiuojamiesiems prie krašto apsaugos sistemos objektų vietinės reikšmės keliams ir vietinės reikšmės keliams, kurie patenka į Lietuvos kariuomenės nurodytus priimančiosios šalies paramos poreikiams būtinus maršrutus, tiesti, rekonstruoti, remontuoti. Kadangi įvairiuose Lietuvos regionuose dauguma vietinių kelių priklauso savivaldybėms, KAM perduodavo jai skirtas kelių priežiūros ir plėtros programos finansavimo lėšas savivaldybių keliams tvarkyti, o Lietuvos kariuomenei </w:t>
            </w:r>
            <w:r w:rsidRPr="00936E6C">
              <w:lastRenderedPageBreak/>
              <w:t xml:space="preserve">priklausantys vietinės reikšmės keliai buvo tvarkomi ar tiesiami nauji tik iš KAM skiriamų asignavimų. Per laikotarpį, kai KAM iš Kelių priežiūros ir plėtros programos buvo skiriamos lėšos vietiniams keliams tvarkyti, atlikta rekonstrukcija arba kapitalinis remontas privažiuojamųjų kelių prie Šilutės, Prienų ir Ignalinos rajonų savivaldybėse esančių modernizuotų oro erdvės stebėjimo ir kontrolės postų, atlikta kelio </w:t>
            </w:r>
            <w:proofErr w:type="spellStart"/>
            <w:r w:rsidRPr="00936E6C">
              <w:t>Mumaičiai</w:t>
            </w:r>
            <w:proofErr w:type="spellEnd"/>
            <w:r w:rsidRPr="00936E6C">
              <w:t xml:space="preserve">–Gudeliai rekonstrukcija, sutvarkytos Šaudyklos,  Artilerijos ir Karaliaus Mindaugo gatvės Jonavos r. savivaldybės Ruklos miestelyje. Šiais metais užbaigtas tvarkyti kelias į Karinių oro pajėgų Oro gynybos batalioną Radviliškyje ir baigiama Kazlų Rūdos savivaldybei priklausančio kelio Nr. KR0632, vedančio į buvusio Kazlų Rūdos aerodromo karinį objektą, rekonstrukcija. Pagal įstatymo projekte siūlomą reguliavimą (keičiamas Lietuvos Respublikos kelių priežiūros ir plėtros programos finansavimo įstatymo Nr. VIII-2032 9 straipsnis) atsisakoma iš Kelių priežiūros ir plėtros programos finansuoti valstybės institucijas. Tokiu atveju KAM netektų galimybės tvarkyti savivaldybei nuosavybės teise priklausančių vietinės reikšmės kelių, vedančių į krašto apsaugos sistemos objektus. </w:t>
            </w:r>
          </w:p>
          <w:p w14:paraId="0AEB0279" w14:textId="77777777" w:rsidR="006827BE" w:rsidRPr="00936E6C" w:rsidRDefault="006827BE" w:rsidP="00690950">
            <w:pPr>
              <w:pStyle w:val="Pagrindinistekstas"/>
              <w:jc w:val="both"/>
            </w:pPr>
            <w:r w:rsidRPr="00936E6C">
              <w:t xml:space="preserve">Pažymėtina, kad šių kelių sutvarkymas yra svarbus faktorius sudarant sąlygas sąjungininkų kariniams vienetams, kurie dislokuoti Lietuvos kariuomenės karinėse bazėse ar dalyvauja pratybose Lietuvos kariniuose poligonuose. Lietuvos Respublikos Seimui 2014 m. spalio 14 d. nutarimu Nr. XII-1228 pripažinus Lietuvos kariuomenės karinių poligonų ir karinio mokymo teritorijų, esančių Jonavos rajono savivaldybės Ruklos seniūnijoje ir Švenčionių rajono savivaldybės Pabradės seniūnijoje, išplėtimo projektą ypatingos valstybinės svarbos projektu, Pabradės sen. </w:t>
            </w:r>
            <w:proofErr w:type="spellStart"/>
            <w:r w:rsidRPr="00936E6C">
              <w:t>Pažeimenės</w:t>
            </w:r>
            <w:proofErr w:type="spellEnd"/>
            <w:r w:rsidRPr="00936E6C">
              <w:t xml:space="preserve"> k. įrengta geležinkelio atšaka, rampa ir iškrovimo aikštelė. Kad geležinkeliu atvežta sąjungininkų </w:t>
            </w:r>
            <w:proofErr w:type="spellStart"/>
            <w:r w:rsidRPr="00936E6C">
              <w:t>didžiagabaritė</w:t>
            </w:r>
            <w:proofErr w:type="spellEnd"/>
            <w:r w:rsidRPr="00936E6C">
              <w:t xml:space="preserve"> sunkiasvorė karinė technika galėtų būti nugabenta į poligoną, šiuo metu įgyvendinamas kelio </w:t>
            </w:r>
            <w:proofErr w:type="spellStart"/>
            <w:r w:rsidRPr="00936E6C">
              <w:t>Pažeimenės</w:t>
            </w:r>
            <w:proofErr w:type="spellEnd"/>
            <w:r w:rsidRPr="00936E6C">
              <w:t xml:space="preserve"> pervaža – valstybinis kelias Nr. 4415, priklausančio Švenčionių savivaldybei, rekonstrukcijos projektas. Šiemet jau atlikta darbų už 547 tūkst. eurų. Kelio, kurio II etapo projektavimo darbai baigiami, rekonstrukcijai visiškai baigti reikės dar apie 1 mln. eurų. Nutraukus lėšų vietiniams keliams tvarkyti iš Kelių priežiūros ir plėtros programos skyrimą KAM, iškiltų didelė rizika nebaigti šio ypatingai svarbaus krašto gynybai projekto.</w:t>
            </w:r>
          </w:p>
          <w:p w14:paraId="74CAA5C2" w14:textId="77777777" w:rsidR="006827BE" w:rsidRPr="00936E6C" w:rsidRDefault="006827BE" w:rsidP="00690950">
            <w:pPr>
              <w:pStyle w:val="Pagrindinistekstas"/>
              <w:jc w:val="both"/>
            </w:pPr>
            <w:r w:rsidRPr="00936E6C">
              <w:t xml:space="preserve">Analogiška situacija yra ir dėl kelių, einančių į Brigados gen. Povilo Plechavičiaus (Kairių) ir Pulkininko Igno Musteikio (Rokų) poligonus, Aerouosto gatvės Šiauliuose, vedančios į Karinių oro pajėgų aviacijos bazę, rekonstrukcijos, kurių projektai pradėti </w:t>
            </w:r>
            <w:r w:rsidRPr="00936E6C">
              <w:lastRenderedPageBreak/>
              <w:t xml:space="preserve">įgyvendinti. Šie KAM numatyti darbai savivaldybėms nėra prioritetiniai, todėl savo lėšų tiek, kiek reikia keliams sutvarkyti, jos skirti negalės. </w:t>
            </w:r>
          </w:p>
          <w:p w14:paraId="1D460076" w14:textId="77777777" w:rsidR="006827BE" w:rsidRPr="00936E6C" w:rsidRDefault="006827BE" w:rsidP="00690950">
            <w:pPr>
              <w:pStyle w:val="Pagrindinistekstas"/>
              <w:jc w:val="both"/>
            </w:pPr>
            <w:r w:rsidRPr="00936E6C">
              <w:t xml:space="preserve">Atsiranda rizikos: nebus užbaigti KAM kartu su savivaldybėmis pradėti projektai, nebus grąžintos skolos rangovams už atliktus darbus, KAM neteks įrankio tvarkyti savivaldybei priklausančių kelių, kurie svarbūs krašto gynybai, savivaldybės, kurių vietinės reikšmės keliai patenka į kelių, vedančių į krašto apsaugos sistemos objektus, sąrašą ir kelių, kurie patenka į Lietuvos kariuomenės nurodytus priimančiosios šalies paramos poreikiams būtinus maršrutus, sąrašą, neteks  finansavimo šiems projektams įgyvendinti. Keliais procentais įstatymo projekte padidintas finansavimas savivaldybėms keliams tvarkyti nebus lygus tam, kokį dabar gauna atskiros bendrus projektus įgyvendinančios savivaldybės, KAM paskirstant gautas lėšas iš Kelių priežiūros ir plėtros programos.  </w:t>
            </w:r>
          </w:p>
          <w:p w14:paraId="51B56B6F" w14:textId="31B424E3" w:rsidR="006827BE" w:rsidRPr="00936E6C" w:rsidRDefault="006827BE" w:rsidP="00690950">
            <w:pPr>
              <w:pStyle w:val="Pagrindinistekstas"/>
              <w:jc w:val="both"/>
            </w:pPr>
            <w:r w:rsidRPr="00936E6C">
              <w:t xml:space="preserve">Atsižvelgdami į tai, kas išdėstyta, siūlome įstatymo projekte numatyti galimybę KAM ir toliau iš Kelių priežiūros ir plėtros programos gauti finansavimą, kuris būtų paskirstytas savivaldybėms   nuosavybės teise priklausantiems vietinės reikšmės keliams, vedantiems į krašto apsaugos sistemos objektus, ir vietinės reikšmės keliams, kurie patenka į Lietuvos kariuomenės nurodytus priimančiosios šalies paramos poreikiams būtinus maršrutus, tiesti, rekonstruoti, remontuoti. </w:t>
            </w:r>
          </w:p>
        </w:tc>
        <w:tc>
          <w:tcPr>
            <w:tcW w:w="4967" w:type="dxa"/>
          </w:tcPr>
          <w:p w14:paraId="5E9AE60B" w14:textId="23BA0BC8" w:rsidR="006827BE" w:rsidRPr="00936E6C" w:rsidRDefault="001904B0" w:rsidP="00690950">
            <w:pPr>
              <w:tabs>
                <w:tab w:val="left" w:pos="317"/>
              </w:tabs>
              <w:spacing w:after="0" w:line="240" w:lineRule="auto"/>
              <w:jc w:val="both"/>
              <w:rPr>
                <w:rFonts w:ascii="Times New Roman" w:eastAsia="Calibri" w:hAnsi="Times New Roman" w:cs="Times New Roman"/>
                <w:b/>
                <w:sz w:val="24"/>
                <w:szCs w:val="24"/>
              </w:rPr>
            </w:pPr>
            <w:r w:rsidRPr="00936E6C">
              <w:rPr>
                <w:rFonts w:ascii="Times New Roman" w:eastAsia="Calibri" w:hAnsi="Times New Roman" w:cs="Times New Roman"/>
                <w:b/>
                <w:sz w:val="24"/>
                <w:szCs w:val="24"/>
              </w:rPr>
              <w:lastRenderedPageBreak/>
              <w:t>Atsižvelgta</w:t>
            </w:r>
            <w:r w:rsidR="00A22694" w:rsidRPr="00936E6C">
              <w:rPr>
                <w:rFonts w:ascii="Times New Roman" w:eastAsia="Calibri" w:hAnsi="Times New Roman" w:cs="Times New Roman"/>
                <w:b/>
                <w:sz w:val="24"/>
                <w:szCs w:val="24"/>
              </w:rPr>
              <w:t xml:space="preserve"> iš dalies</w:t>
            </w:r>
            <w:r w:rsidRPr="00936E6C">
              <w:rPr>
                <w:rFonts w:ascii="Times New Roman" w:eastAsia="Calibri" w:hAnsi="Times New Roman" w:cs="Times New Roman"/>
                <w:b/>
                <w:sz w:val="24"/>
                <w:szCs w:val="24"/>
              </w:rPr>
              <w:t xml:space="preserve">. </w:t>
            </w:r>
          </w:p>
          <w:p w14:paraId="37E75612" w14:textId="20053168" w:rsidR="001904B0" w:rsidRPr="00936E6C" w:rsidRDefault="006939F6" w:rsidP="00690950">
            <w:pPr>
              <w:tabs>
                <w:tab w:val="left" w:pos="317"/>
              </w:tabs>
              <w:spacing w:after="0" w:line="240" w:lineRule="auto"/>
              <w:jc w:val="both"/>
              <w:rPr>
                <w:rFonts w:ascii="Times New Roman" w:eastAsia="Calibri" w:hAnsi="Times New Roman" w:cs="Times New Roman"/>
                <w:bCs/>
                <w:sz w:val="24"/>
                <w:szCs w:val="24"/>
              </w:rPr>
            </w:pPr>
            <w:r w:rsidRPr="00936E6C">
              <w:rPr>
                <w:rFonts w:ascii="Times New Roman" w:eastAsia="Calibri" w:hAnsi="Times New Roman" w:cs="Times New Roman"/>
                <w:bCs/>
                <w:sz w:val="24"/>
                <w:szCs w:val="24"/>
              </w:rPr>
              <w:t xml:space="preserve">Šių metų rugsėjo 2 d. įvyko pasitarimas tarp KAM ir Susisiekimo ministerijos atstovų. Susisiekimo ministerija  sutinka su KAM argumentais, tačiau </w:t>
            </w:r>
            <w:r w:rsidR="00133EBC">
              <w:rPr>
                <w:rFonts w:ascii="Times New Roman" w:eastAsia="Calibri" w:hAnsi="Times New Roman" w:cs="Times New Roman"/>
                <w:bCs/>
                <w:sz w:val="24"/>
                <w:szCs w:val="24"/>
              </w:rPr>
              <w:t>vietinės reikšmės kelius</w:t>
            </w:r>
            <w:r w:rsidR="002402FB">
              <w:rPr>
                <w:rFonts w:ascii="Times New Roman" w:eastAsia="Calibri" w:hAnsi="Times New Roman" w:cs="Times New Roman"/>
                <w:bCs/>
                <w:sz w:val="24"/>
                <w:szCs w:val="24"/>
              </w:rPr>
              <w:t>,</w:t>
            </w:r>
            <w:r w:rsidR="00133EBC">
              <w:rPr>
                <w:rFonts w:ascii="Times New Roman" w:eastAsia="Calibri" w:hAnsi="Times New Roman" w:cs="Times New Roman"/>
                <w:bCs/>
                <w:sz w:val="24"/>
                <w:szCs w:val="24"/>
              </w:rPr>
              <w:t xml:space="preserve"> svarbius KAM objektams</w:t>
            </w:r>
            <w:r w:rsidR="002402FB">
              <w:rPr>
                <w:rFonts w:ascii="Times New Roman" w:eastAsia="Calibri" w:hAnsi="Times New Roman" w:cs="Times New Roman"/>
                <w:bCs/>
                <w:sz w:val="24"/>
                <w:szCs w:val="24"/>
              </w:rPr>
              <w:t>,</w:t>
            </w:r>
            <w:r w:rsidR="001904B0" w:rsidRPr="00936E6C">
              <w:rPr>
                <w:rFonts w:ascii="Times New Roman" w:eastAsia="Calibri" w:hAnsi="Times New Roman" w:cs="Times New Roman"/>
                <w:bCs/>
                <w:sz w:val="24"/>
                <w:szCs w:val="24"/>
              </w:rPr>
              <w:t xml:space="preserve"> siūlo finansuoti </w:t>
            </w:r>
            <w:r w:rsidR="0080339F" w:rsidRPr="00936E6C">
              <w:rPr>
                <w:rFonts w:ascii="Times New Roman" w:eastAsia="Calibri" w:hAnsi="Times New Roman" w:cs="Times New Roman"/>
                <w:bCs/>
                <w:sz w:val="24"/>
                <w:szCs w:val="24"/>
              </w:rPr>
              <w:t xml:space="preserve">perkeliant </w:t>
            </w:r>
            <w:r w:rsidR="00133EBC">
              <w:rPr>
                <w:rFonts w:ascii="Times New Roman" w:eastAsia="Calibri" w:hAnsi="Times New Roman" w:cs="Times New Roman"/>
                <w:bCs/>
                <w:sz w:val="24"/>
                <w:szCs w:val="24"/>
                <w:lang w:val="en-US"/>
              </w:rPr>
              <w:t xml:space="preserve">KPPP </w:t>
            </w:r>
            <w:proofErr w:type="spellStart"/>
            <w:r w:rsidR="00133EBC">
              <w:rPr>
                <w:rFonts w:ascii="Times New Roman" w:eastAsia="Calibri" w:hAnsi="Times New Roman" w:cs="Times New Roman"/>
                <w:bCs/>
                <w:sz w:val="24"/>
                <w:szCs w:val="24"/>
                <w:lang w:val="en-US"/>
              </w:rPr>
              <w:lastRenderedPageBreak/>
              <w:t>biudžete</w:t>
            </w:r>
            <w:proofErr w:type="spellEnd"/>
            <w:r w:rsidR="00133EBC">
              <w:rPr>
                <w:rFonts w:ascii="Times New Roman" w:eastAsia="Calibri" w:hAnsi="Times New Roman" w:cs="Times New Roman"/>
                <w:bCs/>
                <w:sz w:val="24"/>
                <w:szCs w:val="24"/>
                <w:lang w:val="en-US"/>
              </w:rPr>
              <w:t xml:space="preserve"> </w:t>
            </w:r>
            <w:proofErr w:type="spellStart"/>
            <w:r w:rsidR="00133EBC">
              <w:rPr>
                <w:rFonts w:ascii="Times New Roman" w:eastAsia="Calibri" w:hAnsi="Times New Roman" w:cs="Times New Roman"/>
                <w:bCs/>
                <w:sz w:val="24"/>
                <w:szCs w:val="24"/>
                <w:lang w:val="en-US"/>
              </w:rPr>
              <w:t>numatytas</w:t>
            </w:r>
            <w:proofErr w:type="spellEnd"/>
            <w:r w:rsidR="00133EBC">
              <w:rPr>
                <w:rFonts w:ascii="Times New Roman" w:eastAsia="Calibri" w:hAnsi="Times New Roman" w:cs="Times New Roman"/>
                <w:bCs/>
                <w:sz w:val="24"/>
                <w:szCs w:val="24"/>
                <w:lang w:val="en-US"/>
              </w:rPr>
              <w:t xml:space="preserve"> </w:t>
            </w:r>
            <w:proofErr w:type="spellStart"/>
            <w:r w:rsidR="00133EBC">
              <w:rPr>
                <w:rFonts w:ascii="Times New Roman" w:eastAsia="Calibri" w:hAnsi="Times New Roman" w:cs="Times New Roman"/>
                <w:bCs/>
                <w:sz w:val="24"/>
                <w:szCs w:val="24"/>
                <w:lang w:val="en-US"/>
              </w:rPr>
              <w:t>lėšas</w:t>
            </w:r>
            <w:proofErr w:type="spellEnd"/>
            <w:r w:rsidR="00133EBC">
              <w:rPr>
                <w:rFonts w:ascii="Times New Roman" w:eastAsia="Calibri" w:hAnsi="Times New Roman" w:cs="Times New Roman"/>
                <w:bCs/>
                <w:sz w:val="24"/>
                <w:szCs w:val="24"/>
                <w:lang w:val="en-US"/>
              </w:rPr>
              <w:t xml:space="preserve"> į KAM </w:t>
            </w:r>
            <w:proofErr w:type="spellStart"/>
            <w:r w:rsidR="00133EBC">
              <w:rPr>
                <w:rFonts w:ascii="Times New Roman" w:eastAsia="Calibri" w:hAnsi="Times New Roman" w:cs="Times New Roman"/>
                <w:bCs/>
                <w:sz w:val="24"/>
                <w:szCs w:val="24"/>
                <w:lang w:val="en-US"/>
              </w:rPr>
              <w:t>asignavimus</w:t>
            </w:r>
            <w:proofErr w:type="spellEnd"/>
            <w:r w:rsidR="00133EBC">
              <w:rPr>
                <w:rFonts w:ascii="Times New Roman" w:eastAsia="Calibri" w:hAnsi="Times New Roman" w:cs="Times New Roman"/>
                <w:bCs/>
                <w:sz w:val="24"/>
                <w:szCs w:val="24"/>
                <w:lang w:val="en-US"/>
              </w:rPr>
              <w:t xml:space="preserve"> (</w:t>
            </w:r>
            <w:proofErr w:type="spellStart"/>
            <w:r w:rsidR="00133EBC">
              <w:rPr>
                <w:rFonts w:ascii="Times New Roman" w:eastAsia="Calibri" w:hAnsi="Times New Roman" w:cs="Times New Roman"/>
                <w:bCs/>
                <w:sz w:val="24"/>
                <w:szCs w:val="24"/>
                <w:lang w:val="en-US"/>
              </w:rPr>
              <w:t>pagal</w:t>
            </w:r>
            <w:proofErr w:type="spellEnd"/>
            <w:r w:rsidR="00133EBC">
              <w:rPr>
                <w:rFonts w:ascii="Times New Roman" w:eastAsia="Calibri" w:hAnsi="Times New Roman" w:cs="Times New Roman"/>
                <w:bCs/>
                <w:sz w:val="24"/>
                <w:szCs w:val="24"/>
                <w:lang w:val="en-US"/>
              </w:rPr>
              <w:t xml:space="preserve"> 2021 m. </w:t>
            </w:r>
            <w:proofErr w:type="spellStart"/>
            <w:r w:rsidR="00133EBC">
              <w:rPr>
                <w:rFonts w:ascii="Times New Roman" w:eastAsia="Calibri" w:hAnsi="Times New Roman" w:cs="Times New Roman"/>
                <w:bCs/>
                <w:sz w:val="24"/>
                <w:szCs w:val="24"/>
                <w:lang w:val="en-US"/>
              </w:rPr>
              <w:t>proporcijas</w:t>
            </w:r>
            <w:proofErr w:type="spellEnd"/>
            <w:r w:rsidR="00133EBC">
              <w:rPr>
                <w:rFonts w:ascii="Times New Roman" w:eastAsia="Calibri" w:hAnsi="Times New Roman" w:cs="Times New Roman"/>
                <w:bCs/>
                <w:sz w:val="24"/>
                <w:szCs w:val="24"/>
                <w:lang w:val="en-US"/>
              </w:rPr>
              <w:t>)</w:t>
            </w:r>
            <w:r w:rsidR="0080339F" w:rsidRPr="00936E6C">
              <w:rPr>
                <w:rFonts w:ascii="Times New Roman" w:eastAsia="Calibri" w:hAnsi="Times New Roman" w:cs="Times New Roman"/>
                <w:bCs/>
                <w:sz w:val="24"/>
                <w:szCs w:val="24"/>
              </w:rPr>
              <w:t xml:space="preserve">. </w:t>
            </w:r>
          </w:p>
        </w:tc>
      </w:tr>
      <w:tr w:rsidR="00D954BC" w:rsidRPr="00936E6C" w14:paraId="771E0B1D" w14:textId="77777777" w:rsidTr="00D954BC">
        <w:trPr>
          <w:trHeight w:val="4240"/>
        </w:trPr>
        <w:tc>
          <w:tcPr>
            <w:tcW w:w="1985" w:type="dxa"/>
          </w:tcPr>
          <w:p w14:paraId="210D53A0" w14:textId="298CFDAB" w:rsidR="00D954BC" w:rsidRPr="00936E6C" w:rsidRDefault="00D954BC" w:rsidP="00690950">
            <w:pPr>
              <w:spacing w:after="0" w:line="240" w:lineRule="auto"/>
              <w:jc w:val="both"/>
              <w:rPr>
                <w:rFonts w:ascii="Times New Roman" w:hAnsi="Times New Roman" w:cs="Times New Roman"/>
                <w:sz w:val="24"/>
                <w:szCs w:val="24"/>
              </w:rPr>
            </w:pPr>
            <w:r w:rsidRPr="00936E6C">
              <w:rPr>
                <w:rFonts w:ascii="Times New Roman" w:hAnsi="Times New Roman" w:cs="Times New Roman"/>
                <w:sz w:val="24"/>
                <w:szCs w:val="24"/>
              </w:rPr>
              <w:lastRenderedPageBreak/>
              <w:t xml:space="preserve">Policijos departamento prie Lietuvos Respublikos vidaus reikalų ministerijos 2021 m. rugpjūčio 27 d. raštas Nr. 5-S-14583 </w:t>
            </w:r>
          </w:p>
        </w:tc>
        <w:tc>
          <w:tcPr>
            <w:tcW w:w="8500" w:type="dxa"/>
          </w:tcPr>
          <w:p w14:paraId="3F9E3968" w14:textId="77777777" w:rsidR="00D954BC" w:rsidRPr="00936E6C" w:rsidRDefault="00D954BC" w:rsidP="00690950">
            <w:pPr>
              <w:pStyle w:val="Standard"/>
              <w:suppressAutoHyphens/>
              <w:spacing w:after="120"/>
              <w:jc w:val="both"/>
              <w:rPr>
                <w:rFonts w:ascii="Times New Roman" w:hAnsi="Times New Roman"/>
                <w:sz w:val="24"/>
                <w:szCs w:val="24"/>
              </w:rPr>
            </w:pPr>
            <w:r w:rsidRPr="00936E6C">
              <w:rPr>
                <w:rFonts w:ascii="Times New Roman" w:hAnsi="Times New Roman"/>
                <w:sz w:val="24"/>
                <w:szCs w:val="24"/>
                <w:lang w:eastAsia="ru-RU"/>
              </w:rPr>
              <w:t>Atkreipiame dėmesį, kad Lietuvos policijai pagal kompetenciją yra priskirta tirti administracinius nusižengimus, užfiksuotus naudojant pažeidimų fiksavimo sistemas (toliau – PFS). Pažymėtina, kad apie 45–50 proc. iš PFS gaunamų duomenų yra apdorojama automatiškai Administracinių nusižengimų registre, o kitus duomenis apdoroja ir procesinius sprendimus priima policijos darbuotojai. 2020 m. iš PFS, priklausančių valstybės įmonei Lietuvos automobilių kelių direkcijai (toliau – LAKD), gauti 191 250, o iš savivaldybėms priklausančių PFS – 81 342 pažeidimų duomenys. Per šių metų septynis mėnesius policija gavo tirti 358 398 pažeidimus, kurių duomenys gauti iš LAKD priklausančių PFS, ir 57 779 pažeidimus, kurių duomenys gauti iš savivaldybėms priklausančių PFS.</w:t>
            </w:r>
          </w:p>
          <w:p w14:paraId="340D30C2" w14:textId="77777777" w:rsidR="00D954BC" w:rsidRPr="00936E6C" w:rsidRDefault="00D954BC" w:rsidP="00690950">
            <w:pPr>
              <w:pStyle w:val="Standard"/>
              <w:suppressAutoHyphens/>
              <w:spacing w:after="120"/>
              <w:jc w:val="both"/>
              <w:rPr>
                <w:rFonts w:ascii="Times New Roman" w:hAnsi="Times New Roman"/>
                <w:sz w:val="24"/>
                <w:szCs w:val="24"/>
                <w:lang w:eastAsia="ru-RU"/>
              </w:rPr>
            </w:pPr>
            <w:r w:rsidRPr="00936E6C">
              <w:rPr>
                <w:rFonts w:ascii="Times New Roman" w:hAnsi="Times New Roman"/>
                <w:sz w:val="24"/>
                <w:szCs w:val="24"/>
                <w:lang w:eastAsia="ru-RU"/>
              </w:rPr>
              <w:t xml:space="preserve">Esant ribotam pareigūnų, tiriančių administracinius nusižengimus, skaičiui, policija nuolat ieško efektyvesnių veiklos organizavimo būdų, pažangių informacinių technologijų įrankių, teikia pasiūlymus dėl teisinio reglamentavimo tobulinimo, nes tai leidžia sumažinti žmogiškųjų išteklių poreikį. Nepaisant to, manome, kad tiek LAKD, tiek savivaldos institucijų planuojama PFS plėtra turėtų būti vykdoma tik suderinus su Policijos departamentu ir tik tuo atveju, jei užtikrinamas žmogiškųjų išteklių, kurių </w:t>
            </w:r>
            <w:r w:rsidRPr="00936E6C">
              <w:rPr>
                <w:rFonts w:ascii="Times New Roman" w:hAnsi="Times New Roman"/>
                <w:sz w:val="24"/>
                <w:szCs w:val="24"/>
                <w:lang w:eastAsia="ru-RU"/>
              </w:rPr>
              <w:lastRenderedPageBreak/>
              <w:t>reikia gaunamiems duomenims apdoroti ir pažeidimams tirti, taip pat kitų tyrimams reikalingų priemonių finansavimas. Kitu atveju, trūkstant pajėgumų apdoroti ir tirti PFS užfiksuotus pažeidimus, gaunamų duomenų apdorojimas gali užtrukti neproporcingai ilgai, o tai turėtų neigiamos įtakos siekiant administracinės nuobaudos tikslų ir sustiprintų nebaudžiamumo jausmą.</w:t>
            </w:r>
          </w:p>
          <w:p w14:paraId="174DF07A" w14:textId="7914647B" w:rsidR="00D954BC" w:rsidRPr="00936E6C" w:rsidRDefault="00D954BC" w:rsidP="00EF2E3E">
            <w:pPr>
              <w:pStyle w:val="Standard"/>
              <w:suppressAutoHyphens/>
              <w:spacing w:after="120"/>
              <w:jc w:val="both"/>
              <w:rPr>
                <w:rFonts w:ascii="Times New Roman" w:hAnsi="Times New Roman"/>
                <w:sz w:val="24"/>
                <w:szCs w:val="24"/>
              </w:rPr>
            </w:pPr>
            <w:r w:rsidRPr="00936E6C">
              <w:rPr>
                <w:rFonts w:ascii="Times New Roman" w:hAnsi="Times New Roman"/>
                <w:sz w:val="24"/>
                <w:szCs w:val="24"/>
                <w:lang w:eastAsia="ru-RU"/>
              </w:rPr>
              <w:t>Lietuvos Respublikos biudžeto sandaros įstatymo 28 straipsnio 3 dalyje nustatyta, kad tais atvejais, kai administracinis nusižengimas yra užfiksuotas iš savivaldybės biudžeto išlaikomomis arba eksploatuojamomis stacionariomis ar mobiliosiomis teisės pažeidimų fiksavimo sistemomis, bauda už administracinį nusižengimą įskaitoma taip: 50 procentų įskaitoma į savivaldybės biudžetą, 50 procentų – į valstybės biudžetą. Tačiau, priešingai nei dėl administracinių nusižengimų, kurių tyrimas pradedamas gavus duomenis iš LAKD priklausančių PFS (Įstatymo 9 straipsnio 1 dalies 22 punktas), gautos lėšos nėra skiriamos PFS duomenų apdorojimo ir administracinių nusižengimų tyrimo veiklai finansuoti. Siūlome atitinkamai pakeisti Biudžeto sandaros įstatymo 28 straipsnio 3 dalį ir numatyti galimybę dalį surenkamų lėšų skirti PFS duomenis apdorojančiai ir administracinius nusižengimus tiriančiai institucijai.</w:t>
            </w:r>
          </w:p>
        </w:tc>
        <w:tc>
          <w:tcPr>
            <w:tcW w:w="4967" w:type="dxa"/>
          </w:tcPr>
          <w:p w14:paraId="30C5FCC9" w14:textId="77777777" w:rsidR="00D954BC" w:rsidRPr="00936E6C" w:rsidRDefault="00D954BC" w:rsidP="00690950">
            <w:pPr>
              <w:tabs>
                <w:tab w:val="left" w:pos="317"/>
              </w:tabs>
              <w:spacing w:after="0" w:line="240" w:lineRule="auto"/>
              <w:jc w:val="both"/>
              <w:rPr>
                <w:rFonts w:ascii="Times New Roman" w:eastAsia="Calibri" w:hAnsi="Times New Roman" w:cs="Times New Roman"/>
                <w:b/>
                <w:sz w:val="24"/>
                <w:szCs w:val="24"/>
              </w:rPr>
            </w:pPr>
            <w:r w:rsidRPr="00936E6C">
              <w:rPr>
                <w:rFonts w:ascii="Times New Roman" w:eastAsia="Calibri" w:hAnsi="Times New Roman" w:cs="Times New Roman"/>
                <w:b/>
                <w:sz w:val="24"/>
                <w:szCs w:val="24"/>
              </w:rPr>
              <w:lastRenderedPageBreak/>
              <w:t xml:space="preserve">Neatsižvelgta. </w:t>
            </w:r>
          </w:p>
          <w:p w14:paraId="240F3983" w14:textId="353E9D58" w:rsidR="00D954BC" w:rsidRPr="00936E6C" w:rsidRDefault="00D954BC" w:rsidP="00790FE5">
            <w:pPr>
              <w:tabs>
                <w:tab w:val="left" w:pos="317"/>
              </w:tabs>
              <w:spacing w:after="0" w:line="240" w:lineRule="auto"/>
              <w:jc w:val="both"/>
              <w:rPr>
                <w:rFonts w:ascii="Times New Roman" w:eastAsia="Calibri" w:hAnsi="Times New Roman" w:cs="Times New Roman"/>
                <w:b/>
                <w:sz w:val="24"/>
                <w:szCs w:val="24"/>
              </w:rPr>
            </w:pPr>
            <w:r w:rsidRPr="00936E6C">
              <w:rPr>
                <w:rFonts w:ascii="Times New Roman" w:eastAsia="Calibri" w:hAnsi="Times New Roman" w:cs="Times New Roman"/>
                <w:bCs/>
                <w:sz w:val="24"/>
                <w:szCs w:val="24"/>
              </w:rPr>
              <w:t xml:space="preserve">Siūlymas  inicijuoti Lietuvos Respublikos biudžeto sandaros įstatymo 28 straipsnio 3 dalies pakeitimą neatitinka </w:t>
            </w:r>
            <w:r w:rsidR="00430CC2" w:rsidRPr="00936E6C">
              <w:rPr>
                <w:rFonts w:ascii="Times New Roman" w:eastAsia="Calibri" w:hAnsi="Times New Roman" w:cs="Times New Roman"/>
                <w:bCs/>
                <w:sz w:val="24"/>
                <w:szCs w:val="24"/>
              </w:rPr>
              <w:t>K</w:t>
            </w:r>
            <w:r w:rsidRPr="00936E6C">
              <w:rPr>
                <w:rFonts w:ascii="Times New Roman" w:eastAsia="Calibri" w:hAnsi="Times New Roman" w:cs="Times New Roman"/>
                <w:bCs/>
                <w:sz w:val="24"/>
                <w:szCs w:val="24"/>
              </w:rPr>
              <w:t>elių priežiūros ir plėtros programos finansavimo įstatymo keitimo tikslų. Todėl siūlome Vidaus reikalų ministerijai pačiai  inicijuoti Biudžeto sandaros įstatymo keitimą.</w:t>
            </w:r>
          </w:p>
        </w:tc>
      </w:tr>
      <w:tr w:rsidR="006827BE" w:rsidRPr="00936E6C" w14:paraId="761F3209" w14:textId="77777777" w:rsidTr="00D954BC">
        <w:tc>
          <w:tcPr>
            <w:tcW w:w="1985" w:type="dxa"/>
            <w:vMerge w:val="restart"/>
          </w:tcPr>
          <w:p w14:paraId="25990E29" w14:textId="220A595D" w:rsidR="006827BE" w:rsidRPr="00936E6C" w:rsidRDefault="006827BE" w:rsidP="00690950">
            <w:pPr>
              <w:spacing w:after="0" w:line="240" w:lineRule="auto"/>
              <w:jc w:val="both"/>
              <w:rPr>
                <w:rFonts w:ascii="Times New Roman" w:hAnsi="Times New Roman" w:cs="Times New Roman"/>
                <w:sz w:val="24"/>
                <w:szCs w:val="24"/>
              </w:rPr>
            </w:pPr>
            <w:r w:rsidRPr="00936E6C">
              <w:rPr>
                <w:rFonts w:ascii="Times New Roman" w:hAnsi="Times New Roman" w:cs="Times New Roman"/>
                <w:sz w:val="24"/>
                <w:szCs w:val="24"/>
              </w:rPr>
              <w:t>Lietuvos Respublikos vidaus reikalų ministerijos 2021 m. rugpjūčio 31 d. raštas Nr. 1D-4970</w:t>
            </w:r>
          </w:p>
        </w:tc>
        <w:tc>
          <w:tcPr>
            <w:tcW w:w="8500" w:type="dxa"/>
          </w:tcPr>
          <w:p w14:paraId="63D016F0" w14:textId="5113D51F" w:rsidR="006827BE" w:rsidRPr="00936E6C" w:rsidRDefault="006827BE" w:rsidP="00690950">
            <w:pPr>
              <w:spacing w:after="120" w:line="240" w:lineRule="auto"/>
              <w:jc w:val="both"/>
              <w:rPr>
                <w:rFonts w:ascii="Times New Roman" w:eastAsia="Times New Roman" w:hAnsi="Times New Roman" w:cs="Times New Roman"/>
                <w:color w:val="000000"/>
                <w:sz w:val="24"/>
                <w:szCs w:val="24"/>
              </w:rPr>
            </w:pPr>
            <w:r w:rsidRPr="00936E6C">
              <w:rPr>
                <w:rFonts w:ascii="Times New Roman" w:eastAsia="Times New Roman" w:hAnsi="Times New Roman" w:cs="Times New Roman"/>
                <w:color w:val="000000"/>
                <w:sz w:val="24"/>
                <w:szCs w:val="24"/>
              </w:rPr>
              <w:t>1. Vidaus reikalų ministerijos vertinimu, Projekto 9 straipsnio 6 dalies 2 punkto nuostata, kuria įtvirtinama, kad metinėje lėšų naudojimo sąmatoje įstatymo 9 straipsnio 2 dalyje nustatytoms veikloms numatoma 33 procentai Programos finansavimo lėšų, kurie paskirstomi savivaldybių institucijų valdomiems vietinės reikšmės keliams – 98 procentai, iš kurių miestų savivaldybių vietinės reikšmės keliams – 35 procentai, kitų savivaldybių vietinės reikšmės keliams – 65 procentai, nėra aiški ir korektiška. Projekte nėra apibrėžta miestų savivaldybių samprata, kiti įstatymai tokio statuso taip pat nereglamentuoja. Atkreiptinas dėmesys, kad vien miesto savivaldybės statusas neparodo, kad toje savivaldybėje yra didesnis infrastruktūros poreikis.</w:t>
            </w:r>
          </w:p>
          <w:p w14:paraId="7E60505D" w14:textId="1B63EEE2" w:rsidR="006827BE" w:rsidRPr="00936E6C" w:rsidRDefault="006827BE" w:rsidP="00690950">
            <w:pPr>
              <w:spacing w:after="120" w:line="240" w:lineRule="auto"/>
              <w:jc w:val="both"/>
              <w:rPr>
                <w:rFonts w:ascii="Times New Roman" w:eastAsia="Times New Roman" w:hAnsi="Times New Roman" w:cs="Times New Roman"/>
                <w:color w:val="000000"/>
                <w:sz w:val="24"/>
                <w:szCs w:val="24"/>
              </w:rPr>
            </w:pPr>
            <w:r w:rsidRPr="00936E6C">
              <w:rPr>
                <w:rFonts w:ascii="Times New Roman" w:eastAsia="Times New Roman" w:hAnsi="Times New Roman" w:cs="Times New Roman"/>
                <w:color w:val="000000"/>
                <w:sz w:val="24"/>
                <w:szCs w:val="24"/>
              </w:rPr>
              <w:t xml:space="preserve">Užtikrinant tvarią miestų plėtrą ypatingas vaidmuo tenka regionų centrams. Jie dėl savo dydžio, ekonominio potencialo ir geografinės padėties funkcionuoja kaip administraciniai, ekonominiai ir paslaugų centrai, aptarnaudami aplinkines teritorijas, peržengiančias savivaldybių administracines ribas. Nuo sėkmingo jų funkcionavimo, ekonominio, socialinio ir aplinkosauginio tvarumo bei atsparumo labai priklauso regionų gyventojų gyvenimo ir darbo kokybė, verslų gyvybingumas ir plėtra, regionų investicinis patrauklumas. Susisiekimo infrastruktūra yra labai svarbus veiksnys užtikrinant regionų (apskričių) centrų plėtrą. Atsižvelgdami į tai, kas išdėstyta, ir į </w:t>
            </w:r>
            <w:r w:rsidRPr="00936E6C">
              <w:rPr>
                <w:rFonts w:ascii="Times New Roman" w:eastAsia="Times New Roman" w:hAnsi="Times New Roman" w:cs="Times New Roman"/>
                <w:color w:val="000000"/>
                <w:sz w:val="24"/>
                <w:szCs w:val="24"/>
              </w:rPr>
              <w:lastRenderedPageBreak/>
              <w:t>apskričių centrų savivaldybių gyventojų skaičių (38 procentai šalies gyventojų), siūlome 9 straipsnio 6 dalies 2 punkto pirmąjį sakinį išdėstyti taip:</w:t>
            </w:r>
          </w:p>
          <w:p w14:paraId="7BC10CDD" w14:textId="37CADA5F" w:rsidR="006827BE" w:rsidRPr="00936E6C" w:rsidRDefault="006827BE" w:rsidP="00690950">
            <w:pPr>
              <w:spacing w:after="120" w:line="240" w:lineRule="auto"/>
              <w:ind w:firstLine="851"/>
              <w:jc w:val="both"/>
              <w:rPr>
                <w:rFonts w:ascii="Times New Roman" w:eastAsia="Times New Roman" w:hAnsi="Times New Roman" w:cs="Times New Roman"/>
                <w:color w:val="000000"/>
                <w:sz w:val="24"/>
                <w:szCs w:val="24"/>
                <w:highlight w:val="yellow"/>
              </w:rPr>
            </w:pPr>
            <w:r w:rsidRPr="00936E6C">
              <w:rPr>
                <w:rFonts w:ascii="Times New Roman" w:eastAsia="Times New Roman" w:hAnsi="Times New Roman" w:cs="Times New Roman"/>
                <w:sz w:val="24"/>
                <w:szCs w:val="24"/>
              </w:rPr>
              <w:t>„2) Savivaldybių institucijų valdomiems vietinės reikšmės keliams – 98 procentai, iš kurių </w:t>
            </w:r>
            <w:r w:rsidRPr="00936E6C">
              <w:rPr>
                <w:rFonts w:ascii="Times New Roman" w:eastAsia="Times New Roman" w:hAnsi="Times New Roman" w:cs="Times New Roman"/>
                <w:strike/>
                <w:sz w:val="24"/>
                <w:szCs w:val="24"/>
              </w:rPr>
              <w:t>miestų savivaldybių</w:t>
            </w:r>
            <w:r w:rsidRPr="00936E6C">
              <w:rPr>
                <w:rFonts w:ascii="Times New Roman" w:eastAsia="Times New Roman" w:hAnsi="Times New Roman" w:cs="Times New Roman"/>
                <w:sz w:val="24"/>
                <w:szCs w:val="24"/>
              </w:rPr>
              <w:t> </w:t>
            </w:r>
            <w:r w:rsidRPr="00936E6C">
              <w:rPr>
                <w:rFonts w:ascii="Times New Roman" w:eastAsia="Times New Roman" w:hAnsi="Times New Roman" w:cs="Times New Roman"/>
                <w:b/>
                <w:bCs/>
                <w:sz w:val="24"/>
                <w:szCs w:val="24"/>
              </w:rPr>
              <w:t>apskričių centrų savivaldybių </w:t>
            </w:r>
            <w:r w:rsidRPr="00936E6C">
              <w:rPr>
                <w:rFonts w:ascii="Times New Roman" w:eastAsia="Times New Roman" w:hAnsi="Times New Roman" w:cs="Times New Roman"/>
                <w:sz w:val="24"/>
                <w:szCs w:val="24"/>
              </w:rPr>
              <w:t>vietinės reikšmės keliams – </w:t>
            </w:r>
            <w:r w:rsidRPr="00936E6C">
              <w:rPr>
                <w:rFonts w:ascii="Times New Roman" w:eastAsia="Times New Roman" w:hAnsi="Times New Roman" w:cs="Times New Roman"/>
                <w:strike/>
                <w:sz w:val="24"/>
                <w:szCs w:val="24"/>
              </w:rPr>
              <w:t>35</w:t>
            </w:r>
            <w:r w:rsidRPr="00936E6C">
              <w:rPr>
                <w:rFonts w:ascii="Times New Roman" w:eastAsia="Times New Roman" w:hAnsi="Times New Roman" w:cs="Times New Roman"/>
                <w:sz w:val="24"/>
                <w:szCs w:val="24"/>
              </w:rPr>
              <w:t> </w:t>
            </w:r>
            <w:r w:rsidRPr="00936E6C">
              <w:rPr>
                <w:rFonts w:ascii="Times New Roman" w:eastAsia="Times New Roman" w:hAnsi="Times New Roman" w:cs="Times New Roman"/>
                <w:b/>
                <w:bCs/>
                <w:sz w:val="24"/>
                <w:szCs w:val="24"/>
              </w:rPr>
              <w:t>38 </w:t>
            </w:r>
            <w:r w:rsidRPr="00936E6C">
              <w:rPr>
                <w:rFonts w:ascii="Times New Roman" w:eastAsia="Times New Roman" w:hAnsi="Times New Roman" w:cs="Times New Roman"/>
                <w:sz w:val="24"/>
                <w:szCs w:val="24"/>
              </w:rPr>
              <w:t>procentai, kitų savivaldybių vietinės reikšmės keliams – </w:t>
            </w:r>
            <w:r w:rsidRPr="00936E6C">
              <w:rPr>
                <w:rFonts w:ascii="Times New Roman" w:eastAsia="Times New Roman" w:hAnsi="Times New Roman" w:cs="Times New Roman"/>
                <w:strike/>
                <w:sz w:val="24"/>
                <w:szCs w:val="24"/>
              </w:rPr>
              <w:t>65</w:t>
            </w:r>
            <w:r w:rsidRPr="00936E6C">
              <w:rPr>
                <w:rFonts w:ascii="Times New Roman" w:eastAsia="Times New Roman" w:hAnsi="Times New Roman" w:cs="Times New Roman"/>
                <w:sz w:val="24"/>
                <w:szCs w:val="24"/>
              </w:rPr>
              <w:t> </w:t>
            </w:r>
            <w:r w:rsidRPr="00936E6C">
              <w:rPr>
                <w:rFonts w:ascii="Times New Roman" w:eastAsia="Times New Roman" w:hAnsi="Times New Roman" w:cs="Times New Roman"/>
                <w:b/>
                <w:bCs/>
                <w:sz w:val="24"/>
                <w:szCs w:val="24"/>
              </w:rPr>
              <w:t>62</w:t>
            </w:r>
            <w:r w:rsidRPr="00936E6C">
              <w:rPr>
                <w:rFonts w:ascii="Times New Roman" w:eastAsia="Times New Roman" w:hAnsi="Times New Roman" w:cs="Times New Roman"/>
                <w:sz w:val="24"/>
                <w:szCs w:val="24"/>
              </w:rPr>
              <w:t> procentai.“</w:t>
            </w:r>
          </w:p>
        </w:tc>
        <w:tc>
          <w:tcPr>
            <w:tcW w:w="4967" w:type="dxa"/>
          </w:tcPr>
          <w:p w14:paraId="1A8510D4" w14:textId="77777777" w:rsidR="0009131E" w:rsidRPr="00936E6C" w:rsidRDefault="0009131E" w:rsidP="00690950">
            <w:pPr>
              <w:tabs>
                <w:tab w:val="left" w:pos="317"/>
              </w:tabs>
              <w:spacing w:after="0" w:line="240" w:lineRule="auto"/>
              <w:jc w:val="both"/>
              <w:rPr>
                <w:rFonts w:ascii="Times New Roman" w:eastAsia="Calibri" w:hAnsi="Times New Roman" w:cs="Times New Roman"/>
                <w:b/>
                <w:sz w:val="24"/>
                <w:szCs w:val="24"/>
              </w:rPr>
            </w:pPr>
            <w:r w:rsidRPr="00936E6C">
              <w:rPr>
                <w:rFonts w:ascii="Times New Roman" w:eastAsia="Calibri" w:hAnsi="Times New Roman" w:cs="Times New Roman"/>
                <w:b/>
                <w:sz w:val="24"/>
                <w:szCs w:val="24"/>
              </w:rPr>
              <w:lastRenderedPageBreak/>
              <w:t xml:space="preserve">Neatsižvelgta. </w:t>
            </w:r>
          </w:p>
          <w:p w14:paraId="2DB4E5E6" w14:textId="08BC684C" w:rsidR="00046C76" w:rsidRPr="00936E6C" w:rsidRDefault="00046C76" w:rsidP="00690950">
            <w:pPr>
              <w:tabs>
                <w:tab w:val="left" w:pos="317"/>
              </w:tabs>
              <w:spacing w:after="0" w:line="240" w:lineRule="auto"/>
              <w:jc w:val="both"/>
              <w:rPr>
                <w:rFonts w:ascii="Times New Roman" w:eastAsia="Calibri" w:hAnsi="Times New Roman" w:cs="Times New Roman"/>
                <w:bCs/>
                <w:sz w:val="24"/>
                <w:szCs w:val="24"/>
              </w:rPr>
            </w:pPr>
            <w:r w:rsidRPr="00936E6C">
              <w:rPr>
                <w:rFonts w:ascii="Times New Roman" w:eastAsia="Calibri" w:hAnsi="Times New Roman" w:cs="Times New Roman"/>
                <w:bCs/>
                <w:sz w:val="24"/>
                <w:szCs w:val="24"/>
              </w:rPr>
              <w:t>1.</w:t>
            </w:r>
            <w:r w:rsidRPr="00936E6C">
              <w:rPr>
                <w:rFonts w:ascii="Times New Roman" w:eastAsia="Calibri" w:hAnsi="Times New Roman" w:cs="Times New Roman"/>
                <w:bCs/>
                <w:sz w:val="24"/>
                <w:szCs w:val="24"/>
              </w:rPr>
              <w:tab/>
            </w:r>
            <w:r w:rsidR="0080339F" w:rsidRPr="00936E6C">
              <w:rPr>
                <w:rFonts w:ascii="Times New Roman" w:eastAsia="Calibri" w:hAnsi="Times New Roman" w:cs="Times New Roman"/>
                <w:bCs/>
                <w:sz w:val="24"/>
                <w:szCs w:val="24"/>
              </w:rPr>
              <w:t xml:space="preserve">Susisiekimo ministerijos nuomone, dėl šio pasiūlymo </w:t>
            </w:r>
            <w:r w:rsidRPr="00936E6C">
              <w:rPr>
                <w:rFonts w:ascii="Times New Roman" w:eastAsia="Calibri" w:hAnsi="Times New Roman" w:cs="Times New Roman"/>
                <w:bCs/>
                <w:sz w:val="24"/>
                <w:szCs w:val="24"/>
              </w:rPr>
              <w:t>labiausiai nukentėtų 7 miestų savivaldybės – Alytaus miesto, Klaipėdos miesto, Neringos, Palangos miesto, Panevėžio miesto, Šiaulių miesto ir Visagino</w:t>
            </w:r>
            <w:r w:rsidR="0080339F" w:rsidRPr="00936E6C">
              <w:rPr>
                <w:rFonts w:ascii="Times New Roman" w:eastAsia="Calibri" w:hAnsi="Times New Roman" w:cs="Times New Roman"/>
                <w:bCs/>
                <w:sz w:val="24"/>
                <w:szCs w:val="24"/>
              </w:rPr>
              <w:t xml:space="preserve">. </w:t>
            </w:r>
          </w:p>
          <w:p w14:paraId="0FE47117" w14:textId="7B9945E9" w:rsidR="00046C76" w:rsidRPr="00936E6C" w:rsidRDefault="00046C76" w:rsidP="00690950">
            <w:pPr>
              <w:tabs>
                <w:tab w:val="left" w:pos="317"/>
              </w:tabs>
              <w:spacing w:after="0" w:line="240" w:lineRule="auto"/>
              <w:jc w:val="both"/>
              <w:rPr>
                <w:rFonts w:ascii="Times New Roman" w:eastAsia="Calibri" w:hAnsi="Times New Roman" w:cs="Times New Roman"/>
                <w:bCs/>
                <w:sz w:val="24"/>
                <w:szCs w:val="24"/>
              </w:rPr>
            </w:pPr>
            <w:r w:rsidRPr="00936E6C">
              <w:rPr>
                <w:rFonts w:ascii="Times New Roman" w:eastAsia="Calibri" w:hAnsi="Times New Roman" w:cs="Times New Roman"/>
                <w:bCs/>
                <w:sz w:val="24"/>
                <w:szCs w:val="24"/>
              </w:rPr>
              <w:t>2.</w:t>
            </w:r>
            <w:r w:rsidRPr="00936E6C">
              <w:rPr>
                <w:rFonts w:ascii="Times New Roman" w:eastAsia="Calibri" w:hAnsi="Times New Roman" w:cs="Times New Roman"/>
                <w:bCs/>
                <w:sz w:val="24"/>
                <w:szCs w:val="24"/>
              </w:rPr>
              <w:tab/>
              <w:t>Dar 2 miestų savivaldybėms (Kauno ir Vilniaus)</w:t>
            </w:r>
            <w:r w:rsidR="00553299" w:rsidRPr="00936E6C">
              <w:rPr>
                <w:rFonts w:ascii="Times New Roman" w:eastAsia="Calibri" w:hAnsi="Times New Roman" w:cs="Times New Roman"/>
                <w:bCs/>
                <w:sz w:val="24"/>
                <w:szCs w:val="24"/>
              </w:rPr>
              <w:t>,</w:t>
            </w:r>
            <w:r w:rsidRPr="00936E6C">
              <w:rPr>
                <w:rFonts w:ascii="Times New Roman" w:eastAsia="Calibri" w:hAnsi="Times New Roman" w:cs="Times New Roman"/>
                <w:bCs/>
                <w:sz w:val="24"/>
                <w:szCs w:val="24"/>
              </w:rPr>
              <w:t xml:space="preserve"> nors </w:t>
            </w:r>
            <w:r w:rsidR="0080339F" w:rsidRPr="00936E6C">
              <w:rPr>
                <w:rFonts w:ascii="Times New Roman" w:eastAsia="Calibri" w:hAnsi="Times New Roman" w:cs="Times New Roman"/>
                <w:bCs/>
                <w:sz w:val="24"/>
                <w:szCs w:val="24"/>
              </w:rPr>
              <w:t>Programos</w:t>
            </w:r>
            <w:r w:rsidRPr="00936E6C">
              <w:rPr>
                <w:rFonts w:ascii="Times New Roman" w:eastAsia="Calibri" w:hAnsi="Times New Roman" w:cs="Times New Roman"/>
                <w:bCs/>
                <w:sz w:val="24"/>
                <w:szCs w:val="24"/>
              </w:rPr>
              <w:t xml:space="preserve"> skaičiuojamųjų lėšų </w:t>
            </w:r>
            <w:r w:rsidR="00553299" w:rsidRPr="00936E6C">
              <w:rPr>
                <w:rFonts w:ascii="Times New Roman" w:eastAsia="Calibri" w:hAnsi="Times New Roman" w:cs="Times New Roman"/>
                <w:bCs/>
                <w:sz w:val="24"/>
                <w:szCs w:val="24"/>
              </w:rPr>
              <w:t>a</w:t>
            </w:r>
            <w:r w:rsidRPr="00936E6C">
              <w:rPr>
                <w:rFonts w:ascii="Times New Roman" w:eastAsia="Calibri" w:hAnsi="Times New Roman" w:cs="Times New Roman"/>
                <w:bCs/>
                <w:sz w:val="24"/>
                <w:szCs w:val="24"/>
              </w:rPr>
              <w:t>pskaičiuojama ir daugiau</w:t>
            </w:r>
            <w:r w:rsidR="00553299" w:rsidRPr="00936E6C">
              <w:rPr>
                <w:rFonts w:ascii="Times New Roman" w:eastAsia="Calibri" w:hAnsi="Times New Roman" w:cs="Times New Roman"/>
                <w:bCs/>
                <w:sz w:val="24"/>
                <w:szCs w:val="24"/>
              </w:rPr>
              <w:t>,</w:t>
            </w:r>
            <w:r w:rsidRPr="00936E6C">
              <w:rPr>
                <w:rFonts w:ascii="Times New Roman" w:eastAsia="Calibri" w:hAnsi="Times New Roman" w:cs="Times New Roman"/>
                <w:bCs/>
                <w:sz w:val="24"/>
                <w:szCs w:val="24"/>
              </w:rPr>
              <w:t xml:space="preserve"> bet didėjimas</w:t>
            </w:r>
            <w:r w:rsidR="00553299" w:rsidRPr="00936E6C">
              <w:rPr>
                <w:rFonts w:ascii="Times New Roman" w:eastAsia="Calibri" w:hAnsi="Times New Roman" w:cs="Times New Roman"/>
                <w:bCs/>
                <w:sz w:val="24"/>
                <w:szCs w:val="24"/>
              </w:rPr>
              <w:t>,</w:t>
            </w:r>
            <w:r w:rsidRPr="00936E6C">
              <w:rPr>
                <w:rFonts w:ascii="Times New Roman" w:eastAsia="Calibri" w:hAnsi="Times New Roman" w:cs="Times New Roman"/>
                <w:bCs/>
                <w:sz w:val="24"/>
                <w:szCs w:val="24"/>
              </w:rPr>
              <w:t xml:space="preserve"> palyginti su vidurkiu (33,6</w:t>
            </w:r>
            <w:r w:rsidR="00553299" w:rsidRPr="00936E6C">
              <w:rPr>
                <w:rFonts w:ascii="Times New Roman" w:eastAsia="Calibri" w:hAnsi="Times New Roman" w:cs="Times New Roman"/>
                <w:bCs/>
                <w:sz w:val="24"/>
                <w:szCs w:val="24"/>
              </w:rPr>
              <w:t xml:space="preserve"> </w:t>
            </w:r>
            <w:r w:rsidRPr="00936E6C">
              <w:rPr>
                <w:rFonts w:ascii="Times New Roman" w:eastAsia="Calibri" w:hAnsi="Times New Roman" w:cs="Times New Roman"/>
                <w:bCs/>
                <w:sz w:val="24"/>
                <w:szCs w:val="24"/>
              </w:rPr>
              <w:t>%)</w:t>
            </w:r>
            <w:r w:rsidR="00553299" w:rsidRPr="00936E6C">
              <w:rPr>
                <w:rFonts w:ascii="Times New Roman" w:eastAsia="Calibri" w:hAnsi="Times New Roman" w:cs="Times New Roman"/>
                <w:bCs/>
                <w:sz w:val="24"/>
                <w:szCs w:val="24"/>
              </w:rPr>
              <w:t>,</w:t>
            </w:r>
            <w:r w:rsidRPr="00936E6C">
              <w:rPr>
                <w:rFonts w:ascii="Times New Roman" w:eastAsia="Calibri" w:hAnsi="Times New Roman" w:cs="Times New Roman"/>
                <w:bCs/>
                <w:sz w:val="24"/>
                <w:szCs w:val="24"/>
              </w:rPr>
              <w:t xml:space="preserve"> </w:t>
            </w:r>
            <w:r w:rsidR="00553299" w:rsidRPr="00936E6C">
              <w:rPr>
                <w:rFonts w:ascii="Times New Roman" w:eastAsia="Calibri" w:hAnsi="Times New Roman" w:cs="Times New Roman"/>
                <w:bCs/>
                <w:sz w:val="24"/>
                <w:szCs w:val="24"/>
              </w:rPr>
              <w:t xml:space="preserve">yra </w:t>
            </w:r>
            <w:r w:rsidRPr="00936E6C">
              <w:rPr>
                <w:rFonts w:ascii="Times New Roman" w:eastAsia="Calibri" w:hAnsi="Times New Roman" w:cs="Times New Roman"/>
                <w:bCs/>
                <w:sz w:val="24"/>
                <w:szCs w:val="24"/>
              </w:rPr>
              <w:t>ne</w:t>
            </w:r>
            <w:r w:rsidR="00553299" w:rsidRPr="00936E6C">
              <w:rPr>
                <w:rFonts w:ascii="Times New Roman" w:eastAsia="Calibri" w:hAnsi="Times New Roman" w:cs="Times New Roman"/>
                <w:bCs/>
                <w:sz w:val="24"/>
                <w:szCs w:val="24"/>
              </w:rPr>
              <w:t>didelis</w:t>
            </w:r>
            <w:r w:rsidRPr="00936E6C">
              <w:rPr>
                <w:rFonts w:ascii="Times New Roman" w:eastAsia="Calibri" w:hAnsi="Times New Roman" w:cs="Times New Roman"/>
                <w:bCs/>
                <w:sz w:val="24"/>
                <w:szCs w:val="24"/>
              </w:rPr>
              <w:t xml:space="preserve"> – Kauno MS 0,4</w:t>
            </w:r>
            <w:r w:rsidR="00553299" w:rsidRPr="00936E6C">
              <w:rPr>
                <w:rFonts w:ascii="Times New Roman" w:eastAsia="Calibri" w:hAnsi="Times New Roman" w:cs="Times New Roman"/>
                <w:bCs/>
                <w:sz w:val="24"/>
                <w:szCs w:val="24"/>
              </w:rPr>
              <w:t xml:space="preserve"> </w:t>
            </w:r>
            <w:r w:rsidRPr="00936E6C">
              <w:rPr>
                <w:rFonts w:ascii="Times New Roman" w:eastAsia="Calibri" w:hAnsi="Times New Roman" w:cs="Times New Roman"/>
                <w:bCs/>
                <w:sz w:val="24"/>
                <w:szCs w:val="24"/>
              </w:rPr>
              <w:t>%, Vilniaus MS 3,9</w:t>
            </w:r>
            <w:r w:rsidR="00553299" w:rsidRPr="00936E6C">
              <w:rPr>
                <w:rFonts w:ascii="Times New Roman" w:eastAsia="Calibri" w:hAnsi="Times New Roman" w:cs="Times New Roman"/>
                <w:bCs/>
                <w:sz w:val="24"/>
                <w:szCs w:val="24"/>
              </w:rPr>
              <w:t xml:space="preserve"> </w:t>
            </w:r>
            <w:r w:rsidRPr="00936E6C">
              <w:rPr>
                <w:rFonts w:ascii="Times New Roman" w:eastAsia="Calibri" w:hAnsi="Times New Roman" w:cs="Times New Roman"/>
                <w:bCs/>
                <w:sz w:val="24"/>
                <w:szCs w:val="24"/>
              </w:rPr>
              <w:t>%.</w:t>
            </w:r>
          </w:p>
          <w:p w14:paraId="66E550BB" w14:textId="421C02AA" w:rsidR="00046C76" w:rsidRPr="00936E6C" w:rsidRDefault="00046C76" w:rsidP="00690950">
            <w:pPr>
              <w:tabs>
                <w:tab w:val="left" w:pos="317"/>
              </w:tabs>
              <w:spacing w:after="0" w:line="240" w:lineRule="auto"/>
              <w:jc w:val="both"/>
              <w:rPr>
                <w:rFonts w:ascii="Times New Roman" w:eastAsia="Calibri" w:hAnsi="Times New Roman" w:cs="Times New Roman"/>
                <w:bCs/>
                <w:sz w:val="24"/>
                <w:szCs w:val="24"/>
              </w:rPr>
            </w:pPr>
            <w:r w:rsidRPr="00936E6C">
              <w:rPr>
                <w:rFonts w:ascii="Times New Roman" w:eastAsia="Calibri" w:hAnsi="Times New Roman" w:cs="Times New Roman"/>
                <w:bCs/>
                <w:sz w:val="24"/>
                <w:szCs w:val="24"/>
              </w:rPr>
              <w:t>3.</w:t>
            </w:r>
            <w:r w:rsidRPr="00936E6C">
              <w:rPr>
                <w:rFonts w:ascii="Times New Roman" w:eastAsia="Calibri" w:hAnsi="Times New Roman" w:cs="Times New Roman"/>
                <w:bCs/>
                <w:sz w:val="24"/>
                <w:szCs w:val="24"/>
              </w:rPr>
              <w:tab/>
              <w:t xml:space="preserve">Akivaizdžiai daug </w:t>
            </w:r>
            <w:r w:rsidR="0080339F" w:rsidRPr="00936E6C">
              <w:rPr>
                <w:rFonts w:ascii="Times New Roman" w:eastAsia="Calibri" w:hAnsi="Times New Roman" w:cs="Times New Roman"/>
                <w:bCs/>
                <w:sz w:val="24"/>
                <w:szCs w:val="24"/>
              </w:rPr>
              <w:t>Programos finansavimo</w:t>
            </w:r>
            <w:r w:rsidRPr="00936E6C">
              <w:rPr>
                <w:rFonts w:ascii="Times New Roman" w:eastAsia="Calibri" w:hAnsi="Times New Roman" w:cs="Times New Roman"/>
                <w:bCs/>
                <w:sz w:val="24"/>
                <w:szCs w:val="24"/>
              </w:rPr>
              <w:t xml:space="preserve"> skaičiuojamųjų lėšų būtų </w:t>
            </w:r>
            <w:r w:rsidR="00553299" w:rsidRPr="00936E6C">
              <w:rPr>
                <w:rFonts w:ascii="Times New Roman" w:eastAsia="Calibri" w:hAnsi="Times New Roman" w:cs="Times New Roman"/>
                <w:bCs/>
                <w:sz w:val="24"/>
                <w:szCs w:val="24"/>
              </w:rPr>
              <w:t>a</w:t>
            </w:r>
            <w:r w:rsidRPr="00936E6C">
              <w:rPr>
                <w:rFonts w:ascii="Times New Roman" w:eastAsia="Calibri" w:hAnsi="Times New Roman" w:cs="Times New Roman"/>
                <w:bCs/>
                <w:sz w:val="24"/>
                <w:szCs w:val="24"/>
              </w:rPr>
              <w:t>pskaičiuojama apskričių centrų rajoninėms savivaldybėms, perkeltoms į kitą savivaldybių grupę:</w:t>
            </w:r>
          </w:p>
          <w:p w14:paraId="06570FEC" w14:textId="479F19E3" w:rsidR="00046C76" w:rsidRPr="00936E6C" w:rsidRDefault="00046C76" w:rsidP="00690950">
            <w:pPr>
              <w:tabs>
                <w:tab w:val="left" w:pos="317"/>
              </w:tabs>
              <w:spacing w:after="0" w:line="240" w:lineRule="auto"/>
              <w:jc w:val="both"/>
              <w:rPr>
                <w:rFonts w:ascii="Times New Roman" w:eastAsia="Calibri" w:hAnsi="Times New Roman" w:cs="Times New Roman"/>
                <w:bCs/>
                <w:sz w:val="24"/>
                <w:szCs w:val="24"/>
              </w:rPr>
            </w:pPr>
            <w:r w:rsidRPr="00936E6C">
              <w:rPr>
                <w:rFonts w:ascii="Times New Roman" w:eastAsia="Calibri" w:hAnsi="Times New Roman" w:cs="Times New Roman"/>
                <w:bCs/>
                <w:sz w:val="24"/>
                <w:szCs w:val="24"/>
              </w:rPr>
              <w:t>•</w:t>
            </w:r>
            <w:r w:rsidRPr="00936E6C">
              <w:rPr>
                <w:rFonts w:ascii="Times New Roman" w:eastAsia="Calibri" w:hAnsi="Times New Roman" w:cs="Times New Roman"/>
                <w:bCs/>
                <w:sz w:val="24"/>
                <w:szCs w:val="24"/>
              </w:rPr>
              <w:tab/>
              <w:t>Marijampolės – 2,4 karto</w:t>
            </w:r>
            <w:r w:rsidR="00553299" w:rsidRPr="00936E6C">
              <w:rPr>
                <w:rFonts w:ascii="Times New Roman" w:eastAsia="Calibri" w:hAnsi="Times New Roman" w:cs="Times New Roman"/>
                <w:bCs/>
                <w:sz w:val="24"/>
                <w:szCs w:val="24"/>
              </w:rPr>
              <w:t>,</w:t>
            </w:r>
            <w:r w:rsidRPr="00936E6C">
              <w:rPr>
                <w:rFonts w:ascii="Times New Roman" w:eastAsia="Calibri" w:hAnsi="Times New Roman" w:cs="Times New Roman"/>
                <w:bCs/>
                <w:sz w:val="24"/>
                <w:szCs w:val="24"/>
              </w:rPr>
              <w:t xml:space="preserve"> </w:t>
            </w:r>
            <w:r w:rsidR="00553299" w:rsidRPr="00936E6C">
              <w:rPr>
                <w:rFonts w:ascii="Times New Roman" w:eastAsia="Calibri" w:hAnsi="Times New Roman" w:cs="Times New Roman"/>
                <w:bCs/>
                <w:sz w:val="24"/>
                <w:szCs w:val="24"/>
              </w:rPr>
              <w:t>pa</w:t>
            </w:r>
            <w:r w:rsidRPr="00936E6C">
              <w:rPr>
                <w:rFonts w:ascii="Times New Roman" w:eastAsia="Calibri" w:hAnsi="Times New Roman" w:cs="Times New Roman"/>
                <w:bCs/>
                <w:sz w:val="24"/>
                <w:szCs w:val="24"/>
              </w:rPr>
              <w:t>lygin</w:t>
            </w:r>
            <w:r w:rsidR="00553299" w:rsidRPr="00936E6C">
              <w:rPr>
                <w:rFonts w:ascii="Times New Roman" w:eastAsia="Calibri" w:hAnsi="Times New Roman" w:cs="Times New Roman"/>
                <w:bCs/>
                <w:sz w:val="24"/>
                <w:szCs w:val="24"/>
              </w:rPr>
              <w:t>ti</w:t>
            </w:r>
            <w:r w:rsidRPr="00936E6C">
              <w:rPr>
                <w:rFonts w:ascii="Times New Roman" w:eastAsia="Calibri" w:hAnsi="Times New Roman" w:cs="Times New Roman"/>
                <w:bCs/>
                <w:sz w:val="24"/>
                <w:szCs w:val="24"/>
              </w:rPr>
              <w:t xml:space="preserve"> su 2021 m. faktu</w:t>
            </w:r>
            <w:r w:rsidR="00553299" w:rsidRPr="00936E6C">
              <w:rPr>
                <w:rFonts w:ascii="Times New Roman" w:eastAsia="Calibri" w:hAnsi="Times New Roman" w:cs="Times New Roman"/>
                <w:bCs/>
                <w:sz w:val="24"/>
                <w:szCs w:val="24"/>
              </w:rPr>
              <w:t>,</w:t>
            </w:r>
            <w:r w:rsidRPr="00936E6C">
              <w:rPr>
                <w:rFonts w:ascii="Times New Roman" w:eastAsia="Calibri" w:hAnsi="Times New Roman" w:cs="Times New Roman"/>
                <w:bCs/>
                <w:sz w:val="24"/>
                <w:szCs w:val="24"/>
              </w:rPr>
              <w:t xml:space="preserve"> arba 1,8 karto daugiau negu vidutinis savivaldybėms skirtų </w:t>
            </w:r>
            <w:r w:rsidR="0080339F" w:rsidRPr="00936E6C">
              <w:rPr>
                <w:rFonts w:ascii="Times New Roman" w:eastAsia="Calibri" w:hAnsi="Times New Roman" w:cs="Times New Roman"/>
                <w:bCs/>
                <w:sz w:val="24"/>
                <w:szCs w:val="24"/>
              </w:rPr>
              <w:t xml:space="preserve"> Programos finansavimo </w:t>
            </w:r>
            <w:r w:rsidRPr="00936E6C">
              <w:rPr>
                <w:rFonts w:ascii="Times New Roman" w:eastAsia="Calibri" w:hAnsi="Times New Roman" w:cs="Times New Roman"/>
                <w:bCs/>
                <w:sz w:val="24"/>
                <w:szCs w:val="24"/>
              </w:rPr>
              <w:t>lėšų padidėjimas;</w:t>
            </w:r>
          </w:p>
          <w:p w14:paraId="550A791F" w14:textId="3DB0E30B" w:rsidR="00046C76" w:rsidRPr="00936E6C" w:rsidRDefault="00046C76" w:rsidP="00690950">
            <w:pPr>
              <w:tabs>
                <w:tab w:val="left" w:pos="317"/>
              </w:tabs>
              <w:spacing w:after="0" w:line="240" w:lineRule="auto"/>
              <w:jc w:val="both"/>
              <w:rPr>
                <w:rFonts w:ascii="Times New Roman" w:eastAsia="Calibri" w:hAnsi="Times New Roman" w:cs="Times New Roman"/>
                <w:bCs/>
                <w:sz w:val="24"/>
                <w:szCs w:val="24"/>
              </w:rPr>
            </w:pPr>
            <w:r w:rsidRPr="00936E6C">
              <w:rPr>
                <w:rFonts w:ascii="Times New Roman" w:eastAsia="Calibri" w:hAnsi="Times New Roman" w:cs="Times New Roman"/>
                <w:bCs/>
                <w:sz w:val="24"/>
                <w:szCs w:val="24"/>
              </w:rPr>
              <w:lastRenderedPageBreak/>
              <w:t>•</w:t>
            </w:r>
            <w:r w:rsidRPr="00936E6C">
              <w:rPr>
                <w:rFonts w:ascii="Times New Roman" w:eastAsia="Calibri" w:hAnsi="Times New Roman" w:cs="Times New Roman"/>
                <w:bCs/>
                <w:sz w:val="24"/>
                <w:szCs w:val="24"/>
              </w:rPr>
              <w:tab/>
              <w:t>Tauragės rajono – 3,2 karto</w:t>
            </w:r>
            <w:r w:rsidR="00553299" w:rsidRPr="00936E6C">
              <w:rPr>
                <w:rFonts w:ascii="Times New Roman" w:eastAsia="Calibri" w:hAnsi="Times New Roman" w:cs="Times New Roman"/>
                <w:bCs/>
                <w:sz w:val="24"/>
                <w:szCs w:val="24"/>
              </w:rPr>
              <w:t>,</w:t>
            </w:r>
            <w:r w:rsidRPr="00936E6C">
              <w:rPr>
                <w:rFonts w:ascii="Times New Roman" w:eastAsia="Calibri" w:hAnsi="Times New Roman" w:cs="Times New Roman"/>
                <w:bCs/>
                <w:sz w:val="24"/>
                <w:szCs w:val="24"/>
              </w:rPr>
              <w:t xml:space="preserve"> </w:t>
            </w:r>
            <w:r w:rsidR="00553299" w:rsidRPr="00936E6C">
              <w:rPr>
                <w:rFonts w:ascii="Times New Roman" w:eastAsia="Calibri" w:hAnsi="Times New Roman" w:cs="Times New Roman"/>
                <w:bCs/>
                <w:sz w:val="24"/>
                <w:szCs w:val="24"/>
              </w:rPr>
              <w:t>pa</w:t>
            </w:r>
            <w:r w:rsidRPr="00936E6C">
              <w:rPr>
                <w:rFonts w:ascii="Times New Roman" w:eastAsia="Calibri" w:hAnsi="Times New Roman" w:cs="Times New Roman"/>
                <w:bCs/>
                <w:sz w:val="24"/>
                <w:szCs w:val="24"/>
              </w:rPr>
              <w:t>lygin</w:t>
            </w:r>
            <w:r w:rsidR="00553299" w:rsidRPr="00936E6C">
              <w:rPr>
                <w:rFonts w:ascii="Times New Roman" w:eastAsia="Calibri" w:hAnsi="Times New Roman" w:cs="Times New Roman"/>
                <w:bCs/>
                <w:sz w:val="24"/>
                <w:szCs w:val="24"/>
              </w:rPr>
              <w:t>ti</w:t>
            </w:r>
            <w:r w:rsidRPr="00936E6C">
              <w:rPr>
                <w:rFonts w:ascii="Times New Roman" w:eastAsia="Calibri" w:hAnsi="Times New Roman" w:cs="Times New Roman"/>
                <w:bCs/>
                <w:sz w:val="24"/>
                <w:szCs w:val="24"/>
              </w:rPr>
              <w:t xml:space="preserve"> su 2021 m. faktu</w:t>
            </w:r>
            <w:r w:rsidR="00553299" w:rsidRPr="00936E6C">
              <w:rPr>
                <w:rFonts w:ascii="Times New Roman" w:eastAsia="Calibri" w:hAnsi="Times New Roman" w:cs="Times New Roman"/>
                <w:bCs/>
                <w:sz w:val="24"/>
                <w:szCs w:val="24"/>
              </w:rPr>
              <w:t>,</w:t>
            </w:r>
            <w:r w:rsidRPr="00936E6C">
              <w:rPr>
                <w:rFonts w:ascii="Times New Roman" w:eastAsia="Calibri" w:hAnsi="Times New Roman" w:cs="Times New Roman"/>
                <w:bCs/>
                <w:sz w:val="24"/>
                <w:szCs w:val="24"/>
              </w:rPr>
              <w:t xml:space="preserve"> arba 2,4 karto daugiau negu vidutinis savivaldybėms skirtų </w:t>
            </w:r>
            <w:r w:rsidR="0080339F" w:rsidRPr="00936E6C">
              <w:rPr>
                <w:rFonts w:ascii="Times New Roman" w:eastAsia="Calibri" w:hAnsi="Times New Roman" w:cs="Times New Roman"/>
                <w:bCs/>
                <w:sz w:val="24"/>
                <w:szCs w:val="24"/>
              </w:rPr>
              <w:t xml:space="preserve"> Programos finansavimo </w:t>
            </w:r>
            <w:r w:rsidRPr="00936E6C">
              <w:rPr>
                <w:rFonts w:ascii="Times New Roman" w:eastAsia="Calibri" w:hAnsi="Times New Roman" w:cs="Times New Roman"/>
                <w:bCs/>
                <w:sz w:val="24"/>
                <w:szCs w:val="24"/>
              </w:rPr>
              <w:t>lėšų padidėjimas;</w:t>
            </w:r>
          </w:p>
          <w:p w14:paraId="0DD5706F" w14:textId="46030512" w:rsidR="00046C76" w:rsidRPr="00936E6C" w:rsidRDefault="00046C76" w:rsidP="00690950">
            <w:pPr>
              <w:tabs>
                <w:tab w:val="left" w:pos="317"/>
              </w:tabs>
              <w:spacing w:after="0" w:line="240" w:lineRule="auto"/>
              <w:jc w:val="both"/>
              <w:rPr>
                <w:rFonts w:ascii="Times New Roman" w:eastAsia="Calibri" w:hAnsi="Times New Roman" w:cs="Times New Roman"/>
                <w:bCs/>
                <w:sz w:val="24"/>
                <w:szCs w:val="24"/>
              </w:rPr>
            </w:pPr>
            <w:r w:rsidRPr="00936E6C">
              <w:rPr>
                <w:rFonts w:ascii="Times New Roman" w:eastAsia="Calibri" w:hAnsi="Times New Roman" w:cs="Times New Roman"/>
                <w:bCs/>
                <w:sz w:val="24"/>
                <w:szCs w:val="24"/>
              </w:rPr>
              <w:t>•</w:t>
            </w:r>
            <w:r w:rsidRPr="00936E6C">
              <w:rPr>
                <w:rFonts w:ascii="Times New Roman" w:eastAsia="Calibri" w:hAnsi="Times New Roman" w:cs="Times New Roman"/>
                <w:bCs/>
                <w:sz w:val="24"/>
                <w:szCs w:val="24"/>
              </w:rPr>
              <w:tab/>
              <w:t>Telšių rajono – 3,6 karto</w:t>
            </w:r>
            <w:r w:rsidR="00553299" w:rsidRPr="00936E6C">
              <w:rPr>
                <w:rFonts w:ascii="Times New Roman" w:eastAsia="Calibri" w:hAnsi="Times New Roman" w:cs="Times New Roman"/>
                <w:bCs/>
                <w:sz w:val="24"/>
                <w:szCs w:val="24"/>
              </w:rPr>
              <w:t>,</w:t>
            </w:r>
            <w:r w:rsidRPr="00936E6C">
              <w:rPr>
                <w:rFonts w:ascii="Times New Roman" w:eastAsia="Calibri" w:hAnsi="Times New Roman" w:cs="Times New Roman"/>
                <w:bCs/>
                <w:sz w:val="24"/>
                <w:szCs w:val="24"/>
              </w:rPr>
              <w:t xml:space="preserve"> </w:t>
            </w:r>
            <w:r w:rsidR="00553299" w:rsidRPr="00936E6C">
              <w:rPr>
                <w:rFonts w:ascii="Times New Roman" w:eastAsia="Calibri" w:hAnsi="Times New Roman" w:cs="Times New Roman"/>
                <w:bCs/>
                <w:sz w:val="24"/>
                <w:szCs w:val="24"/>
              </w:rPr>
              <w:t>pa</w:t>
            </w:r>
            <w:r w:rsidRPr="00936E6C">
              <w:rPr>
                <w:rFonts w:ascii="Times New Roman" w:eastAsia="Calibri" w:hAnsi="Times New Roman" w:cs="Times New Roman"/>
                <w:bCs/>
                <w:sz w:val="24"/>
                <w:szCs w:val="24"/>
              </w:rPr>
              <w:t>lygin</w:t>
            </w:r>
            <w:r w:rsidR="00553299" w:rsidRPr="00936E6C">
              <w:rPr>
                <w:rFonts w:ascii="Times New Roman" w:eastAsia="Calibri" w:hAnsi="Times New Roman" w:cs="Times New Roman"/>
                <w:bCs/>
                <w:sz w:val="24"/>
                <w:szCs w:val="24"/>
              </w:rPr>
              <w:t>ti</w:t>
            </w:r>
            <w:r w:rsidRPr="00936E6C">
              <w:rPr>
                <w:rFonts w:ascii="Times New Roman" w:eastAsia="Calibri" w:hAnsi="Times New Roman" w:cs="Times New Roman"/>
                <w:bCs/>
                <w:sz w:val="24"/>
                <w:szCs w:val="24"/>
              </w:rPr>
              <w:t xml:space="preserve"> su 2021 m. faktu</w:t>
            </w:r>
            <w:r w:rsidR="00553299" w:rsidRPr="00936E6C">
              <w:rPr>
                <w:rFonts w:ascii="Times New Roman" w:eastAsia="Calibri" w:hAnsi="Times New Roman" w:cs="Times New Roman"/>
                <w:bCs/>
                <w:sz w:val="24"/>
                <w:szCs w:val="24"/>
              </w:rPr>
              <w:t>,</w:t>
            </w:r>
            <w:r w:rsidRPr="00936E6C">
              <w:rPr>
                <w:rFonts w:ascii="Times New Roman" w:eastAsia="Calibri" w:hAnsi="Times New Roman" w:cs="Times New Roman"/>
                <w:bCs/>
                <w:sz w:val="24"/>
                <w:szCs w:val="24"/>
              </w:rPr>
              <w:t xml:space="preserve"> arba 2,7 karto daugiau negu vidutinis savivaldybėms skirtų </w:t>
            </w:r>
            <w:r w:rsidR="0080339F" w:rsidRPr="00936E6C">
              <w:rPr>
                <w:rFonts w:ascii="Times New Roman" w:eastAsia="Calibri" w:hAnsi="Times New Roman" w:cs="Times New Roman"/>
                <w:bCs/>
                <w:sz w:val="24"/>
                <w:szCs w:val="24"/>
              </w:rPr>
              <w:t xml:space="preserve"> Programos finansavimo </w:t>
            </w:r>
            <w:r w:rsidRPr="00936E6C">
              <w:rPr>
                <w:rFonts w:ascii="Times New Roman" w:eastAsia="Calibri" w:hAnsi="Times New Roman" w:cs="Times New Roman"/>
                <w:bCs/>
                <w:sz w:val="24"/>
                <w:szCs w:val="24"/>
              </w:rPr>
              <w:t>lėšų padidėjimas;</w:t>
            </w:r>
          </w:p>
          <w:p w14:paraId="50470174" w14:textId="7CE668D7" w:rsidR="00046C76" w:rsidRPr="00936E6C" w:rsidRDefault="00046C76" w:rsidP="00690950">
            <w:pPr>
              <w:tabs>
                <w:tab w:val="left" w:pos="317"/>
              </w:tabs>
              <w:spacing w:after="0" w:line="240" w:lineRule="auto"/>
              <w:jc w:val="both"/>
              <w:rPr>
                <w:rFonts w:ascii="Times New Roman" w:eastAsia="Calibri" w:hAnsi="Times New Roman" w:cs="Times New Roman"/>
                <w:bCs/>
                <w:sz w:val="24"/>
                <w:szCs w:val="24"/>
              </w:rPr>
            </w:pPr>
            <w:r w:rsidRPr="00936E6C">
              <w:rPr>
                <w:rFonts w:ascii="Times New Roman" w:eastAsia="Calibri" w:hAnsi="Times New Roman" w:cs="Times New Roman"/>
                <w:bCs/>
                <w:sz w:val="24"/>
                <w:szCs w:val="24"/>
              </w:rPr>
              <w:t>•</w:t>
            </w:r>
            <w:r w:rsidRPr="00936E6C">
              <w:rPr>
                <w:rFonts w:ascii="Times New Roman" w:eastAsia="Calibri" w:hAnsi="Times New Roman" w:cs="Times New Roman"/>
                <w:bCs/>
                <w:sz w:val="24"/>
                <w:szCs w:val="24"/>
              </w:rPr>
              <w:tab/>
              <w:t>Utenos rajono – 2,8 karto</w:t>
            </w:r>
            <w:r w:rsidR="00553299" w:rsidRPr="00936E6C">
              <w:rPr>
                <w:rFonts w:ascii="Times New Roman" w:eastAsia="Calibri" w:hAnsi="Times New Roman" w:cs="Times New Roman"/>
                <w:bCs/>
                <w:sz w:val="24"/>
                <w:szCs w:val="24"/>
              </w:rPr>
              <w:t>,</w:t>
            </w:r>
            <w:r w:rsidRPr="00936E6C">
              <w:rPr>
                <w:rFonts w:ascii="Times New Roman" w:eastAsia="Calibri" w:hAnsi="Times New Roman" w:cs="Times New Roman"/>
                <w:bCs/>
                <w:sz w:val="24"/>
                <w:szCs w:val="24"/>
              </w:rPr>
              <w:t xml:space="preserve"> </w:t>
            </w:r>
            <w:r w:rsidR="00553299" w:rsidRPr="00936E6C">
              <w:rPr>
                <w:rFonts w:ascii="Times New Roman" w:eastAsia="Calibri" w:hAnsi="Times New Roman" w:cs="Times New Roman"/>
                <w:bCs/>
                <w:sz w:val="24"/>
                <w:szCs w:val="24"/>
              </w:rPr>
              <w:t>pa</w:t>
            </w:r>
            <w:r w:rsidRPr="00936E6C">
              <w:rPr>
                <w:rFonts w:ascii="Times New Roman" w:eastAsia="Calibri" w:hAnsi="Times New Roman" w:cs="Times New Roman"/>
                <w:bCs/>
                <w:sz w:val="24"/>
                <w:szCs w:val="24"/>
              </w:rPr>
              <w:t>lygin</w:t>
            </w:r>
            <w:r w:rsidR="00553299" w:rsidRPr="00936E6C">
              <w:rPr>
                <w:rFonts w:ascii="Times New Roman" w:eastAsia="Calibri" w:hAnsi="Times New Roman" w:cs="Times New Roman"/>
                <w:bCs/>
                <w:sz w:val="24"/>
                <w:szCs w:val="24"/>
              </w:rPr>
              <w:t>ti</w:t>
            </w:r>
            <w:r w:rsidRPr="00936E6C">
              <w:rPr>
                <w:rFonts w:ascii="Times New Roman" w:eastAsia="Calibri" w:hAnsi="Times New Roman" w:cs="Times New Roman"/>
                <w:bCs/>
                <w:sz w:val="24"/>
                <w:szCs w:val="24"/>
              </w:rPr>
              <w:t xml:space="preserve"> su 2021 m. faktu</w:t>
            </w:r>
            <w:r w:rsidR="00553299" w:rsidRPr="00936E6C">
              <w:rPr>
                <w:rFonts w:ascii="Times New Roman" w:eastAsia="Calibri" w:hAnsi="Times New Roman" w:cs="Times New Roman"/>
                <w:bCs/>
                <w:sz w:val="24"/>
                <w:szCs w:val="24"/>
              </w:rPr>
              <w:t>,</w:t>
            </w:r>
            <w:r w:rsidRPr="00936E6C">
              <w:rPr>
                <w:rFonts w:ascii="Times New Roman" w:eastAsia="Calibri" w:hAnsi="Times New Roman" w:cs="Times New Roman"/>
                <w:bCs/>
                <w:sz w:val="24"/>
                <w:szCs w:val="24"/>
              </w:rPr>
              <w:t xml:space="preserve"> arba 2,1 karto daugiau negu vidutinis savivaldybėms skirtų </w:t>
            </w:r>
            <w:r w:rsidR="0080339F" w:rsidRPr="00936E6C">
              <w:rPr>
                <w:rFonts w:ascii="Times New Roman" w:eastAsia="Calibri" w:hAnsi="Times New Roman" w:cs="Times New Roman"/>
                <w:bCs/>
                <w:sz w:val="24"/>
                <w:szCs w:val="24"/>
              </w:rPr>
              <w:t xml:space="preserve"> Programos finansavimo </w:t>
            </w:r>
            <w:r w:rsidRPr="00936E6C">
              <w:rPr>
                <w:rFonts w:ascii="Times New Roman" w:eastAsia="Calibri" w:hAnsi="Times New Roman" w:cs="Times New Roman"/>
                <w:bCs/>
                <w:sz w:val="24"/>
                <w:szCs w:val="24"/>
              </w:rPr>
              <w:t>lėšų padidėjimas.</w:t>
            </w:r>
          </w:p>
          <w:p w14:paraId="4F0FA2A5" w14:textId="77777777" w:rsidR="00046C76" w:rsidRPr="00936E6C" w:rsidRDefault="00046C76" w:rsidP="00690950">
            <w:pPr>
              <w:tabs>
                <w:tab w:val="left" w:pos="317"/>
              </w:tabs>
              <w:spacing w:after="0" w:line="240" w:lineRule="auto"/>
              <w:jc w:val="both"/>
              <w:rPr>
                <w:rFonts w:ascii="Times New Roman" w:eastAsia="Calibri" w:hAnsi="Times New Roman" w:cs="Times New Roman"/>
                <w:bCs/>
                <w:sz w:val="24"/>
                <w:szCs w:val="24"/>
              </w:rPr>
            </w:pPr>
          </w:p>
          <w:p w14:paraId="2E40FED8" w14:textId="77777777" w:rsidR="006827BE" w:rsidRDefault="00046C76" w:rsidP="00690950">
            <w:pPr>
              <w:tabs>
                <w:tab w:val="left" w:pos="317"/>
              </w:tabs>
              <w:spacing w:after="0" w:line="240" w:lineRule="auto"/>
              <w:jc w:val="both"/>
              <w:rPr>
                <w:rFonts w:ascii="Times New Roman" w:eastAsia="Calibri" w:hAnsi="Times New Roman" w:cs="Times New Roman"/>
                <w:bCs/>
                <w:sz w:val="24"/>
                <w:szCs w:val="24"/>
              </w:rPr>
            </w:pPr>
            <w:r w:rsidRPr="00936E6C">
              <w:rPr>
                <w:rFonts w:ascii="Times New Roman" w:eastAsia="Calibri" w:hAnsi="Times New Roman" w:cs="Times New Roman"/>
                <w:bCs/>
                <w:sz w:val="24"/>
                <w:szCs w:val="24"/>
              </w:rPr>
              <w:t>Pagal šiuo metu galiojančią</w:t>
            </w:r>
            <w:r w:rsidR="0080339F" w:rsidRPr="00936E6C">
              <w:rPr>
                <w:rFonts w:ascii="Times New Roman" w:eastAsia="Calibri" w:hAnsi="Times New Roman" w:cs="Times New Roman"/>
                <w:bCs/>
                <w:sz w:val="24"/>
                <w:szCs w:val="24"/>
              </w:rPr>
              <w:t xml:space="preserve"> Programos finansavimo </w:t>
            </w:r>
            <w:r w:rsidRPr="00936E6C">
              <w:rPr>
                <w:rFonts w:ascii="Times New Roman" w:eastAsia="Calibri" w:hAnsi="Times New Roman" w:cs="Times New Roman"/>
                <w:bCs/>
                <w:sz w:val="24"/>
                <w:szCs w:val="24"/>
              </w:rPr>
              <w:t xml:space="preserve">lėšų apskaičiavimo tvarką, savivaldybės suskirstytos į dvi grupes (miestų ir kitos arba rajonų). Miestų savivaldybės „kompaktiškos“, bet turinčios sąlyginai daug gyventojų, o kitų arba rajonų teritorijos didelės, turinčios sąlyginai ilgą kelių tinklą. Nors miestų savivaldybių kelių tinklas mažesnis, bet susisiekimo infrastruktūra </w:t>
            </w:r>
            <w:r w:rsidR="00553299" w:rsidRPr="00936E6C">
              <w:rPr>
                <w:rFonts w:ascii="Times New Roman" w:eastAsia="Calibri" w:hAnsi="Times New Roman" w:cs="Times New Roman"/>
                <w:bCs/>
                <w:sz w:val="24"/>
                <w:szCs w:val="24"/>
              </w:rPr>
              <w:t>daug</w:t>
            </w:r>
            <w:r w:rsidRPr="00936E6C">
              <w:rPr>
                <w:rFonts w:ascii="Times New Roman" w:eastAsia="Calibri" w:hAnsi="Times New Roman" w:cs="Times New Roman"/>
                <w:bCs/>
                <w:sz w:val="24"/>
                <w:szCs w:val="24"/>
              </w:rPr>
              <w:t xml:space="preserve"> sudėtingesnė (daugiau aukštesnių kategorijų kelių, intensyvesnis pėsčiųjų ir dviračių takų tinklas, daugiau įrengiama kelių (gatvių) apšvietimo, vandens nuotekų tinklų, viešojo transporto stotelių, inžinerinių eismo saugumo priemonių, šviesoforų – techninių eismo reguliavimo priemonių), todėl 1 km miesto savivaldybės kelio </w:t>
            </w:r>
            <w:r w:rsidR="00553299" w:rsidRPr="00936E6C">
              <w:rPr>
                <w:rFonts w:ascii="Times New Roman" w:eastAsia="Calibri" w:hAnsi="Times New Roman" w:cs="Times New Roman"/>
                <w:bCs/>
                <w:sz w:val="24"/>
                <w:szCs w:val="24"/>
              </w:rPr>
              <w:t>a</w:t>
            </w:r>
            <w:r w:rsidRPr="00936E6C">
              <w:rPr>
                <w:rFonts w:ascii="Times New Roman" w:eastAsia="Calibri" w:hAnsi="Times New Roman" w:cs="Times New Roman"/>
                <w:bCs/>
                <w:sz w:val="24"/>
                <w:szCs w:val="24"/>
              </w:rPr>
              <w:t xml:space="preserve">pskaičiuojama daugiau </w:t>
            </w:r>
            <w:r w:rsidR="00C45437" w:rsidRPr="00936E6C">
              <w:rPr>
                <w:rFonts w:ascii="Times New Roman" w:eastAsia="Calibri" w:hAnsi="Times New Roman" w:cs="Times New Roman"/>
                <w:bCs/>
                <w:sz w:val="24"/>
                <w:szCs w:val="24"/>
              </w:rPr>
              <w:t xml:space="preserve"> Programos finansavimo </w:t>
            </w:r>
            <w:r w:rsidRPr="00936E6C">
              <w:rPr>
                <w:rFonts w:ascii="Times New Roman" w:eastAsia="Calibri" w:hAnsi="Times New Roman" w:cs="Times New Roman"/>
                <w:bCs/>
                <w:sz w:val="24"/>
                <w:szCs w:val="24"/>
              </w:rPr>
              <w:t xml:space="preserve">lėšų. Pasiūlymas į vieną grupę sukelti apskričių centrų ir miestų, ir rajonų savivaldybes akivaizdžiai išbalansuotų situaciją, nes rajonų savivaldybėms pagal kelių ilgį būtų </w:t>
            </w:r>
            <w:r w:rsidR="00553299" w:rsidRPr="00936E6C">
              <w:rPr>
                <w:rFonts w:ascii="Times New Roman" w:eastAsia="Calibri" w:hAnsi="Times New Roman" w:cs="Times New Roman"/>
                <w:bCs/>
                <w:sz w:val="24"/>
                <w:szCs w:val="24"/>
              </w:rPr>
              <w:t>a</w:t>
            </w:r>
            <w:r w:rsidRPr="00936E6C">
              <w:rPr>
                <w:rFonts w:ascii="Times New Roman" w:eastAsia="Calibri" w:hAnsi="Times New Roman" w:cs="Times New Roman"/>
                <w:bCs/>
                <w:sz w:val="24"/>
                <w:szCs w:val="24"/>
              </w:rPr>
              <w:t xml:space="preserve">pskaičiuojama didelė suma, pvz., Telšių rajono </w:t>
            </w:r>
            <w:r w:rsidRPr="00936E6C">
              <w:rPr>
                <w:rFonts w:ascii="Times New Roman" w:eastAsia="Calibri" w:hAnsi="Times New Roman" w:cs="Times New Roman"/>
                <w:bCs/>
                <w:sz w:val="24"/>
                <w:szCs w:val="24"/>
              </w:rPr>
              <w:lastRenderedPageBreak/>
              <w:t>savivaldybei, turinčiai 1889,5 km vietinės reikšmės kelių, už kelius būtų skiriama daugiau negu 7,4 mln. Eur, o Vilniaus miesto savivaldybei, turinčiai 1177,8 km kelių</w:t>
            </w:r>
            <w:r w:rsidR="00BA0FFC" w:rsidRPr="00936E6C">
              <w:rPr>
                <w:rFonts w:ascii="Times New Roman" w:eastAsia="Calibri" w:hAnsi="Times New Roman" w:cs="Times New Roman"/>
                <w:bCs/>
                <w:sz w:val="24"/>
                <w:szCs w:val="24"/>
              </w:rPr>
              <w:t>,</w:t>
            </w:r>
            <w:r w:rsidRPr="00936E6C">
              <w:rPr>
                <w:rFonts w:ascii="Times New Roman" w:eastAsia="Calibri" w:hAnsi="Times New Roman" w:cs="Times New Roman"/>
                <w:bCs/>
                <w:sz w:val="24"/>
                <w:szCs w:val="24"/>
              </w:rPr>
              <w:t xml:space="preserve"> – daugiau negu 4,6 mln. Eur. </w:t>
            </w:r>
          </w:p>
          <w:p w14:paraId="38176F8C" w14:textId="38A3AD96" w:rsidR="00133EBC" w:rsidRPr="00936E6C" w:rsidRDefault="00133EBC" w:rsidP="00690950">
            <w:pPr>
              <w:tabs>
                <w:tab w:val="left" w:pos="317"/>
              </w:tabs>
              <w:spacing w:after="0" w:line="240" w:lineRule="auto"/>
              <w:jc w:val="both"/>
              <w:rPr>
                <w:rFonts w:ascii="Times New Roman" w:eastAsia="Calibri" w:hAnsi="Times New Roman" w:cs="Times New Roman"/>
                <w:bCs/>
                <w:sz w:val="24"/>
                <w:szCs w:val="24"/>
                <w:highlight w:val="yellow"/>
              </w:rPr>
            </w:pPr>
            <w:r>
              <w:rPr>
                <w:rFonts w:ascii="Times New Roman" w:eastAsia="Calibri" w:hAnsi="Times New Roman" w:cs="Times New Roman"/>
                <w:bCs/>
                <w:sz w:val="24"/>
                <w:szCs w:val="24"/>
              </w:rPr>
              <w:t>Norint keisti proporcijas perskirstant KPPP lėšas pagal regionų centrus, reiktų atskiros diskusijos ir išsamios analizės sprendiniams pagrįsti.</w:t>
            </w:r>
          </w:p>
        </w:tc>
      </w:tr>
      <w:tr w:rsidR="006827BE" w:rsidRPr="00936E6C" w14:paraId="4350D5C2" w14:textId="77777777" w:rsidTr="00D954BC">
        <w:tc>
          <w:tcPr>
            <w:tcW w:w="1985" w:type="dxa"/>
            <w:vMerge/>
          </w:tcPr>
          <w:p w14:paraId="25CF7DDB" w14:textId="77777777" w:rsidR="006827BE" w:rsidRPr="00936E6C" w:rsidRDefault="006827BE" w:rsidP="00690950">
            <w:pPr>
              <w:spacing w:after="0" w:line="240" w:lineRule="auto"/>
              <w:rPr>
                <w:rFonts w:ascii="Times New Roman" w:hAnsi="Times New Roman" w:cs="Times New Roman"/>
                <w:sz w:val="24"/>
                <w:szCs w:val="24"/>
              </w:rPr>
            </w:pPr>
          </w:p>
        </w:tc>
        <w:tc>
          <w:tcPr>
            <w:tcW w:w="8500" w:type="dxa"/>
          </w:tcPr>
          <w:p w14:paraId="23918FAA" w14:textId="00E3F875" w:rsidR="006827BE" w:rsidRPr="00936E6C" w:rsidRDefault="006827BE" w:rsidP="00690950">
            <w:pPr>
              <w:spacing w:after="120" w:line="240" w:lineRule="auto"/>
              <w:jc w:val="both"/>
              <w:rPr>
                <w:rFonts w:ascii="Times New Roman" w:eastAsia="Times New Roman" w:hAnsi="Times New Roman" w:cs="Times New Roman"/>
                <w:color w:val="000000"/>
                <w:sz w:val="24"/>
                <w:szCs w:val="24"/>
              </w:rPr>
            </w:pPr>
            <w:r w:rsidRPr="00936E6C">
              <w:rPr>
                <w:rFonts w:ascii="Times New Roman" w:eastAsia="Times New Roman" w:hAnsi="Times New Roman" w:cs="Times New Roman"/>
                <w:color w:val="000000"/>
                <w:sz w:val="24"/>
                <w:szCs w:val="24"/>
              </w:rPr>
              <w:t>2. Nesutinkame su Projekto aiškinamojo rašto 4.2 papunkčio nuostata, kurioje nurodyta, kad Valstybės sienos apsaugos tarnybai prie Lietuvos Respublikos vidaus reikalų ministerijos (toliau – VSAT), VĮ Valstybinių miškų urėdijai, Lietuvos Respublikos krašto apsaugos ministerijai skiriamas papildomas finansavimas iš vietinės reikšmės keliams skiriamų Programos finansavimo lėšų yra perteklinis, ir siūloma atsisakyti finansavimo skyrimo šioms institucijoms.</w:t>
            </w:r>
          </w:p>
          <w:p w14:paraId="3B83812C" w14:textId="44BF4D16" w:rsidR="006827BE" w:rsidRPr="00936E6C" w:rsidRDefault="006827BE" w:rsidP="00690950">
            <w:pPr>
              <w:spacing w:after="120" w:line="240" w:lineRule="auto"/>
              <w:jc w:val="both"/>
              <w:rPr>
                <w:rFonts w:ascii="Times New Roman" w:eastAsia="Times New Roman" w:hAnsi="Times New Roman" w:cs="Times New Roman"/>
                <w:color w:val="000000"/>
                <w:sz w:val="24"/>
                <w:szCs w:val="24"/>
              </w:rPr>
            </w:pPr>
            <w:r w:rsidRPr="00936E6C">
              <w:rPr>
                <w:rFonts w:ascii="Times New Roman" w:eastAsia="Times New Roman" w:hAnsi="Times New Roman" w:cs="Times New Roman"/>
                <w:color w:val="000000"/>
                <w:sz w:val="24"/>
                <w:szCs w:val="24"/>
              </w:rPr>
              <w:t>Vadovaudamasi Lietuvos Respublikos kelių priežiūros ir plėtros programos finansavimo įstatymo (toliau – Įstatymas) 9 straipsnio 4 dalimi, Lietuvos Respublikos Vyriausybė nustato kelių naudojimo apmokestinimo ir Kelių priežiūros ir plėtros programos (toliau – Programa) finansavimo lėšų naudojimo tvarką. Programos finansavimo lėšų naudojimo tvarką įgyvendina valstybės įmonė Lietuvos automobilių kelių direkcija (toliau – LAKD). Įstatymo 9 straipsnio 2 dalyje numatyta, kad Programos finansavimo lėšos naudojamos valstybės institucijų ar viešųjų įstaigų, kurių dalininkė yra valstybė, valstybės įmonių, savivaldybių ar viešųjų įstaigų, kurių dalininkė yra savivaldybė, savivaldybių įmonių valdomam vietinės reikšmės kelių tinklui plėsti ir užtikrinti, kad šis tinklas veiktų.</w:t>
            </w:r>
          </w:p>
          <w:p w14:paraId="60CDE55C" w14:textId="79FD21C0" w:rsidR="006827BE" w:rsidRPr="00936E6C" w:rsidRDefault="006827BE" w:rsidP="00690950">
            <w:pPr>
              <w:spacing w:after="120" w:line="240" w:lineRule="auto"/>
              <w:jc w:val="both"/>
              <w:rPr>
                <w:rFonts w:ascii="Times New Roman" w:eastAsia="Times New Roman" w:hAnsi="Times New Roman" w:cs="Times New Roman"/>
                <w:color w:val="000000"/>
                <w:sz w:val="24"/>
                <w:szCs w:val="24"/>
              </w:rPr>
            </w:pPr>
            <w:r w:rsidRPr="00936E6C">
              <w:rPr>
                <w:rFonts w:ascii="Times New Roman" w:eastAsia="Times New Roman" w:hAnsi="Times New Roman" w:cs="Times New Roman"/>
                <w:color w:val="000000"/>
                <w:sz w:val="24"/>
                <w:szCs w:val="24"/>
              </w:rPr>
              <w:t xml:space="preserve">Atsižvelgdama į tai, Vyriausybė kasmet tvirtina Kelių priežiūros ir plėtros programos finansavimo lėšų naudojimo sąmatą (toliau – sąmata), kurioje numatytos lėšos pasienio vietinės reikšmės keliams taisyti (remontuoti). Siekdamos efektyviai panaudoti skirtas lėšas, LAKD, VSAT ir atitinkama savivaldybė, kurios administracinė teritorija ribojasi su Lietuvos Respublikos valstybės siena, pasirašo trišalę finansavimo sutartį. VSAT, kaip viena sutarties šalių, pateikia pasienio vietinės reikšmės kelių, kuriuos būtina taisyti (remontuoti), sąrašą. Tolesnius veiksmus, t. y. viešųjų pirkimų konkursus, nugalėtojų nustatymą, rangos darbus, reikalingų atlikti darbų finansavimą bei skirtų lėšų administravimą organizuoja ir įgyvendina pasienio savivaldybė, bendradarbiaudama su LAKD. Sąmatoje patvirtintos lėšos paskirstomos ir naudojamos tik tiems vietinės reikšmės keliams remontuoti, kuriuos savivaldybės valdo nuosavybės </w:t>
            </w:r>
            <w:r w:rsidRPr="00936E6C">
              <w:rPr>
                <w:rFonts w:ascii="Times New Roman" w:eastAsia="Times New Roman" w:hAnsi="Times New Roman" w:cs="Times New Roman"/>
                <w:color w:val="000000"/>
                <w:sz w:val="24"/>
                <w:szCs w:val="24"/>
              </w:rPr>
              <w:lastRenderedPageBreak/>
              <w:t>teise ir kurie yra apskaityti savivaldybių buhalteriniuose registruose. Skiriamos lėšos yra tikslinės, o ne papildomos, kaip kad nurodoma Projekto aiškinamojo rašto 4.2 papunktyje. VSAT skiriami valstybės biudžeto asignavimai yra naudojami išimtinai valstybės sienos apsaugos funkcijai užtikrinti, todėl pažymime, kad VSAT tiesiogiai negauna papildomų lėšų pasienio vietinės reikšmės kelių tinklui taisyti (remontuoti).</w:t>
            </w:r>
          </w:p>
          <w:p w14:paraId="241BF455" w14:textId="3EFF3CD7" w:rsidR="006827BE" w:rsidRPr="00936E6C" w:rsidRDefault="006827BE" w:rsidP="00690950">
            <w:pPr>
              <w:spacing w:after="120" w:line="240" w:lineRule="auto"/>
              <w:jc w:val="both"/>
              <w:rPr>
                <w:rFonts w:ascii="Times New Roman" w:eastAsia="Times New Roman" w:hAnsi="Times New Roman" w:cs="Times New Roman"/>
                <w:color w:val="000000"/>
                <w:sz w:val="24"/>
                <w:szCs w:val="24"/>
              </w:rPr>
            </w:pPr>
            <w:r w:rsidRPr="00936E6C">
              <w:rPr>
                <w:rFonts w:ascii="Times New Roman" w:eastAsia="Times New Roman" w:hAnsi="Times New Roman" w:cs="Times New Roman"/>
                <w:color w:val="000000"/>
                <w:sz w:val="24"/>
                <w:szCs w:val="24"/>
              </w:rPr>
              <w:t>Atkreipiame dėmesį į tai, kad vietinės reikšmės pasienio kelių būklė prie valstybės sienos yra prasta, ypač prie valstybės sienos su Baltarusijos Respublika. Dalis kelių tebėra duobėti, klampūs nepalankiomis oro sąlygomis, sunkiai išvažiuojami žiemą ir pavasarį. Minėtų lėšų skyrimas pasienio vietinės reikšmės kelių tinklo tinkamai būklei palaikyti užtikrina pasienio savivaldybių gyventojų saugumą, pagalbą laiku įvykus nelaimei. Todėl pasiūlymas atsisakyti skirti finansavimą VSAT apsunkins valstybės sienos apsaugą reaguojant į nelegalių migrantų valstybės sienos kirtimo pažeidimus, kontrabandos gabenimo atvejus ir kitas nusikalstamas veikas saugomuose valstybės sienos ruožuose, didins turimos ir įsigytos technikos nusidėvėjimą ir eksploatacines išlaidas.</w:t>
            </w:r>
          </w:p>
        </w:tc>
        <w:tc>
          <w:tcPr>
            <w:tcW w:w="4967" w:type="dxa"/>
          </w:tcPr>
          <w:p w14:paraId="4BEE5C32" w14:textId="77777777" w:rsidR="00C45437" w:rsidRPr="00936E6C" w:rsidRDefault="00C45437" w:rsidP="00690950">
            <w:pPr>
              <w:tabs>
                <w:tab w:val="left" w:pos="317"/>
              </w:tabs>
              <w:spacing w:after="0" w:line="240" w:lineRule="auto"/>
              <w:jc w:val="both"/>
              <w:rPr>
                <w:rFonts w:ascii="Times New Roman" w:eastAsia="Calibri" w:hAnsi="Times New Roman" w:cs="Times New Roman"/>
                <w:b/>
                <w:sz w:val="24"/>
                <w:szCs w:val="24"/>
              </w:rPr>
            </w:pPr>
            <w:r w:rsidRPr="00936E6C">
              <w:rPr>
                <w:rFonts w:ascii="Times New Roman" w:eastAsia="Calibri" w:hAnsi="Times New Roman" w:cs="Times New Roman"/>
                <w:b/>
                <w:sz w:val="24"/>
                <w:szCs w:val="24"/>
              </w:rPr>
              <w:lastRenderedPageBreak/>
              <w:t xml:space="preserve">Atsižvelgta iš dalies. </w:t>
            </w:r>
          </w:p>
          <w:p w14:paraId="5F791614" w14:textId="5A553D39" w:rsidR="006827BE" w:rsidRPr="00936E6C" w:rsidRDefault="00A45F65" w:rsidP="00690950">
            <w:pPr>
              <w:tabs>
                <w:tab w:val="left" w:pos="317"/>
              </w:tabs>
              <w:spacing w:after="0" w:line="240" w:lineRule="auto"/>
              <w:jc w:val="both"/>
              <w:rPr>
                <w:rFonts w:ascii="Times New Roman" w:eastAsia="Calibri" w:hAnsi="Times New Roman" w:cs="Times New Roman"/>
                <w:bCs/>
                <w:sz w:val="24"/>
                <w:szCs w:val="24"/>
              </w:rPr>
            </w:pPr>
            <w:r w:rsidRPr="00936E6C">
              <w:rPr>
                <w:rFonts w:ascii="Times New Roman" w:eastAsia="Calibri" w:hAnsi="Times New Roman" w:cs="Times New Roman"/>
                <w:bCs/>
                <w:sz w:val="24"/>
                <w:szCs w:val="24"/>
              </w:rPr>
              <w:t xml:space="preserve">Šių metų rugsėjo 6 d. įvyko pasitarimas tarp VRM ir Susisiekimo ministerijos </w:t>
            </w:r>
            <w:r w:rsidRPr="001F0FC5">
              <w:rPr>
                <w:rFonts w:ascii="Times New Roman" w:eastAsia="Calibri" w:hAnsi="Times New Roman" w:cs="Times New Roman"/>
                <w:bCs/>
                <w:sz w:val="24"/>
                <w:szCs w:val="24"/>
              </w:rPr>
              <w:t xml:space="preserve">atstovų. </w:t>
            </w:r>
            <w:r w:rsidR="00615DE8" w:rsidRPr="001F0FC5">
              <w:rPr>
                <w:rFonts w:ascii="Times New Roman" w:eastAsia="Calibri" w:hAnsi="Times New Roman" w:cs="Times New Roman"/>
                <w:bCs/>
                <w:sz w:val="24"/>
                <w:szCs w:val="24"/>
              </w:rPr>
              <w:t>S</w:t>
            </w:r>
            <w:r w:rsidRPr="001F0FC5">
              <w:rPr>
                <w:rFonts w:ascii="Times New Roman" w:eastAsia="Calibri" w:hAnsi="Times New Roman" w:cs="Times New Roman"/>
                <w:bCs/>
                <w:sz w:val="24"/>
                <w:szCs w:val="24"/>
              </w:rPr>
              <w:t>iūl</w:t>
            </w:r>
            <w:r w:rsidR="00615DE8" w:rsidRPr="001F0FC5">
              <w:rPr>
                <w:rFonts w:ascii="Times New Roman" w:eastAsia="Calibri" w:hAnsi="Times New Roman" w:cs="Times New Roman"/>
                <w:bCs/>
                <w:sz w:val="24"/>
                <w:szCs w:val="24"/>
              </w:rPr>
              <w:t>ome</w:t>
            </w:r>
            <w:r w:rsidRPr="00936E6C">
              <w:rPr>
                <w:rFonts w:ascii="Times New Roman" w:eastAsia="Calibri" w:hAnsi="Times New Roman" w:cs="Times New Roman"/>
                <w:bCs/>
                <w:sz w:val="24"/>
                <w:szCs w:val="24"/>
              </w:rPr>
              <w:t xml:space="preserve"> sumažinti Programos finansavimo lėšų asignavimus Susisiekimo ministerijai</w:t>
            </w:r>
            <w:r w:rsidR="00615DE8">
              <w:rPr>
                <w:rFonts w:ascii="Times New Roman" w:eastAsia="Calibri" w:hAnsi="Times New Roman" w:cs="Times New Roman"/>
                <w:bCs/>
                <w:sz w:val="24"/>
                <w:szCs w:val="24"/>
              </w:rPr>
              <w:t xml:space="preserve"> (pagal </w:t>
            </w:r>
            <w:r w:rsidR="00615DE8">
              <w:rPr>
                <w:rFonts w:ascii="Times New Roman" w:eastAsia="Calibri" w:hAnsi="Times New Roman" w:cs="Times New Roman"/>
                <w:bCs/>
                <w:sz w:val="24"/>
                <w:szCs w:val="24"/>
                <w:lang w:val="en-US"/>
              </w:rPr>
              <w:t xml:space="preserve">2021 m. </w:t>
            </w:r>
            <w:proofErr w:type="spellStart"/>
            <w:r w:rsidR="00615DE8">
              <w:rPr>
                <w:rFonts w:ascii="Times New Roman" w:eastAsia="Calibri" w:hAnsi="Times New Roman" w:cs="Times New Roman"/>
                <w:bCs/>
                <w:sz w:val="24"/>
                <w:szCs w:val="24"/>
                <w:lang w:val="en-US"/>
              </w:rPr>
              <w:t>lyg</w:t>
            </w:r>
            <w:proofErr w:type="spellEnd"/>
            <w:r w:rsidR="00615DE8">
              <w:rPr>
                <w:rFonts w:ascii="Times New Roman" w:eastAsia="Calibri" w:hAnsi="Times New Roman" w:cs="Times New Roman"/>
                <w:bCs/>
                <w:sz w:val="24"/>
                <w:szCs w:val="24"/>
              </w:rPr>
              <w:t>į)</w:t>
            </w:r>
            <w:r w:rsidRPr="00936E6C">
              <w:rPr>
                <w:rFonts w:ascii="Times New Roman" w:eastAsia="Calibri" w:hAnsi="Times New Roman" w:cs="Times New Roman"/>
                <w:bCs/>
                <w:sz w:val="24"/>
                <w:szCs w:val="24"/>
              </w:rPr>
              <w:t>, dalį jų perkeliant VRM, kad pati VRM galėtų spręsti</w:t>
            </w:r>
            <w:r w:rsidR="00553299" w:rsidRPr="00936E6C">
              <w:rPr>
                <w:rFonts w:ascii="Times New Roman" w:eastAsia="Calibri" w:hAnsi="Times New Roman" w:cs="Times New Roman"/>
                <w:bCs/>
                <w:sz w:val="24"/>
                <w:szCs w:val="24"/>
              </w:rPr>
              <w:t>,</w:t>
            </w:r>
            <w:r w:rsidRPr="00936E6C">
              <w:rPr>
                <w:rFonts w:ascii="Times New Roman" w:eastAsia="Calibri" w:hAnsi="Times New Roman" w:cs="Times New Roman"/>
                <w:bCs/>
                <w:sz w:val="24"/>
                <w:szCs w:val="24"/>
              </w:rPr>
              <w:t xml:space="preserve"> kokius kelius tvarkyti. </w:t>
            </w:r>
          </w:p>
        </w:tc>
      </w:tr>
      <w:tr w:rsidR="006827BE" w:rsidRPr="00936E6C" w14:paraId="303265E0" w14:textId="77777777" w:rsidTr="00D954BC">
        <w:tc>
          <w:tcPr>
            <w:tcW w:w="1985" w:type="dxa"/>
            <w:vMerge/>
          </w:tcPr>
          <w:p w14:paraId="601D6169" w14:textId="77777777" w:rsidR="006827BE" w:rsidRPr="00936E6C" w:rsidRDefault="006827BE" w:rsidP="00690950">
            <w:pPr>
              <w:spacing w:after="0" w:line="240" w:lineRule="auto"/>
              <w:rPr>
                <w:rFonts w:ascii="Times New Roman" w:hAnsi="Times New Roman" w:cs="Times New Roman"/>
                <w:sz w:val="24"/>
                <w:szCs w:val="24"/>
              </w:rPr>
            </w:pPr>
          </w:p>
        </w:tc>
        <w:tc>
          <w:tcPr>
            <w:tcW w:w="8500" w:type="dxa"/>
          </w:tcPr>
          <w:p w14:paraId="4B1C6D0F" w14:textId="7F04C978" w:rsidR="006827BE" w:rsidRPr="00936E6C" w:rsidRDefault="006827BE" w:rsidP="00690950">
            <w:pPr>
              <w:spacing w:after="120" w:line="240" w:lineRule="auto"/>
              <w:jc w:val="both"/>
              <w:rPr>
                <w:rFonts w:ascii="Times New Roman" w:eastAsia="Times New Roman" w:hAnsi="Times New Roman" w:cs="Times New Roman"/>
                <w:color w:val="000000"/>
                <w:sz w:val="24"/>
                <w:szCs w:val="24"/>
              </w:rPr>
            </w:pPr>
            <w:r w:rsidRPr="00936E6C">
              <w:rPr>
                <w:rFonts w:ascii="Times New Roman" w:eastAsia="Times New Roman" w:hAnsi="Times New Roman" w:cs="Times New Roman"/>
                <w:color w:val="000000"/>
                <w:sz w:val="24"/>
                <w:szCs w:val="24"/>
              </w:rPr>
              <w:t>3. Įstatymo projektu keičiamo Įstatymo 2 straipsnio 16 dalyje pateikta stacionariosios Kelių eismo taisyklių pažeidimų fiksavimo įrangos sąvoka, kurioje nurodyta, kad ši įranga skirta Kelių eismo taisyklių pažeidimams fiksuoti, tačiau nenurodyta, kokiems konkrečiai, o keičiamo 9 straipsnio 1 dalies 22 punkte nurodyta, jog Kelių priežiūros ir plėtros programos finansavimo lėšos naudojamos saugaus eismo keliuose programoms ir jų priemonėms įgyvendinti (tarp jų keliuose įrengtai stacionariajai Kelių eismo taisyklių pažeidimų fiksavimo įrangai prižiūrėti, gaunamai informacijai apdoroti ir kitoms saugaus eismo programoms įgyvendinti, naudojant lėšas</w:t>
            </w:r>
            <w:r w:rsidRPr="00936E6C">
              <w:rPr>
                <w:rFonts w:ascii="Times New Roman" w:eastAsia="Times New Roman" w:hAnsi="Times New Roman" w:cs="Times New Roman"/>
                <w:b/>
                <w:bCs/>
                <w:color w:val="000000"/>
                <w:sz w:val="24"/>
                <w:szCs w:val="24"/>
              </w:rPr>
              <w:t> </w:t>
            </w:r>
            <w:r w:rsidRPr="00936E6C">
              <w:rPr>
                <w:rFonts w:ascii="Times New Roman" w:eastAsia="Times New Roman" w:hAnsi="Times New Roman" w:cs="Times New Roman"/>
                <w:color w:val="000000"/>
                <w:sz w:val="24"/>
                <w:szCs w:val="24"/>
              </w:rPr>
              <w:t>iš sumokėtų ar išieškotų baudų</w:t>
            </w:r>
            <w:r w:rsidRPr="00936E6C">
              <w:rPr>
                <w:rFonts w:ascii="Times New Roman" w:eastAsia="Times New Roman" w:hAnsi="Times New Roman" w:cs="Times New Roman"/>
                <w:b/>
                <w:bCs/>
                <w:color w:val="000000"/>
                <w:sz w:val="24"/>
                <w:szCs w:val="24"/>
              </w:rPr>
              <w:t> </w:t>
            </w:r>
            <w:r w:rsidRPr="00936E6C">
              <w:rPr>
                <w:rFonts w:ascii="Times New Roman" w:eastAsia="Times New Roman" w:hAnsi="Times New Roman" w:cs="Times New Roman"/>
                <w:i/>
                <w:iCs/>
                <w:color w:val="000000"/>
                <w:sz w:val="24"/>
                <w:szCs w:val="24"/>
              </w:rPr>
              <w:t>už nustatyto greičio viršijimą</w:t>
            </w:r>
            <w:r w:rsidRPr="00936E6C">
              <w:rPr>
                <w:rFonts w:ascii="Times New Roman" w:eastAsia="Times New Roman" w:hAnsi="Times New Roman" w:cs="Times New Roman"/>
                <w:color w:val="000000"/>
                <w:sz w:val="24"/>
                <w:szCs w:val="24"/>
              </w:rPr>
              <w:t>).</w:t>
            </w:r>
          </w:p>
          <w:p w14:paraId="58A4821F" w14:textId="55E4F1C8" w:rsidR="006827BE" w:rsidRPr="00936E6C" w:rsidRDefault="006827BE" w:rsidP="00690950">
            <w:pPr>
              <w:spacing w:after="120" w:line="240" w:lineRule="auto"/>
              <w:jc w:val="both"/>
              <w:rPr>
                <w:rFonts w:ascii="Times New Roman" w:eastAsia="Times New Roman" w:hAnsi="Times New Roman" w:cs="Times New Roman"/>
                <w:color w:val="000000"/>
                <w:sz w:val="24"/>
                <w:szCs w:val="24"/>
              </w:rPr>
            </w:pPr>
            <w:r w:rsidRPr="00936E6C">
              <w:rPr>
                <w:rFonts w:ascii="Times New Roman" w:eastAsia="Times New Roman" w:hAnsi="Times New Roman" w:cs="Times New Roman"/>
                <w:color w:val="000000"/>
                <w:sz w:val="24"/>
                <w:szCs w:val="24"/>
              </w:rPr>
              <w:t>Atkreipiame dėmesį, kad stacionariąja Kelių eismo taisyklių pažeidimų fiksavimo įranga valstybinės reikšmės keliuose fiksuojami ne tik greičio viršijimo atvejai, tačiau ir kiti pažeidimai (pvz.: vairavimas, kai neatlikta transporto priemonės privalomoji techninė apžiūra; transporto priemonė nustatyta tvarka neįregistruota; valdytojai neapsidraudę transporto priemonių valdytojų civilinės atsakomybės privalomuoju draudimu ir kt.), kuriems apdoroti reikalingas finansavimas. Siūlome Įstatymo 9 straipsnio 1 dalies 22 punkte neišskirti konkrečių pažeidimų ir šį punktą išdėstyti taip:</w:t>
            </w:r>
          </w:p>
          <w:p w14:paraId="742628CC" w14:textId="75B1F135" w:rsidR="006827BE" w:rsidRPr="00936E6C" w:rsidRDefault="006827BE" w:rsidP="00690950">
            <w:pPr>
              <w:spacing w:after="120" w:line="240" w:lineRule="auto"/>
              <w:ind w:firstLine="720"/>
              <w:jc w:val="both"/>
              <w:rPr>
                <w:rFonts w:ascii="Times New Roman" w:eastAsia="Times New Roman" w:hAnsi="Times New Roman" w:cs="Times New Roman"/>
                <w:color w:val="000000"/>
                <w:sz w:val="24"/>
                <w:szCs w:val="24"/>
              </w:rPr>
            </w:pPr>
            <w:r w:rsidRPr="00936E6C">
              <w:rPr>
                <w:rFonts w:ascii="Times New Roman" w:eastAsia="Times New Roman" w:hAnsi="Times New Roman" w:cs="Times New Roman"/>
                <w:color w:val="000000"/>
                <w:sz w:val="24"/>
                <w:szCs w:val="24"/>
              </w:rPr>
              <w:t xml:space="preserve">„22) saugaus eismo keliuose programoms ir jų priemonėms įgyvendinti (tarp jų keliuose įrengtai stacionariajai Kelių eismo taisyklių pažeidimų fiksavimo įrangai prižiūrėti, gaunamai informacijai apdoroti ir kitoms saugaus eismo programoms </w:t>
            </w:r>
            <w:r w:rsidRPr="00936E6C">
              <w:rPr>
                <w:rFonts w:ascii="Times New Roman" w:eastAsia="Times New Roman" w:hAnsi="Times New Roman" w:cs="Times New Roman"/>
                <w:color w:val="000000"/>
                <w:sz w:val="24"/>
                <w:szCs w:val="24"/>
              </w:rPr>
              <w:lastRenderedPageBreak/>
              <w:t>įgyvendinti, naudojant lėšas iš sumokėtų ar išieškotų baudų už</w:t>
            </w:r>
            <w:r w:rsidRPr="00936E6C">
              <w:rPr>
                <w:rFonts w:ascii="Times New Roman" w:eastAsia="Times New Roman" w:hAnsi="Times New Roman" w:cs="Times New Roman"/>
                <w:b/>
                <w:bCs/>
                <w:color w:val="000000"/>
                <w:sz w:val="24"/>
                <w:szCs w:val="24"/>
              </w:rPr>
              <w:t> </w:t>
            </w:r>
            <w:r w:rsidRPr="00936E6C">
              <w:rPr>
                <w:rFonts w:ascii="Times New Roman" w:eastAsia="Times New Roman" w:hAnsi="Times New Roman" w:cs="Times New Roman"/>
                <w:strike/>
                <w:color w:val="000000"/>
                <w:sz w:val="24"/>
                <w:szCs w:val="24"/>
              </w:rPr>
              <w:t xml:space="preserve">nustatyto </w:t>
            </w:r>
            <w:bookmarkStart w:id="4" w:name="_Hlk81312573"/>
            <w:r w:rsidRPr="00936E6C">
              <w:rPr>
                <w:rFonts w:ascii="Times New Roman" w:eastAsia="Times New Roman" w:hAnsi="Times New Roman" w:cs="Times New Roman"/>
                <w:strike/>
                <w:color w:val="000000"/>
                <w:sz w:val="24"/>
                <w:szCs w:val="24"/>
              </w:rPr>
              <w:t>greičio viršijimą</w:t>
            </w:r>
            <w:r w:rsidRPr="00936E6C">
              <w:rPr>
                <w:rFonts w:ascii="Times New Roman" w:eastAsia="Times New Roman" w:hAnsi="Times New Roman" w:cs="Times New Roman"/>
                <w:color w:val="000000"/>
                <w:sz w:val="24"/>
                <w:szCs w:val="24"/>
              </w:rPr>
              <w:t> </w:t>
            </w:r>
            <w:bookmarkStart w:id="5" w:name="_Hlk81312637"/>
            <w:r w:rsidRPr="00936E6C">
              <w:rPr>
                <w:rFonts w:ascii="Times New Roman" w:eastAsia="Times New Roman" w:hAnsi="Times New Roman" w:cs="Times New Roman"/>
                <w:b/>
                <w:bCs/>
                <w:color w:val="000000"/>
                <w:sz w:val="24"/>
                <w:szCs w:val="24"/>
              </w:rPr>
              <w:t>Kelių eismo taisyklių pažeidimų fiksavimo įranga užfiksuotus administracinius nusižengimus</w:t>
            </w:r>
            <w:bookmarkEnd w:id="4"/>
            <w:bookmarkEnd w:id="5"/>
            <w:r w:rsidRPr="00936E6C">
              <w:rPr>
                <w:rFonts w:ascii="Times New Roman" w:eastAsia="Times New Roman" w:hAnsi="Times New Roman" w:cs="Times New Roman"/>
                <w:color w:val="000000"/>
                <w:sz w:val="24"/>
                <w:szCs w:val="24"/>
              </w:rPr>
              <w:t>);“.</w:t>
            </w:r>
          </w:p>
          <w:p w14:paraId="2402A43F" w14:textId="467F7EC2" w:rsidR="006827BE" w:rsidRPr="00936E6C" w:rsidRDefault="006827BE" w:rsidP="00690950">
            <w:pPr>
              <w:spacing w:after="120" w:line="240" w:lineRule="auto"/>
              <w:jc w:val="both"/>
              <w:rPr>
                <w:rFonts w:ascii="Times New Roman" w:eastAsia="Times New Roman" w:hAnsi="Times New Roman" w:cs="Times New Roman"/>
                <w:color w:val="000000"/>
                <w:sz w:val="24"/>
                <w:szCs w:val="24"/>
              </w:rPr>
            </w:pPr>
            <w:r w:rsidRPr="00936E6C">
              <w:rPr>
                <w:rFonts w:ascii="Times New Roman" w:eastAsia="Times New Roman" w:hAnsi="Times New Roman" w:cs="Times New Roman"/>
                <w:color w:val="000000"/>
                <w:sz w:val="24"/>
                <w:szCs w:val="24"/>
              </w:rPr>
              <w:t>Atkreipiame dėmesį, kad Lietuvos policijai pagal kompetenciją yra priskirta tirti administracinius nusižengimus, užfiksuotus naudojant pažeidimų fiksavimo sistemas (toliau – PFS). Pažymėtina, kad apie 45–50 procentų iš PFS gaunamų duomenų yra apdorojama automatiškai Administracinių nusižengimų registre, o kitus duomenis apdoroja ir procesinius sprendimus priima policijos darbuotojai. 2020 m. iš PFS, priklausančių LAKD, gauti 191 250, o iš savivaldybėms priklausančių PFS – 81 342 pažeidimų duomenys. Per 2021 metų septynis mėnesius policija gavo tirti 358 398 pažeidimus, kurių duomenys gauti iš LAKD priklausančių PFS, ir 57 779 pažeidimus, kurių duomenys gauti iš savivaldybėms priklausančių PFS.</w:t>
            </w:r>
          </w:p>
          <w:p w14:paraId="541FB15D" w14:textId="242E9FBC" w:rsidR="006827BE" w:rsidRPr="00936E6C" w:rsidRDefault="006827BE" w:rsidP="00690950">
            <w:pPr>
              <w:spacing w:after="120" w:line="240" w:lineRule="auto"/>
              <w:jc w:val="both"/>
              <w:rPr>
                <w:rFonts w:ascii="Times New Roman" w:eastAsia="Times New Roman" w:hAnsi="Times New Roman" w:cs="Times New Roman"/>
                <w:color w:val="000000"/>
                <w:sz w:val="24"/>
                <w:szCs w:val="24"/>
              </w:rPr>
            </w:pPr>
            <w:r w:rsidRPr="00936E6C">
              <w:rPr>
                <w:rFonts w:ascii="Times New Roman" w:eastAsia="Times New Roman" w:hAnsi="Times New Roman" w:cs="Times New Roman"/>
                <w:color w:val="000000"/>
                <w:sz w:val="24"/>
                <w:szCs w:val="24"/>
              </w:rPr>
              <w:t>Esant ribotam pareigūnų, tiriančių administracinius nusižengimus, skaičiui, policija nuolat ieško efektyvesnių veiklos organizavimo būdų, pažangių informacinių technologijų įrankių, teikia pasiūlymus dėl teisinio reglamentavimo tobulinimo, nes tai leidžia sumažinti žmogiškųjų išteklių poreikį. Nepaisydami to, manome, kad tiek LAKD, tiek savivaldos institucijų planuojama PFS plėtra turėtų būti vykdoma tik suderinus su Policijos departamentu prie Lietuvos Respublikos vidaus reikalų ministerijos ir tik tuo atveju, jei užtikrinamas žmogiškųjų išteklių, kurių reikia gaunamiems duomenims apdoroti ir pažeidimams tirti, taip pat kitų tyrimams reikalingų priemonių finansavimas. Kitu atveju, trūkstant pajėgumų apdoroti ir tirti PFS užfiksuotus pažeidimus, gaunamų duomenų apdorojimas gali užtrukti neproporcingai ilgai, o tai turėtų neigiamos įtakos siekiant administracinės nuobaudos tikslų ir sustiprintų nebaudžiamumo jausmą.</w:t>
            </w:r>
          </w:p>
          <w:p w14:paraId="622EF05B" w14:textId="1463CF98" w:rsidR="006827BE" w:rsidRPr="00936E6C" w:rsidRDefault="006827BE" w:rsidP="00690950">
            <w:pPr>
              <w:spacing w:after="120" w:line="240" w:lineRule="auto"/>
              <w:jc w:val="both"/>
              <w:rPr>
                <w:rFonts w:ascii="Times New Roman" w:eastAsia="Times New Roman" w:hAnsi="Times New Roman" w:cs="Times New Roman"/>
                <w:color w:val="000000"/>
                <w:sz w:val="24"/>
                <w:szCs w:val="24"/>
              </w:rPr>
            </w:pPr>
            <w:r w:rsidRPr="00936E6C">
              <w:rPr>
                <w:rFonts w:ascii="Times New Roman" w:eastAsia="Times New Roman" w:hAnsi="Times New Roman" w:cs="Times New Roman"/>
                <w:color w:val="000000"/>
                <w:sz w:val="24"/>
                <w:szCs w:val="24"/>
              </w:rPr>
              <w:t xml:space="preserve">Lietuvos Respublikos biudžeto sandaros įstatymo 28 straipsnio 3 dalyje nustatyta, kad tais atvejais, kai administracinis nusižengimas yra užfiksuotas iš savivaldybės biudžeto išlaikomomis arba eksploatuojamomis stacionariomis ar mobiliosiomis teisės pažeidimų fiksavimo sistemomis, bauda už administracinį nusižengimą įskaitoma taip: 50 procentų įskaitoma į savivaldybės biudžetą, 50 procentų – į valstybės biudžetą. Tačiau, priešingai nei dėl administracinių nusižengimų, kurių tyrimas pradedamas gavus duomenis iš LAKD priklausančių PFS (Įstatymo 9 straipsnio 1 dalies 22 punktas), gautos lėšos nėra skiriamos PFS duomenų apdorojimo ir administracinių nusižengimų tyrimo veiklai finansuoti. </w:t>
            </w:r>
            <w:r w:rsidRPr="00936E6C">
              <w:rPr>
                <w:rFonts w:ascii="Times New Roman" w:eastAsia="Times New Roman" w:hAnsi="Times New Roman" w:cs="Times New Roman"/>
                <w:sz w:val="24"/>
                <w:szCs w:val="24"/>
              </w:rPr>
              <w:t xml:space="preserve">Siūlome atitinkamai pakeisti Biudžeto sandaros </w:t>
            </w:r>
            <w:r w:rsidRPr="00936E6C">
              <w:rPr>
                <w:rFonts w:ascii="Times New Roman" w:eastAsia="Times New Roman" w:hAnsi="Times New Roman" w:cs="Times New Roman"/>
                <w:sz w:val="24"/>
                <w:szCs w:val="24"/>
              </w:rPr>
              <w:lastRenderedPageBreak/>
              <w:t>įstatymo 28 straipsnio 3 dalį ir numatyti galimybę dalį surenkamų lėšų skirti PFS duomenis apdorojančiai ir administracinius nusižengimus tiriančiai institucijai.</w:t>
            </w:r>
          </w:p>
        </w:tc>
        <w:tc>
          <w:tcPr>
            <w:tcW w:w="4967" w:type="dxa"/>
          </w:tcPr>
          <w:p w14:paraId="3CCBE140" w14:textId="77777777" w:rsidR="006827BE" w:rsidRPr="00936E6C" w:rsidRDefault="006827BE" w:rsidP="00690950">
            <w:pPr>
              <w:tabs>
                <w:tab w:val="left" w:pos="317"/>
              </w:tabs>
              <w:spacing w:after="0" w:line="240" w:lineRule="auto"/>
              <w:jc w:val="both"/>
              <w:rPr>
                <w:rFonts w:ascii="Times New Roman" w:eastAsia="Calibri" w:hAnsi="Times New Roman" w:cs="Times New Roman"/>
                <w:b/>
                <w:sz w:val="24"/>
                <w:szCs w:val="24"/>
              </w:rPr>
            </w:pPr>
            <w:r w:rsidRPr="00936E6C">
              <w:rPr>
                <w:rFonts w:ascii="Times New Roman" w:eastAsia="Calibri" w:hAnsi="Times New Roman" w:cs="Times New Roman"/>
                <w:b/>
                <w:sz w:val="24"/>
                <w:szCs w:val="24"/>
              </w:rPr>
              <w:lastRenderedPageBreak/>
              <w:t>Atsižvelgta iš dalies.</w:t>
            </w:r>
          </w:p>
          <w:p w14:paraId="3DC7AC86" w14:textId="274A1C64" w:rsidR="008849E3" w:rsidRPr="00936E6C" w:rsidRDefault="00A45F65" w:rsidP="00690950">
            <w:pPr>
              <w:tabs>
                <w:tab w:val="left" w:pos="317"/>
              </w:tabs>
              <w:spacing w:after="0" w:line="240" w:lineRule="auto"/>
              <w:jc w:val="both"/>
              <w:rPr>
                <w:rFonts w:ascii="Times New Roman" w:eastAsia="Calibri" w:hAnsi="Times New Roman" w:cs="Times New Roman"/>
                <w:b/>
                <w:sz w:val="24"/>
                <w:szCs w:val="24"/>
              </w:rPr>
            </w:pPr>
            <w:r w:rsidRPr="00936E6C">
              <w:rPr>
                <w:rFonts w:ascii="Times New Roman" w:eastAsia="Calibri" w:hAnsi="Times New Roman" w:cs="Times New Roman"/>
                <w:bCs/>
                <w:sz w:val="24"/>
                <w:szCs w:val="24"/>
              </w:rPr>
              <w:t>S</w:t>
            </w:r>
            <w:r w:rsidR="00046C76" w:rsidRPr="00936E6C">
              <w:rPr>
                <w:rFonts w:ascii="Times New Roman" w:eastAsia="Calibri" w:hAnsi="Times New Roman" w:cs="Times New Roman"/>
                <w:bCs/>
                <w:sz w:val="24"/>
                <w:szCs w:val="24"/>
              </w:rPr>
              <w:t xml:space="preserve">iūlymas </w:t>
            </w:r>
            <w:r w:rsidRPr="00936E6C">
              <w:rPr>
                <w:rFonts w:ascii="Times New Roman" w:eastAsia="Calibri" w:hAnsi="Times New Roman" w:cs="Times New Roman"/>
                <w:bCs/>
                <w:sz w:val="24"/>
                <w:szCs w:val="24"/>
              </w:rPr>
              <w:t xml:space="preserve"> inicijuoti </w:t>
            </w:r>
            <w:r w:rsidR="00430CC2" w:rsidRPr="00936E6C">
              <w:rPr>
                <w:rFonts w:ascii="Times New Roman" w:eastAsia="Calibri" w:hAnsi="Times New Roman" w:cs="Times New Roman"/>
                <w:bCs/>
                <w:sz w:val="24"/>
                <w:szCs w:val="24"/>
              </w:rPr>
              <w:t>B</w:t>
            </w:r>
            <w:r w:rsidRPr="00936E6C">
              <w:rPr>
                <w:rFonts w:ascii="Times New Roman" w:eastAsia="Calibri" w:hAnsi="Times New Roman" w:cs="Times New Roman"/>
                <w:bCs/>
                <w:sz w:val="24"/>
                <w:szCs w:val="24"/>
              </w:rPr>
              <w:t>iudžeto sandaros įstatymo 28 straipsnio 3 dalies pakeitimą neatitinka</w:t>
            </w:r>
            <w:r w:rsidR="00046C76" w:rsidRPr="00936E6C">
              <w:rPr>
                <w:rFonts w:ascii="Times New Roman" w:eastAsia="Calibri" w:hAnsi="Times New Roman" w:cs="Times New Roman"/>
                <w:bCs/>
                <w:sz w:val="24"/>
                <w:szCs w:val="24"/>
              </w:rPr>
              <w:t xml:space="preserve"> </w:t>
            </w:r>
            <w:r w:rsidR="00430CC2" w:rsidRPr="00936E6C">
              <w:rPr>
                <w:rFonts w:ascii="Times New Roman" w:eastAsia="Calibri" w:hAnsi="Times New Roman" w:cs="Times New Roman"/>
                <w:bCs/>
                <w:sz w:val="24"/>
                <w:szCs w:val="24"/>
              </w:rPr>
              <w:t>K</w:t>
            </w:r>
            <w:r w:rsidR="00046C76" w:rsidRPr="00936E6C">
              <w:rPr>
                <w:rFonts w:ascii="Times New Roman" w:eastAsia="Calibri" w:hAnsi="Times New Roman" w:cs="Times New Roman"/>
                <w:bCs/>
                <w:sz w:val="24"/>
                <w:szCs w:val="24"/>
              </w:rPr>
              <w:t xml:space="preserve">elių priežiūros ir plėtros programos finansavimo įstatymo keitimo </w:t>
            </w:r>
            <w:r w:rsidRPr="00936E6C">
              <w:rPr>
                <w:rFonts w:ascii="Times New Roman" w:eastAsia="Calibri" w:hAnsi="Times New Roman" w:cs="Times New Roman"/>
                <w:bCs/>
                <w:sz w:val="24"/>
                <w:szCs w:val="24"/>
              </w:rPr>
              <w:t>tikslų</w:t>
            </w:r>
            <w:r w:rsidR="00046C76" w:rsidRPr="00936E6C">
              <w:rPr>
                <w:rFonts w:ascii="Times New Roman" w:eastAsia="Calibri" w:hAnsi="Times New Roman" w:cs="Times New Roman"/>
                <w:bCs/>
                <w:sz w:val="24"/>
                <w:szCs w:val="24"/>
              </w:rPr>
              <w:t>. Todėl siūl</w:t>
            </w:r>
            <w:r w:rsidRPr="00936E6C">
              <w:rPr>
                <w:rFonts w:ascii="Times New Roman" w:eastAsia="Calibri" w:hAnsi="Times New Roman" w:cs="Times New Roman"/>
                <w:bCs/>
                <w:sz w:val="24"/>
                <w:szCs w:val="24"/>
              </w:rPr>
              <w:t xml:space="preserve">ome </w:t>
            </w:r>
            <w:r w:rsidR="00046C76" w:rsidRPr="00936E6C">
              <w:rPr>
                <w:rFonts w:ascii="Times New Roman" w:eastAsia="Calibri" w:hAnsi="Times New Roman" w:cs="Times New Roman"/>
                <w:bCs/>
                <w:sz w:val="24"/>
                <w:szCs w:val="24"/>
              </w:rPr>
              <w:t xml:space="preserve">Vidaus reikalų ministerijai </w:t>
            </w:r>
            <w:r w:rsidRPr="00936E6C">
              <w:rPr>
                <w:rFonts w:ascii="Times New Roman" w:eastAsia="Calibri" w:hAnsi="Times New Roman" w:cs="Times New Roman"/>
                <w:bCs/>
                <w:sz w:val="24"/>
                <w:szCs w:val="24"/>
              </w:rPr>
              <w:t>pačiai  inicijuoti Biudžeto sandaros įstatymo keitimą.</w:t>
            </w:r>
          </w:p>
        </w:tc>
      </w:tr>
      <w:tr w:rsidR="00D954BC" w:rsidRPr="00936E6C" w14:paraId="1D70A41A" w14:textId="77777777" w:rsidTr="00D954BC">
        <w:trPr>
          <w:trHeight w:val="2349"/>
        </w:trPr>
        <w:tc>
          <w:tcPr>
            <w:tcW w:w="1985" w:type="dxa"/>
            <w:vMerge w:val="restart"/>
          </w:tcPr>
          <w:p w14:paraId="0F253AD0" w14:textId="4DF7215A" w:rsidR="00D954BC" w:rsidRPr="00936E6C" w:rsidRDefault="00D954BC" w:rsidP="00690950">
            <w:pPr>
              <w:spacing w:after="0" w:line="240" w:lineRule="auto"/>
              <w:jc w:val="both"/>
              <w:rPr>
                <w:rFonts w:ascii="Times New Roman" w:hAnsi="Times New Roman" w:cs="Times New Roman"/>
                <w:sz w:val="24"/>
                <w:szCs w:val="24"/>
              </w:rPr>
            </w:pPr>
            <w:r w:rsidRPr="00936E6C">
              <w:rPr>
                <w:rFonts w:ascii="Times New Roman" w:hAnsi="Times New Roman" w:cs="Times New Roman"/>
                <w:sz w:val="24"/>
                <w:szCs w:val="24"/>
              </w:rPr>
              <w:lastRenderedPageBreak/>
              <w:t>Lietuvos savivaldybių asociacijos  2021 m. rugpjūčio 31 d. raštas Nr. (3)-SD-601</w:t>
            </w:r>
          </w:p>
        </w:tc>
        <w:tc>
          <w:tcPr>
            <w:tcW w:w="8500" w:type="dxa"/>
          </w:tcPr>
          <w:p w14:paraId="252403CD" w14:textId="77777777" w:rsidR="00D954BC" w:rsidRPr="00936E6C" w:rsidRDefault="00D954BC" w:rsidP="00690950">
            <w:pPr>
              <w:spacing w:after="120" w:line="240" w:lineRule="auto"/>
              <w:jc w:val="both"/>
              <w:rPr>
                <w:rFonts w:ascii="Times New Roman" w:hAnsi="Times New Roman" w:cs="Times New Roman"/>
                <w:sz w:val="24"/>
                <w:szCs w:val="24"/>
              </w:rPr>
            </w:pPr>
            <w:r w:rsidRPr="00936E6C">
              <w:rPr>
                <w:rFonts w:ascii="Times New Roman" w:hAnsi="Times New Roman" w:cs="Times New Roman"/>
                <w:b/>
                <w:bCs/>
                <w:sz w:val="24"/>
                <w:szCs w:val="24"/>
              </w:rPr>
              <w:t>2. Sostinės regiono savivaldybės ir savivaldybės prie didžiųjų miestų nepritaria siūlymui atsisakyti atskiro finansavimo skyrimo šioms savivaldybių grupėms</w:t>
            </w:r>
            <w:r w:rsidRPr="00936E6C">
              <w:rPr>
                <w:rFonts w:ascii="Times New Roman" w:hAnsi="Times New Roman" w:cs="Times New Roman"/>
                <w:sz w:val="24"/>
                <w:szCs w:val="24"/>
              </w:rPr>
              <w:t>. Ypač tokiam siūlymui nepritaria šalia didžiausių šalies miestų esančios Vilniaus rajono ir Kauno rajono savivaldybės, kuriose eismo intensyvus yra didelis ir vykdoma sparti urbanizacijos plėtra. Šioms grupėms priklausančios savivaldybės pažymi, kad jei rodikliai, pagal kuriuos bus skirstomos KPPP lėšos, bus visiems suvienodinti, tuomet yra rizika, kad jos praras lėšas, kurios kasmet buvo skiriamos šioms savivaldybėms, atsižvelgiant į jų specifiką.</w:t>
            </w:r>
          </w:p>
          <w:p w14:paraId="224DEE0B" w14:textId="215312F8" w:rsidR="00D954BC" w:rsidRPr="00936E6C" w:rsidRDefault="00D954BC" w:rsidP="00D954BC">
            <w:pPr>
              <w:spacing w:after="120" w:line="240" w:lineRule="auto"/>
              <w:jc w:val="both"/>
              <w:rPr>
                <w:rFonts w:ascii="Times New Roman" w:hAnsi="Times New Roman" w:cs="Times New Roman"/>
                <w:sz w:val="24"/>
                <w:szCs w:val="24"/>
              </w:rPr>
            </w:pPr>
            <w:r w:rsidRPr="00936E6C">
              <w:rPr>
                <w:rFonts w:ascii="Times New Roman" w:hAnsi="Times New Roman" w:cs="Times New Roman"/>
                <w:sz w:val="24"/>
                <w:szCs w:val="24"/>
              </w:rPr>
              <w:t xml:space="preserve">Šių grupių savivaldybės pažymi, kad papildomos lėšos yra svarbios, nes dauguma jų, esančios prie didžiųjų miestų, tampa lyg miegamieji rajonai žmonėms, dirbantiems miestuose, o gyvenantiems rajone. Tačiau užtikrinti jų gerovę turi būtent rajoninės arba vadinamosios „žiedinės“ savivaldybės. Šiose savivaldybėse sparčiai vystosi gyvenvietės, kuriose nebuvo išvystytos infrastruktūros. Per jas driekiasi tranzito keliai, taip pat sparčiai kuriasi verslo įmonės. Minėti faktoriai nulemia, kad šiose savivaldybėse didėja eismo intensyvumas, o esama kelių infrastruktūra neužtikrina ekonominės ir socialinės plėtros, netenkina bendruomenių poreikių, neigiamai veikia gyvenamąją aplinką. </w:t>
            </w:r>
          </w:p>
        </w:tc>
        <w:tc>
          <w:tcPr>
            <w:tcW w:w="4967" w:type="dxa"/>
          </w:tcPr>
          <w:p w14:paraId="354FE274" w14:textId="77777777" w:rsidR="00D954BC" w:rsidRPr="00936E6C" w:rsidRDefault="00D954BC" w:rsidP="00690950">
            <w:pPr>
              <w:tabs>
                <w:tab w:val="left" w:pos="317"/>
              </w:tabs>
              <w:spacing w:after="0" w:line="240" w:lineRule="auto"/>
              <w:jc w:val="both"/>
              <w:rPr>
                <w:rFonts w:ascii="Times New Roman" w:eastAsia="Calibri" w:hAnsi="Times New Roman" w:cs="Times New Roman"/>
                <w:b/>
                <w:sz w:val="24"/>
                <w:szCs w:val="24"/>
              </w:rPr>
            </w:pPr>
            <w:r w:rsidRPr="00936E6C">
              <w:rPr>
                <w:rFonts w:ascii="Times New Roman" w:eastAsia="Calibri" w:hAnsi="Times New Roman" w:cs="Times New Roman"/>
                <w:b/>
                <w:sz w:val="24"/>
                <w:szCs w:val="24"/>
              </w:rPr>
              <w:t xml:space="preserve">Neatsižvelgta. </w:t>
            </w:r>
          </w:p>
          <w:p w14:paraId="22B1E37B" w14:textId="7EFF4865" w:rsidR="00D954BC" w:rsidRPr="00936E6C" w:rsidRDefault="00D954BC" w:rsidP="00DE57E3">
            <w:pPr>
              <w:tabs>
                <w:tab w:val="left" w:pos="317"/>
              </w:tabs>
              <w:spacing w:after="0" w:line="240" w:lineRule="auto"/>
              <w:jc w:val="both"/>
              <w:rPr>
                <w:rFonts w:ascii="Times New Roman" w:eastAsia="Calibri" w:hAnsi="Times New Roman" w:cs="Times New Roman"/>
                <w:bCs/>
                <w:sz w:val="24"/>
                <w:szCs w:val="24"/>
              </w:rPr>
            </w:pPr>
            <w:r w:rsidRPr="00936E6C">
              <w:rPr>
                <w:rFonts w:ascii="Times New Roman" w:eastAsia="Calibri" w:hAnsi="Times New Roman" w:cs="Times New Roman"/>
                <w:bCs/>
                <w:sz w:val="24"/>
                <w:szCs w:val="24"/>
              </w:rPr>
              <w:t>Numatomi pakeitimai garantuoja didesnį finansavimą net ir toms savivaldybėms, kurios gaudavo papildomą finansavimą kaip Sostinės regiono savivaldybės ir savivaldybės prie didžiųjų miestų. Be to, viešųjų konsultacijų metu dauguma ekspertų ir savivaldybių atstovų neprieštaravo siūlymui panaikinti Programos finansavimo eilutes Sostinės regiono savivaldybėms ir savivaldybėms prie didžiųjų miestų.</w:t>
            </w:r>
            <w:r w:rsidR="00615DE8">
              <w:rPr>
                <w:rFonts w:ascii="Times New Roman" w:eastAsia="Calibri" w:hAnsi="Times New Roman" w:cs="Times New Roman"/>
                <w:bCs/>
                <w:sz w:val="24"/>
                <w:szCs w:val="24"/>
              </w:rPr>
              <w:t xml:space="preserve"> Siūlomi pakeitimai užtikrintų tolygesnį lėšų tarp savivaldybių paskirstymą.</w:t>
            </w:r>
          </w:p>
        </w:tc>
      </w:tr>
      <w:tr w:rsidR="006827BE" w:rsidRPr="00936E6C" w14:paraId="1ED495E8" w14:textId="77777777" w:rsidTr="00D954BC">
        <w:tc>
          <w:tcPr>
            <w:tcW w:w="1985" w:type="dxa"/>
            <w:vMerge/>
          </w:tcPr>
          <w:p w14:paraId="045D529B" w14:textId="77777777" w:rsidR="006827BE" w:rsidRPr="00936E6C" w:rsidRDefault="006827BE" w:rsidP="00690950">
            <w:pPr>
              <w:spacing w:after="0" w:line="240" w:lineRule="auto"/>
              <w:rPr>
                <w:rFonts w:ascii="Times New Roman" w:hAnsi="Times New Roman" w:cs="Times New Roman"/>
                <w:sz w:val="24"/>
                <w:szCs w:val="24"/>
              </w:rPr>
            </w:pPr>
          </w:p>
        </w:tc>
        <w:tc>
          <w:tcPr>
            <w:tcW w:w="8500" w:type="dxa"/>
          </w:tcPr>
          <w:p w14:paraId="5ECBE729" w14:textId="77777777" w:rsidR="006827BE" w:rsidRPr="00936E6C" w:rsidRDefault="006827BE" w:rsidP="00690950">
            <w:pPr>
              <w:spacing w:after="120" w:line="240" w:lineRule="auto"/>
              <w:jc w:val="both"/>
              <w:rPr>
                <w:rFonts w:ascii="Times New Roman" w:hAnsi="Times New Roman" w:cs="Times New Roman"/>
                <w:b/>
                <w:bCs/>
                <w:sz w:val="24"/>
                <w:szCs w:val="24"/>
              </w:rPr>
            </w:pPr>
            <w:r w:rsidRPr="00936E6C">
              <w:rPr>
                <w:rFonts w:ascii="Times New Roman" w:hAnsi="Times New Roman" w:cs="Times New Roman"/>
                <w:b/>
                <w:bCs/>
                <w:sz w:val="24"/>
                <w:szCs w:val="24"/>
              </w:rPr>
              <w:t>3. Dėl privalomų sąlygų KPPP lėšų naudojimui.</w:t>
            </w:r>
          </w:p>
          <w:p w14:paraId="4F6FF738" w14:textId="77777777" w:rsidR="006827BE" w:rsidRPr="00936E6C" w:rsidRDefault="006827BE" w:rsidP="00690950">
            <w:pPr>
              <w:spacing w:after="120" w:line="240" w:lineRule="auto"/>
              <w:jc w:val="both"/>
              <w:rPr>
                <w:rFonts w:ascii="Times New Roman" w:hAnsi="Times New Roman" w:cs="Times New Roman"/>
                <w:sz w:val="24"/>
                <w:szCs w:val="24"/>
              </w:rPr>
            </w:pPr>
            <w:r w:rsidRPr="00936E6C">
              <w:rPr>
                <w:rFonts w:ascii="Times New Roman" w:hAnsi="Times New Roman" w:cs="Times New Roman"/>
                <w:sz w:val="24"/>
                <w:szCs w:val="24"/>
              </w:rPr>
              <w:t xml:space="preserve">Pagal Lietuvos Respublikos vietos savivaldos įstatymą, savivaldybių vietinės reikšmės kelių ir gatvių priežiūra, taisymas, tiesimas ir saugaus eismo organizavimas yra savivaldybių savarankiškoji funkcija. Tai reiškia, kad visą atsakomybę už šios funkcijos įgyvendinimą prisiima pačios savivaldybės, o centrinė valdžia teisės aktų ribose neturėtų varžyti ir riboti savivaldybių savarankiškumo. Atsižvelgiant į tai, manome, kad tiek šiuo metu taikomos, tiek planuojamos naujos KPPP lėšų naudojimo sąlygos pažeidžia savivaldybių savarankiškumo principą. </w:t>
            </w:r>
          </w:p>
          <w:p w14:paraId="156C0BB1" w14:textId="77777777" w:rsidR="006827BE" w:rsidRPr="00936E6C" w:rsidRDefault="006827BE" w:rsidP="00690950">
            <w:pPr>
              <w:spacing w:after="120" w:line="240" w:lineRule="auto"/>
              <w:jc w:val="both"/>
              <w:rPr>
                <w:rFonts w:ascii="Times New Roman" w:hAnsi="Times New Roman" w:cs="Times New Roman"/>
                <w:sz w:val="24"/>
                <w:szCs w:val="24"/>
              </w:rPr>
            </w:pPr>
            <w:r w:rsidRPr="00936E6C">
              <w:rPr>
                <w:rFonts w:ascii="Times New Roman" w:hAnsi="Times New Roman" w:cs="Times New Roman"/>
                <w:sz w:val="24"/>
                <w:szCs w:val="24"/>
              </w:rPr>
              <w:t>Siūlome atsisakyti privalomų reikalavimų KPPP lėšų naudojimui, t. y. ne mažiau kaip 58 proc. KPPP finansavimo lėšų skirti turtui įsigyti, ne mažiau kaip 5 proc. lėšų naudoti saugaus eismo priemonėms ir ne mažiau kaip 10 proc. – finansuoti darnaus judumo priemones. Manome, kad šios proporcijos turėtų būti rekomendacinio pobūdžio arba jas galėtų nusistatyti pačios savivaldybių tarybos KPPP lėšų paskirstymo tvarkoje.</w:t>
            </w:r>
          </w:p>
          <w:p w14:paraId="6D0951CD" w14:textId="188A9FF2" w:rsidR="006827BE" w:rsidRPr="00936E6C" w:rsidRDefault="006827BE" w:rsidP="00690950">
            <w:pPr>
              <w:spacing w:after="120" w:line="240" w:lineRule="auto"/>
              <w:jc w:val="both"/>
              <w:rPr>
                <w:rFonts w:ascii="Times New Roman" w:hAnsi="Times New Roman" w:cs="Times New Roman"/>
                <w:sz w:val="24"/>
                <w:szCs w:val="24"/>
              </w:rPr>
            </w:pPr>
            <w:r w:rsidRPr="00936E6C">
              <w:rPr>
                <w:rFonts w:ascii="Times New Roman" w:hAnsi="Times New Roman" w:cs="Times New Roman"/>
                <w:sz w:val="24"/>
                <w:szCs w:val="24"/>
              </w:rPr>
              <w:lastRenderedPageBreak/>
              <w:t xml:space="preserve">Rajonų savivaldybės pažymi, kad dažnai projektai įgyvendinami per kelerius metus, todėl, jei ir yra numatytos saugaus eismo priemonės (pvz., greičio mažinimo kalneliai, kelio ženklai, atitvarai ir kt.), jos įprastai įrengiamos tik antraisiais ar vėlesniais metais. </w:t>
            </w:r>
          </w:p>
          <w:p w14:paraId="199410C6" w14:textId="77777777" w:rsidR="006827BE" w:rsidRPr="00936E6C" w:rsidRDefault="006827BE" w:rsidP="00690950">
            <w:pPr>
              <w:spacing w:after="120" w:line="240" w:lineRule="auto"/>
              <w:jc w:val="both"/>
              <w:rPr>
                <w:rFonts w:ascii="Times New Roman" w:hAnsi="Times New Roman" w:cs="Times New Roman"/>
                <w:sz w:val="24"/>
                <w:szCs w:val="24"/>
              </w:rPr>
            </w:pPr>
            <w:r w:rsidRPr="00936E6C">
              <w:rPr>
                <w:rFonts w:ascii="Times New Roman" w:hAnsi="Times New Roman" w:cs="Times New Roman"/>
                <w:sz w:val="24"/>
                <w:szCs w:val="24"/>
              </w:rPr>
              <w:t xml:space="preserve">Ypač savivaldybės nepritaria siūlymui – ne mažiau 10 proc. nuo savivaldybės gauto KPPP „krepšelio“ skirti darnaus judumo priemonėms. Tokio principo įdiegimas reiškia, kad nemaža dalis lėšų nepateks į kelių būklės gerinimą, o tai neigiamai paveiks vietinės reikšmės kelių būklę ilguoju laikotarpiu. Be to, Susisiekimo ministerija planuoja įsteigti Darnaus judumo fondą, kurio lėšos bus naudojamos darnaus judumo priemonių finansavimui savivaldybėse. Šį fondą sudarys planuojamos gauti ženklios ES paramos fondų lėšos bei įplaukos iš naujo motorinių transporto priemonių taršos mokesčio. Šio fondo lėšos bus naudojamos remti savivaldybių darnaus judumo priemonių įgyvendinimą (darnaus judumo mieste plano priemonių, tiesiogiai susijusių su ŠESD, oro taršos ir triukšmo mažinimu, įgyvendinimui, viešojo transporto patrauklumo didinimui, </w:t>
            </w:r>
            <w:proofErr w:type="spellStart"/>
            <w:r w:rsidRPr="00936E6C">
              <w:rPr>
                <w:rFonts w:ascii="Times New Roman" w:hAnsi="Times New Roman" w:cs="Times New Roman"/>
                <w:sz w:val="24"/>
                <w:szCs w:val="24"/>
              </w:rPr>
              <w:t>bevariklio</w:t>
            </w:r>
            <w:proofErr w:type="spellEnd"/>
            <w:r w:rsidRPr="00936E6C">
              <w:rPr>
                <w:rFonts w:ascii="Times New Roman" w:hAnsi="Times New Roman" w:cs="Times New Roman"/>
                <w:sz w:val="24"/>
                <w:szCs w:val="24"/>
              </w:rPr>
              <w:t xml:space="preserve"> transporto priemonių naudojimo skatinimui ir pan.).</w:t>
            </w:r>
          </w:p>
          <w:p w14:paraId="6054339A" w14:textId="77777777" w:rsidR="006827BE" w:rsidRPr="00936E6C" w:rsidRDefault="006827BE" w:rsidP="00690950">
            <w:pPr>
              <w:spacing w:after="120" w:line="240" w:lineRule="auto"/>
              <w:jc w:val="both"/>
              <w:rPr>
                <w:rFonts w:ascii="Times New Roman" w:hAnsi="Times New Roman" w:cs="Times New Roman"/>
                <w:sz w:val="24"/>
                <w:szCs w:val="24"/>
              </w:rPr>
            </w:pPr>
            <w:r w:rsidRPr="00936E6C">
              <w:rPr>
                <w:rFonts w:ascii="Times New Roman" w:hAnsi="Times New Roman" w:cs="Times New Roman"/>
                <w:b/>
                <w:bCs/>
                <w:sz w:val="24"/>
                <w:szCs w:val="24"/>
              </w:rPr>
              <w:t>Atsižvelgiant į tai, kad darnaus judumo priemonės bus finansuojamos iš atskiro finansinio šaltinio, t. y. Darnaus judumo fondo, manytume, jog tokiu atveju yra tikslinga palikti teisę pačioms savivaldybėms spręsti, kokią dalį gauto KPPP „krepšelio“ skirti darniam judumui užtikrinti.</w:t>
            </w:r>
            <w:r w:rsidRPr="00936E6C">
              <w:rPr>
                <w:rFonts w:ascii="Times New Roman" w:hAnsi="Times New Roman" w:cs="Times New Roman"/>
                <w:sz w:val="24"/>
                <w:szCs w:val="24"/>
              </w:rPr>
              <w:t xml:space="preserve"> Savivaldybės jau ir dabar investuoja ir ateityje toliau investuos į darnaus judumo priemones, tačiau tam nereikia nustatyti konkrečių ribų, nes kiekvienoje savivaldybėse situacija tiek su kelių infrastruktūra, tiek su darniu judumu yra skirtinga, todėl pačioms savivaldybėms turėtų būti palikta galimybė spręsti dėl KPPP lėšų paskirstymo proporcijų, atsižvelgiant į vietos gyventojų poreikius. </w:t>
            </w:r>
          </w:p>
          <w:p w14:paraId="0B36CA25" w14:textId="1926BFCA" w:rsidR="006827BE" w:rsidRPr="00936E6C" w:rsidRDefault="006827BE" w:rsidP="00690950">
            <w:pPr>
              <w:spacing w:after="120" w:line="240" w:lineRule="auto"/>
              <w:jc w:val="both"/>
              <w:rPr>
                <w:rFonts w:ascii="Times New Roman" w:hAnsi="Times New Roman" w:cs="Times New Roman"/>
                <w:sz w:val="24"/>
                <w:szCs w:val="24"/>
              </w:rPr>
            </w:pPr>
            <w:r w:rsidRPr="00936E6C">
              <w:rPr>
                <w:rFonts w:ascii="Times New Roman" w:hAnsi="Times New Roman" w:cs="Times New Roman"/>
                <w:sz w:val="24"/>
                <w:szCs w:val="24"/>
              </w:rPr>
              <w:t xml:space="preserve">Kitas svarstytinas variantas – mažinti proporciją ir, vietoj dabar siūlomo 10 proc., nustatyti reikalavimą – ne mažiau kaip 5 proc. gauto KPPP finansavimo skirti darnaus judumo priemonėms finansuoti ir palikti galimybę lėšas skirti rekreaciniams takams. </w:t>
            </w:r>
          </w:p>
        </w:tc>
        <w:tc>
          <w:tcPr>
            <w:tcW w:w="4967" w:type="dxa"/>
          </w:tcPr>
          <w:p w14:paraId="2E9DF55D" w14:textId="4A36E968" w:rsidR="008849E3" w:rsidRPr="00936E6C" w:rsidRDefault="00C45437" w:rsidP="00690950">
            <w:pPr>
              <w:tabs>
                <w:tab w:val="left" w:pos="317"/>
              </w:tabs>
              <w:spacing w:after="0" w:line="240" w:lineRule="auto"/>
              <w:jc w:val="both"/>
              <w:rPr>
                <w:rFonts w:ascii="Times New Roman" w:eastAsia="Calibri" w:hAnsi="Times New Roman" w:cs="Times New Roman"/>
                <w:b/>
                <w:sz w:val="24"/>
                <w:szCs w:val="24"/>
              </w:rPr>
            </w:pPr>
            <w:r w:rsidRPr="00936E6C">
              <w:rPr>
                <w:rFonts w:ascii="Times New Roman" w:eastAsia="Calibri" w:hAnsi="Times New Roman" w:cs="Times New Roman"/>
                <w:b/>
                <w:sz w:val="24"/>
                <w:szCs w:val="24"/>
              </w:rPr>
              <w:lastRenderedPageBreak/>
              <w:t>Atsižvelgta iš dalies</w:t>
            </w:r>
            <w:r w:rsidR="008849E3" w:rsidRPr="00936E6C">
              <w:rPr>
                <w:rFonts w:ascii="Times New Roman" w:eastAsia="Calibri" w:hAnsi="Times New Roman" w:cs="Times New Roman"/>
                <w:b/>
                <w:sz w:val="24"/>
                <w:szCs w:val="24"/>
              </w:rPr>
              <w:t xml:space="preserve">. </w:t>
            </w:r>
          </w:p>
          <w:p w14:paraId="2D6E777F" w14:textId="069142AC" w:rsidR="008849E3" w:rsidRPr="00936E6C" w:rsidRDefault="00C45437" w:rsidP="00690950">
            <w:pPr>
              <w:tabs>
                <w:tab w:val="left" w:pos="317"/>
              </w:tabs>
              <w:spacing w:after="0" w:line="240" w:lineRule="auto"/>
              <w:jc w:val="both"/>
              <w:rPr>
                <w:rFonts w:ascii="Times New Roman" w:eastAsia="Calibri" w:hAnsi="Times New Roman" w:cs="Times New Roman"/>
                <w:b/>
                <w:sz w:val="24"/>
                <w:szCs w:val="24"/>
              </w:rPr>
            </w:pPr>
            <w:r w:rsidRPr="00936E6C">
              <w:rPr>
                <w:rFonts w:ascii="Times New Roman" w:eastAsia="Calibri" w:hAnsi="Times New Roman" w:cs="Times New Roman"/>
                <w:bCs/>
                <w:sz w:val="24"/>
                <w:szCs w:val="24"/>
              </w:rPr>
              <w:t>Programos finansavimo lėšos nėra savivaldybės biudžeto lėšos, o valstybės dotacija. Kaip ir Europos Sąjungos fondų lėšos, dotacija skiriama tam tikromis sąlygomis, t</w:t>
            </w:r>
            <w:r w:rsidR="008A5424" w:rsidRPr="00936E6C">
              <w:rPr>
                <w:rFonts w:ascii="Times New Roman" w:eastAsia="Calibri" w:hAnsi="Times New Roman" w:cs="Times New Roman"/>
                <w:bCs/>
                <w:sz w:val="24"/>
                <w:szCs w:val="24"/>
              </w:rPr>
              <w:t xml:space="preserve">odėl siūlymas </w:t>
            </w:r>
            <w:r w:rsidR="008A5424" w:rsidRPr="00936E6C">
              <w:rPr>
                <w:rFonts w:ascii="Times New Roman" w:hAnsi="Times New Roman" w:cs="Times New Roman"/>
                <w:bCs/>
                <w:sz w:val="24"/>
                <w:szCs w:val="24"/>
              </w:rPr>
              <w:t xml:space="preserve"> </w:t>
            </w:r>
            <w:r w:rsidR="008A5424" w:rsidRPr="00936E6C">
              <w:rPr>
                <w:rFonts w:ascii="Times New Roman" w:eastAsia="Calibri" w:hAnsi="Times New Roman" w:cs="Times New Roman"/>
                <w:bCs/>
                <w:sz w:val="24"/>
                <w:szCs w:val="24"/>
              </w:rPr>
              <w:t xml:space="preserve">atsisakyti ne mažiau kaip 58 proc. </w:t>
            </w:r>
            <w:r w:rsidR="009D20ED" w:rsidRPr="00936E6C">
              <w:rPr>
                <w:rFonts w:ascii="Times New Roman" w:eastAsia="Calibri" w:hAnsi="Times New Roman" w:cs="Times New Roman"/>
                <w:bCs/>
                <w:sz w:val="24"/>
                <w:szCs w:val="24"/>
              </w:rPr>
              <w:t>Programos</w:t>
            </w:r>
            <w:r w:rsidR="008A5424" w:rsidRPr="00936E6C">
              <w:rPr>
                <w:rFonts w:ascii="Times New Roman" w:eastAsia="Calibri" w:hAnsi="Times New Roman" w:cs="Times New Roman"/>
                <w:bCs/>
                <w:sz w:val="24"/>
                <w:szCs w:val="24"/>
              </w:rPr>
              <w:t xml:space="preserve"> finansavimo lėšų skirti turtui įsigyti, ne mažiau kaip 5 proc. lėšų naudoti saugaus eismo priemonėms ir ne mažiau kaip 10 proc. – finansuoti darnaus judumo priemones </w:t>
            </w:r>
            <w:r w:rsidR="008A5424" w:rsidRPr="00936E6C">
              <w:rPr>
                <w:rFonts w:ascii="Times New Roman" w:eastAsia="Calibri" w:hAnsi="Times New Roman" w:cs="Times New Roman"/>
                <w:bCs/>
                <w:sz w:val="24"/>
                <w:szCs w:val="24"/>
                <w:u w:val="single"/>
              </w:rPr>
              <w:t>nėra pagristas.</w:t>
            </w:r>
            <w:r w:rsidR="008A5424" w:rsidRPr="00936E6C">
              <w:rPr>
                <w:rFonts w:ascii="Times New Roman" w:eastAsia="Calibri" w:hAnsi="Times New Roman" w:cs="Times New Roman"/>
                <w:bCs/>
                <w:sz w:val="24"/>
                <w:szCs w:val="24"/>
              </w:rPr>
              <w:t xml:space="preserve"> </w:t>
            </w:r>
          </w:p>
          <w:p w14:paraId="33AC7587" w14:textId="77777777" w:rsidR="008A5424" w:rsidRPr="00936E6C" w:rsidRDefault="008A5424" w:rsidP="00690950">
            <w:pPr>
              <w:tabs>
                <w:tab w:val="left" w:pos="317"/>
              </w:tabs>
              <w:spacing w:after="0" w:line="240" w:lineRule="auto"/>
              <w:jc w:val="both"/>
              <w:rPr>
                <w:rFonts w:ascii="Times New Roman" w:eastAsia="Calibri" w:hAnsi="Times New Roman" w:cs="Times New Roman"/>
                <w:bCs/>
                <w:sz w:val="24"/>
                <w:szCs w:val="24"/>
              </w:rPr>
            </w:pPr>
          </w:p>
          <w:p w14:paraId="4FF5AC02" w14:textId="102C74B6" w:rsidR="008A5424" w:rsidRPr="00936E6C" w:rsidRDefault="008A5424" w:rsidP="00690950">
            <w:pPr>
              <w:tabs>
                <w:tab w:val="left" w:pos="317"/>
              </w:tabs>
              <w:spacing w:after="0" w:line="240" w:lineRule="auto"/>
              <w:jc w:val="both"/>
              <w:rPr>
                <w:rFonts w:ascii="Times New Roman" w:eastAsia="Calibri" w:hAnsi="Times New Roman" w:cs="Times New Roman"/>
                <w:b/>
                <w:sz w:val="24"/>
                <w:szCs w:val="24"/>
              </w:rPr>
            </w:pPr>
            <w:r w:rsidRPr="00936E6C">
              <w:rPr>
                <w:rFonts w:ascii="Times New Roman" w:eastAsia="Calibri" w:hAnsi="Times New Roman" w:cs="Times New Roman"/>
                <w:bCs/>
                <w:sz w:val="24"/>
                <w:szCs w:val="24"/>
              </w:rPr>
              <w:t xml:space="preserve">Išimtis gali būti padaryta nebent reikalavimui ne mažiau kaip 10 proc. finansuoti darnaus judumo priemones, sumažinant </w:t>
            </w:r>
            <w:r w:rsidR="00234BB7" w:rsidRPr="00936E6C">
              <w:rPr>
                <w:rFonts w:ascii="Times New Roman" w:eastAsia="Calibri" w:hAnsi="Times New Roman" w:cs="Times New Roman"/>
                <w:bCs/>
                <w:sz w:val="24"/>
                <w:szCs w:val="24"/>
              </w:rPr>
              <w:t xml:space="preserve">šį </w:t>
            </w:r>
            <w:r w:rsidRPr="00936E6C">
              <w:rPr>
                <w:rFonts w:ascii="Times New Roman" w:eastAsia="Calibri" w:hAnsi="Times New Roman" w:cs="Times New Roman"/>
                <w:bCs/>
                <w:sz w:val="24"/>
                <w:szCs w:val="24"/>
              </w:rPr>
              <w:t>reikalavimą iki 5 proc.</w:t>
            </w:r>
            <w:r w:rsidRPr="00936E6C">
              <w:rPr>
                <w:rFonts w:ascii="Times New Roman" w:eastAsia="Calibri" w:hAnsi="Times New Roman" w:cs="Times New Roman"/>
                <w:b/>
                <w:sz w:val="24"/>
                <w:szCs w:val="24"/>
              </w:rPr>
              <w:t xml:space="preserve"> </w:t>
            </w:r>
          </w:p>
        </w:tc>
      </w:tr>
      <w:tr w:rsidR="006827BE" w:rsidRPr="00936E6C" w14:paraId="2BC730B8" w14:textId="77777777" w:rsidTr="00D954BC">
        <w:tc>
          <w:tcPr>
            <w:tcW w:w="1985" w:type="dxa"/>
            <w:vMerge/>
          </w:tcPr>
          <w:p w14:paraId="5C879C34" w14:textId="77777777" w:rsidR="006827BE" w:rsidRPr="00936E6C" w:rsidRDefault="006827BE" w:rsidP="00690950">
            <w:pPr>
              <w:spacing w:after="0" w:line="240" w:lineRule="auto"/>
              <w:rPr>
                <w:rFonts w:ascii="Times New Roman" w:hAnsi="Times New Roman" w:cs="Times New Roman"/>
                <w:sz w:val="24"/>
                <w:szCs w:val="24"/>
              </w:rPr>
            </w:pPr>
          </w:p>
        </w:tc>
        <w:tc>
          <w:tcPr>
            <w:tcW w:w="8500" w:type="dxa"/>
          </w:tcPr>
          <w:p w14:paraId="59805633" w14:textId="7E9856AF" w:rsidR="006827BE" w:rsidRPr="00936E6C" w:rsidRDefault="006827BE" w:rsidP="00690950">
            <w:pPr>
              <w:spacing w:after="120" w:line="240" w:lineRule="auto"/>
              <w:jc w:val="both"/>
              <w:rPr>
                <w:rFonts w:ascii="Times New Roman" w:hAnsi="Times New Roman" w:cs="Times New Roman"/>
                <w:sz w:val="24"/>
                <w:szCs w:val="24"/>
              </w:rPr>
            </w:pPr>
            <w:r w:rsidRPr="00936E6C">
              <w:rPr>
                <w:rFonts w:ascii="Times New Roman" w:hAnsi="Times New Roman" w:cs="Times New Roman"/>
                <w:b/>
                <w:bCs/>
                <w:sz w:val="24"/>
                <w:szCs w:val="24"/>
              </w:rPr>
              <w:t>4. Dėl sodininkų kelių.</w:t>
            </w:r>
            <w:r w:rsidRPr="00936E6C">
              <w:rPr>
                <w:rFonts w:ascii="Times New Roman" w:hAnsi="Times New Roman" w:cs="Times New Roman"/>
                <w:sz w:val="24"/>
                <w:szCs w:val="24"/>
              </w:rPr>
              <w:t xml:space="preserve"> Nors įstatymo projekte apie sodininkų kelius nieko nekalbama, tačiau savivaldybėms kyla klausimų, ar ir kaip Susisiekimo ministerija planuoja spręsti šią ilgametę problemą. Savivaldybės pasigenda ministerijos pozicijos šiuo klausimu ir mato riziką, kad KPPP pertvarkos kontekste, galimai, siekiama daug metų nesprendžiamą sodininkų kelių problemą perkelti savivaldybėms, o tai nėra priimtina, neskiriant tam reikalingų papildomų lėšų. Dabar teorinė finansavimo galimybė sodininkų keliams yra numatyta KPPP rezerve, tačiau įstatymo projektu rezervas yra naikinamas. Visos pusės supranta, kad rezervinis finansavimas šios problemos </w:t>
            </w:r>
            <w:r w:rsidRPr="00936E6C">
              <w:rPr>
                <w:rFonts w:ascii="Times New Roman" w:hAnsi="Times New Roman" w:cs="Times New Roman"/>
                <w:sz w:val="24"/>
                <w:szCs w:val="24"/>
              </w:rPr>
              <w:lastRenderedPageBreak/>
              <w:t>nesprendė, nes finansavimo poreikis gerokai viršydavo rezervo lėšas, o sodininkų keliai visuomet likdavo prioritetų pabaigoje.</w:t>
            </w:r>
          </w:p>
        </w:tc>
        <w:tc>
          <w:tcPr>
            <w:tcW w:w="4967" w:type="dxa"/>
          </w:tcPr>
          <w:p w14:paraId="304D3E32" w14:textId="77777777" w:rsidR="008A5424" w:rsidRPr="00936E6C" w:rsidRDefault="008A5424" w:rsidP="00690950">
            <w:pPr>
              <w:tabs>
                <w:tab w:val="left" w:pos="317"/>
              </w:tabs>
              <w:spacing w:after="0" w:line="240" w:lineRule="auto"/>
              <w:jc w:val="both"/>
              <w:rPr>
                <w:rFonts w:ascii="Times New Roman" w:eastAsia="Calibri" w:hAnsi="Times New Roman" w:cs="Times New Roman"/>
                <w:b/>
                <w:sz w:val="24"/>
                <w:szCs w:val="24"/>
              </w:rPr>
            </w:pPr>
            <w:r w:rsidRPr="00936E6C">
              <w:rPr>
                <w:rFonts w:ascii="Times New Roman" w:eastAsia="Calibri" w:hAnsi="Times New Roman" w:cs="Times New Roman"/>
                <w:b/>
                <w:sz w:val="24"/>
                <w:szCs w:val="24"/>
              </w:rPr>
              <w:lastRenderedPageBreak/>
              <w:t xml:space="preserve">Neatsižvelgta. </w:t>
            </w:r>
          </w:p>
          <w:p w14:paraId="2B77BE2B" w14:textId="63CAA293" w:rsidR="006827BE" w:rsidRPr="00936E6C" w:rsidRDefault="008A5424" w:rsidP="00690950">
            <w:pPr>
              <w:tabs>
                <w:tab w:val="left" w:pos="317"/>
              </w:tabs>
              <w:spacing w:after="0" w:line="240" w:lineRule="auto"/>
              <w:jc w:val="both"/>
              <w:rPr>
                <w:rFonts w:ascii="Times New Roman" w:eastAsia="Calibri" w:hAnsi="Times New Roman" w:cs="Times New Roman"/>
                <w:bCs/>
                <w:sz w:val="24"/>
                <w:szCs w:val="24"/>
              </w:rPr>
            </w:pPr>
            <w:r w:rsidRPr="00936E6C">
              <w:rPr>
                <w:rFonts w:ascii="Times New Roman" w:eastAsia="Calibri" w:hAnsi="Times New Roman" w:cs="Times New Roman"/>
                <w:bCs/>
                <w:sz w:val="24"/>
                <w:szCs w:val="24"/>
              </w:rPr>
              <w:t>Numatom</w:t>
            </w:r>
            <w:r w:rsidR="00F044B3" w:rsidRPr="00936E6C">
              <w:rPr>
                <w:rFonts w:ascii="Times New Roman" w:eastAsia="Calibri" w:hAnsi="Times New Roman" w:cs="Times New Roman"/>
                <w:bCs/>
                <w:sz w:val="24"/>
                <w:szCs w:val="24"/>
              </w:rPr>
              <w:t>i</w:t>
            </w:r>
            <w:r w:rsidRPr="00936E6C">
              <w:rPr>
                <w:rFonts w:ascii="Times New Roman" w:eastAsia="Calibri" w:hAnsi="Times New Roman" w:cs="Times New Roman"/>
                <w:bCs/>
                <w:sz w:val="24"/>
                <w:szCs w:val="24"/>
              </w:rPr>
              <w:t xml:space="preserve"> </w:t>
            </w:r>
            <w:r w:rsidR="00F044B3" w:rsidRPr="00936E6C">
              <w:rPr>
                <w:rFonts w:ascii="Times New Roman" w:eastAsia="Calibri" w:hAnsi="Times New Roman" w:cs="Times New Roman"/>
                <w:bCs/>
                <w:sz w:val="24"/>
                <w:szCs w:val="24"/>
              </w:rPr>
              <w:t xml:space="preserve">pakeitimai </w:t>
            </w:r>
            <w:r w:rsidRPr="00936E6C">
              <w:rPr>
                <w:rFonts w:ascii="Times New Roman" w:eastAsia="Calibri" w:hAnsi="Times New Roman" w:cs="Times New Roman"/>
                <w:bCs/>
                <w:sz w:val="24"/>
                <w:szCs w:val="24"/>
              </w:rPr>
              <w:t>garantuoja didesnį finansavimą net ir toms savivaldybėms, kurios turi daug sodininkų</w:t>
            </w:r>
            <w:r w:rsidR="007F7AF3" w:rsidRPr="00936E6C">
              <w:rPr>
                <w:rFonts w:ascii="Times New Roman" w:eastAsia="Calibri" w:hAnsi="Times New Roman" w:cs="Times New Roman"/>
                <w:bCs/>
                <w:sz w:val="24"/>
                <w:szCs w:val="24"/>
              </w:rPr>
              <w:t xml:space="preserve"> bendrijų</w:t>
            </w:r>
            <w:r w:rsidRPr="00936E6C">
              <w:rPr>
                <w:rFonts w:ascii="Times New Roman" w:eastAsia="Calibri" w:hAnsi="Times New Roman" w:cs="Times New Roman"/>
                <w:bCs/>
                <w:sz w:val="24"/>
                <w:szCs w:val="24"/>
              </w:rPr>
              <w:t xml:space="preserve"> kelių. Todėl padidėjusį finansavimą savivaldybės galės skirti sodininkų</w:t>
            </w:r>
            <w:r w:rsidR="007F7AF3" w:rsidRPr="00936E6C">
              <w:rPr>
                <w:rFonts w:ascii="Times New Roman" w:eastAsia="Calibri" w:hAnsi="Times New Roman" w:cs="Times New Roman"/>
                <w:bCs/>
                <w:sz w:val="24"/>
                <w:szCs w:val="24"/>
              </w:rPr>
              <w:t xml:space="preserve"> bendrijų </w:t>
            </w:r>
            <w:r w:rsidRPr="00936E6C">
              <w:rPr>
                <w:rFonts w:ascii="Times New Roman" w:eastAsia="Calibri" w:hAnsi="Times New Roman" w:cs="Times New Roman"/>
                <w:bCs/>
                <w:sz w:val="24"/>
                <w:szCs w:val="24"/>
              </w:rPr>
              <w:t xml:space="preserve">keliams registruoti ir remontuoti. </w:t>
            </w:r>
          </w:p>
        </w:tc>
      </w:tr>
      <w:tr w:rsidR="006827BE" w:rsidRPr="00936E6C" w14:paraId="4F37EA79" w14:textId="77777777" w:rsidTr="00D954BC">
        <w:tc>
          <w:tcPr>
            <w:tcW w:w="1985" w:type="dxa"/>
          </w:tcPr>
          <w:p w14:paraId="3904A5C9" w14:textId="0FD2F7B6" w:rsidR="006827BE" w:rsidRPr="00936E6C" w:rsidRDefault="006827BE" w:rsidP="00690950">
            <w:pPr>
              <w:spacing w:after="0" w:line="240" w:lineRule="auto"/>
              <w:jc w:val="both"/>
              <w:rPr>
                <w:rFonts w:ascii="Times New Roman" w:hAnsi="Times New Roman" w:cs="Times New Roman"/>
                <w:sz w:val="24"/>
                <w:szCs w:val="24"/>
              </w:rPr>
            </w:pPr>
            <w:r w:rsidRPr="00936E6C">
              <w:rPr>
                <w:rFonts w:ascii="Times New Roman" w:hAnsi="Times New Roman" w:cs="Times New Roman"/>
                <w:sz w:val="24"/>
                <w:szCs w:val="24"/>
              </w:rPr>
              <w:t>Vilniaus rajono savivaldybės administracijos 2021 m. rugpjūčio 30 d. raštas Nr. A33(1)-7336</w:t>
            </w:r>
          </w:p>
        </w:tc>
        <w:tc>
          <w:tcPr>
            <w:tcW w:w="8500" w:type="dxa"/>
          </w:tcPr>
          <w:p w14:paraId="5F2FF9BB" w14:textId="77777777" w:rsidR="006827BE" w:rsidRPr="00936E6C" w:rsidRDefault="006827BE" w:rsidP="00690950">
            <w:pPr>
              <w:spacing w:after="120" w:line="240" w:lineRule="auto"/>
              <w:jc w:val="both"/>
              <w:rPr>
                <w:rFonts w:ascii="Times New Roman" w:hAnsi="Times New Roman" w:cs="Times New Roman"/>
                <w:sz w:val="24"/>
                <w:szCs w:val="24"/>
              </w:rPr>
            </w:pPr>
            <w:r w:rsidRPr="00936E6C">
              <w:rPr>
                <w:rFonts w:ascii="Times New Roman" w:hAnsi="Times New Roman" w:cs="Times New Roman"/>
                <w:sz w:val="24"/>
                <w:szCs w:val="24"/>
              </w:rPr>
              <w:t>VRSA kategoriškai nesutinka su sostinės regiono ir žiedinių savivaldybių procento skyrimo panaikinimu, kuris bent iš dalies kompensuoja transporto eismo intensyvumą tose savivaldybėse.</w:t>
            </w:r>
          </w:p>
          <w:p w14:paraId="4E8C761D" w14:textId="77777777" w:rsidR="006827BE" w:rsidRPr="00936E6C" w:rsidRDefault="006827BE" w:rsidP="00690950">
            <w:pPr>
              <w:spacing w:after="120" w:line="240" w:lineRule="auto"/>
              <w:jc w:val="both"/>
              <w:rPr>
                <w:rFonts w:ascii="Times New Roman" w:hAnsi="Times New Roman" w:cs="Times New Roman"/>
                <w:sz w:val="24"/>
                <w:szCs w:val="24"/>
              </w:rPr>
            </w:pPr>
            <w:r w:rsidRPr="00936E6C">
              <w:rPr>
                <w:rFonts w:ascii="Times New Roman" w:hAnsi="Times New Roman" w:cs="Times New Roman"/>
                <w:sz w:val="24"/>
                <w:szCs w:val="24"/>
              </w:rPr>
              <w:t>Siekiant „sulyginti“ savivaldybes, reikėtų KPPP lėšas skirstyti papildomai įvedant kriterijų – nustatyti savivaldybėse jau su asfalto danga esantį nuo visų kelių procentą ir skirti daugiau lėšų toms savivaldybėms, kuriose šis procentas yra mažiausias. Kaip papildomas rodiklis turėtų būti įvertinta savivaldybės plėtra – išduotų statybos leidimų per metus skaičius. Taip pat reikėtų taikyti rodiklį – sodininkų bendrijų skaičių ar sodininkų skaičių savivaldybės teritorijoje, jeigu siekiama perduoti sodininkų kelius savivaldybėms, neskiriant papildomų lėšų.</w:t>
            </w:r>
          </w:p>
          <w:p w14:paraId="0258D149" w14:textId="141EC797" w:rsidR="006827BE" w:rsidRPr="00936E6C" w:rsidRDefault="006827BE" w:rsidP="00690950">
            <w:pPr>
              <w:spacing w:after="120" w:line="240" w:lineRule="auto"/>
              <w:jc w:val="both"/>
              <w:rPr>
                <w:rFonts w:ascii="Times New Roman" w:hAnsi="Times New Roman" w:cs="Times New Roman"/>
                <w:sz w:val="24"/>
                <w:szCs w:val="24"/>
              </w:rPr>
            </w:pPr>
            <w:r w:rsidRPr="00936E6C">
              <w:rPr>
                <w:rFonts w:ascii="Times New Roman" w:hAnsi="Times New Roman" w:cs="Times New Roman"/>
                <w:sz w:val="24"/>
                <w:szCs w:val="24"/>
              </w:rPr>
              <w:t>Atkreipiame dėmesį į tai, kad Vilniaus rajonas yra vienas iš didžiausių šalies rajonų, kurio plotas sudaro 2129 km</w:t>
            </w:r>
            <w:r w:rsidRPr="00936E6C">
              <w:rPr>
                <w:rFonts w:ascii="Times New Roman" w:hAnsi="Times New Roman" w:cs="Times New Roman"/>
                <w:sz w:val="24"/>
                <w:szCs w:val="24"/>
                <w:vertAlign w:val="superscript"/>
              </w:rPr>
              <w:t>2</w:t>
            </w:r>
            <w:r w:rsidRPr="00936E6C">
              <w:rPr>
                <w:rFonts w:ascii="Times New Roman" w:hAnsi="Times New Roman" w:cs="Times New Roman"/>
                <w:sz w:val="24"/>
                <w:szCs w:val="24"/>
              </w:rPr>
              <w:t>, gyventojų skaičius – 106957.  Vilniaus rajone vyksta sparti  teritorijų urbanizacija. Sparčiai besivystančios gyvenvietės, kuriose nebuvo išvystytos infrastruktūros, išauga į kompaktiškus miestelius. Vilniaus rajonas tampa poilsio vieta, pritraukiančia žmones pailsėti į paežeres, aplankyti žymias kultūrines vietas ir kitus traukos centrus. Per rajoną driekiasi tranzito keliai į pasienio zonas, kuriasi verslo įmonės. Minėti faktoriai nulemia, kad didėja eismo intensyvumas, esama Vilniaus rajono transporto infrastruktūra neužtikrina rajono ekonominės, socialinės plėtros, netenkina gyventojų bendruomenės poreikių, neigiamai veikia gyvenamąją aplinką. Vilniaus rajonas yra priemiestinis, todėl tiek Vilniaus miesto, tiek rajono gyventojai naudojasi bendru vietinių kelių tinklu, kurį sudaro 2538 km (iš jų 21,6 proc. su asfalto danga, likę keliai yra su žvyro ar grunto danga).</w:t>
            </w:r>
          </w:p>
        </w:tc>
        <w:tc>
          <w:tcPr>
            <w:tcW w:w="4967" w:type="dxa"/>
          </w:tcPr>
          <w:p w14:paraId="7C741C64" w14:textId="77777777" w:rsidR="008A5424" w:rsidRPr="00936E6C" w:rsidRDefault="008A5424" w:rsidP="00690950">
            <w:pPr>
              <w:tabs>
                <w:tab w:val="left" w:pos="317"/>
              </w:tabs>
              <w:spacing w:after="0" w:line="240" w:lineRule="auto"/>
              <w:jc w:val="both"/>
              <w:rPr>
                <w:rFonts w:ascii="Times New Roman" w:eastAsia="Calibri" w:hAnsi="Times New Roman" w:cs="Times New Roman"/>
                <w:b/>
                <w:sz w:val="24"/>
                <w:szCs w:val="24"/>
              </w:rPr>
            </w:pPr>
            <w:r w:rsidRPr="00936E6C">
              <w:rPr>
                <w:rFonts w:ascii="Times New Roman" w:eastAsia="Calibri" w:hAnsi="Times New Roman" w:cs="Times New Roman"/>
                <w:b/>
                <w:sz w:val="24"/>
                <w:szCs w:val="24"/>
              </w:rPr>
              <w:t xml:space="preserve">Neatsižvelgta. </w:t>
            </w:r>
          </w:p>
          <w:p w14:paraId="24619904" w14:textId="7D34089D" w:rsidR="006827BE" w:rsidRPr="00936E6C" w:rsidRDefault="00F044B3" w:rsidP="00690950">
            <w:pPr>
              <w:tabs>
                <w:tab w:val="left" w:pos="317"/>
              </w:tabs>
              <w:spacing w:after="0" w:line="240" w:lineRule="auto"/>
              <w:jc w:val="both"/>
              <w:rPr>
                <w:rFonts w:ascii="Times New Roman" w:eastAsia="Calibri" w:hAnsi="Times New Roman" w:cs="Times New Roman"/>
                <w:bCs/>
                <w:sz w:val="24"/>
                <w:szCs w:val="24"/>
              </w:rPr>
            </w:pPr>
            <w:r w:rsidRPr="00936E6C">
              <w:rPr>
                <w:rFonts w:ascii="Times New Roman" w:eastAsia="Calibri" w:hAnsi="Times New Roman" w:cs="Times New Roman"/>
                <w:bCs/>
                <w:sz w:val="24"/>
                <w:szCs w:val="24"/>
              </w:rPr>
              <w:t>Programos finansavimo lėšų</w:t>
            </w:r>
            <w:r w:rsidR="004E5C80" w:rsidRPr="00936E6C">
              <w:rPr>
                <w:rFonts w:ascii="Times New Roman" w:eastAsia="Calibri" w:hAnsi="Times New Roman" w:cs="Times New Roman"/>
                <w:bCs/>
                <w:sz w:val="24"/>
                <w:szCs w:val="24"/>
              </w:rPr>
              <w:t xml:space="preserve"> skirstymo tvarka turi būti paprasta, aiški ir teisinga </w:t>
            </w:r>
            <w:r w:rsidR="004E5C80" w:rsidRPr="00936E6C">
              <w:rPr>
                <w:rFonts w:ascii="Times New Roman" w:eastAsia="Calibri" w:hAnsi="Times New Roman" w:cs="Times New Roman"/>
                <w:bCs/>
                <w:sz w:val="24"/>
                <w:szCs w:val="24"/>
                <w:u w:val="single"/>
              </w:rPr>
              <w:t>visoms</w:t>
            </w:r>
            <w:r w:rsidR="004E5C80" w:rsidRPr="00936E6C">
              <w:rPr>
                <w:rFonts w:ascii="Times New Roman" w:eastAsia="Calibri" w:hAnsi="Times New Roman" w:cs="Times New Roman"/>
                <w:bCs/>
                <w:sz w:val="24"/>
                <w:szCs w:val="24"/>
              </w:rPr>
              <w:t xml:space="preserve"> savivaldybėms. Vilniaus rajono savivaldybės administracijos siūlomi </w:t>
            </w:r>
            <w:r w:rsidRPr="00936E6C">
              <w:rPr>
                <w:rFonts w:ascii="Times New Roman" w:eastAsia="Calibri" w:hAnsi="Times New Roman" w:cs="Times New Roman"/>
                <w:bCs/>
                <w:sz w:val="24"/>
                <w:szCs w:val="24"/>
              </w:rPr>
              <w:t>Programos finansavimo lėšų</w:t>
            </w:r>
            <w:r w:rsidR="004E5C80" w:rsidRPr="00936E6C">
              <w:rPr>
                <w:rFonts w:ascii="Times New Roman" w:eastAsia="Calibri" w:hAnsi="Times New Roman" w:cs="Times New Roman"/>
                <w:bCs/>
                <w:sz w:val="24"/>
                <w:szCs w:val="24"/>
              </w:rPr>
              <w:t xml:space="preserve"> skirstymo kriterijai bus palankūs tik toms savivaldybėms, kurios turi daug žvyrkelių arba sodininkų</w:t>
            </w:r>
            <w:r w:rsidR="008D2213" w:rsidRPr="00936E6C">
              <w:rPr>
                <w:rFonts w:ascii="Times New Roman" w:eastAsia="Calibri" w:hAnsi="Times New Roman" w:cs="Times New Roman"/>
                <w:bCs/>
                <w:sz w:val="24"/>
                <w:szCs w:val="24"/>
              </w:rPr>
              <w:t xml:space="preserve"> bendrijų</w:t>
            </w:r>
            <w:r w:rsidR="00C45437" w:rsidRPr="00936E6C">
              <w:rPr>
                <w:rFonts w:ascii="Times New Roman" w:eastAsia="Calibri" w:hAnsi="Times New Roman" w:cs="Times New Roman"/>
                <w:bCs/>
                <w:sz w:val="24"/>
                <w:szCs w:val="24"/>
              </w:rPr>
              <w:t>, likusioms savivaldybėms bus skirtas mažesnis finansavimas.</w:t>
            </w:r>
          </w:p>
        </w:tc>
      </w:tr>
      <w:tr w:rsidR="006827BE" w:rsidRPr="00936E6C" w14:paraId="35BE9A51" w14:textId="77777777" w:rsidTr="00D954BC">
        <w:trPr>
          <w:trHeight w:val="555"/>
        </w:trPr>
        <w:tc>
          <w:tcPr>
            <w:tcW w:w="1985" w:type="dxa"/>
          </w:tcPr>
          <w:p w14:paraId="2F2B0165" w14:textId="69FF953B" w:rsidR="006827BE" w:rsidRPr="00936E6C" w:rsidRDefault="00E60B28" w:rsidP="00690950">
            <w:pPr>
              <w:spacing w:after="0" w:line="240" w:lineRule="auto"/>
              <w:rPr>
                <w:rFonts w:ascii="Times New Roman" w:hAnsi="Times New Roman" w:cs="Times New Roman"/>
                <w:sz w:val="24"/>
                <w:szCs w:val="24"/>
              </w:rPr>
            </w:pPr>
            <w:r w:rsidRPr="00936E6C">
              <w:rPr>
                <w:rFonts w:ascii="Times New Roman" w:hAnsi="Times New Roman" w:cs="Times New Roman"/>
                <w:sz w:val="24"/>
                <w:szCs w:val="24"/>
              </w:rPr>
              <w:t xml:space="preserve">Lietuvos sodininkų draugijos 2021 m. rugpjūčio 30 d. raštas Nr. S-07. </w:t>
            </w:r>
          </w:p>
        </w:tc>
        <w:tc>
          <w:tcPr>
            <w:tcW w:w="8500" w:type="dxa"/>
          </w:tcPr>
          <w:p w14:paraId="1B7D80F6" w14:textId="7B4054B2" w:rsidR="004E4C2E" w:rsidRPr="00936E6C" w:rsidRDefault="004E4C2E" w:rsidP="00690950">
            <w:pPr>
              <w:spacing w:line="240" w:lineRule="auto"/>
              <w:ind w:right="72"/>
              <w:jc w:val="both"/>
              <w:rPr>
                <w:rFonts w:ascii="Times New Roman" w:hAnsi="Times New Roman" w:cs="Times New Roman"/>
                <w:color w:val="000000"/>
                <w:spacing w:val="1"/>
                <w:sz w:val="24"/>
                <w:szCs w:val="24"/>
              </w:rPr>
            </w:pPr>
            <w:r w:rsidRPr="00936E6C">
              <w:rPr>
                <w:rFonts w:ascii="Times New Roman" w:hAnsi="Times New Roman" w:cs="Times New Roman"/>
                <w:color w:val="000000"/>
                <w:spacing w:val="1"/>
                <w:sz w:val="24"/>
                <w:szCs w:val="24"/>
              </w:rPr>
              <w:t xml:space="preserve">2. Programos finansavimo </w:t>
            </w:r>
            <w:r w:rsidR="00B36F12" w:rsidRPr="00936E6C">
              <w:rPr>
                <w:rFonts w:ascii="Times New Roman" w:hAnsi="Times New Roman" w:cs="Times New Roman"/>
                <w:color w:val="000000"/>
                <w:spacing w:val="1"/>
                <w:sz w:val="24"/>
                <w:szCs w:val="24"/>
              </w:rPr>
              <w:t>lėšos</w:t>
            </w:r>
            <w:r w:rsidRPr="00936E6C">
              <w:rPr>
                <w:rFonts w:ascii="Times New Roman" w:hAnsi="Times New Roman" w:cs="Times New Roman"/>
                <w:color w:val="000000"/>
                <w:spacing w:val="1"/>
                <w:sz w:val="24"/>
                <w:szCs w:val="24"/>
              </w:rPr>
              <w:t xml:space="preserve"> naudojamos </w:t>
            </w:r>
            <w:r w:rsidR="00B36F12" w:rsidRPr="00936E6C">
              <w:rPr>
                <w:rFonts w:ascii="Times New Roman" w:hAnsi="Times New Roman" w:cs="Times New Roman"/>
                <w:color w:val="000000"/>
                <w:spacing w:val="1"/>
                <w:sz w:val="24"/>
                <w:szCs w:val="24"/>
              </w:rPr>
              <w:t>savivaldybių</w:t>
            </w:r>
            <w:r w:rsidRPr="00936E6C">
              <w:rPr>
                <w:rFonts w:ascii="Times New Roman" w:hAnsi="Times New Roman" w:cs="Times New Roman"/>
                <w:color w:val="000000"/>
                <w:spacing w:val="1"/>
                <w:sz w:val="24"/>
                <w:szCs w:val="24"/>
              </w:rPr>
              <w:t xml:space="preserve"> ar vie</w:t>
            </w:r>
            <w:r w:rsidR="00B36F12" w:rsidRPr="00936E6C">
              <w:rPr>
                <w:rFonts w:ascii="Times New Roman" w:hAnsi="Times New Roman" w:cs="Times New Roman"/>
                <w:color w:val="000000"/>
                <w:spacing w:val="1"/>
                <w:sz w:val="24"/>
                <w:szCs w:val="24"/>
              </w:rPr>
              <w:t>šųjų įstaigų</w:t>
            </w:r>
            <w:r w:rsidRPr="00936E6C">
              <w:rPr>
                <w:rFonts w:ascii="Times New Roman" w:hAnsi="Times New Roman" w:cs="Times New Roman"/>
                <w:color w:val="000000"/>
                <w:spacing w:val="1"/>
                <w:sz w:val="24"/>
                <w:szCs w:val="24"/>
              </w:rPr>
              <w:t>, kuri</w:t>
            </w:r>
            <w:r w:rsidR="00B36F12" w:rsidRPr="00936E6C">
              <w:rPr>
                <w:rFonts w:ascii="Times New Roman" w:hAnsi="Times New Roman" w:cs="Times New Roman"/>
                <w:color w:val="000000"/>
                <w:spacing w:val="1"/>
                <w:sz w:val="24"/>
                <w:szCs w:val="24"/>
              </w:rPr>
              <w:t>ų</w:t>
            </w:r>
            <w:r w:rsidRPr="00936E6C">
              <w:rPr>
                <w:rFonts w:ascii="Times New Roman" w:hAnsi="Times New Roman" w:cs="Times New Roman"/>
                <w:color w:val="000000"/>
                <w:spacing w:val="1"/>
                <w:sz w:val="24"/>
                <w:szCs w:val="24"/>
              </w:rPr>
              <w:t xml:space="preserve"> dalininke yra savivaldybe, savivaldybi</w:t>
            </w:r>
            <w:r w:rsidR="00B36F12" w:rsidRPr="00936E6C">
              <w:rPr>
                <w:rFonts w:ascii="Times New Roman" w:hAnsi="Times New Roman" w:cs="Times New Roman"/>
                <w:color w:val="000000"/>
                <w:spacing w:val="1"/>
                <w:sz w:val="24"/>
                <w:szCs w:val="24"/>
              </w:rPr>
              <w:t>ų</w:t>
            </w:r>
            <w:r w:rsidRPr="00936E6C">
              <w:rPr>
                <w:rFonts w:ascii="Times New Roman" w:hAnsi="Times New Roman" w:cs="Times New Roman"/>
                <w:color w:val="000000"/>
                <w:spacing w:val="1"/>
                <w:sz w:val="24"/>
                <w:szCs w:val="24"/>
              </w:rPr>
              <w:t xml:space="preserve"> </w:t>
            </w:r>
            <w:r w:rsidR="00B36F12" w:rsidRPr="00936E6C">
              <w:rPr>
                <w:rFonts w:ascii="Times New Roman" w:hAnsi="Times New Roman" w:cs="Times New Roman"/>
                <w:color w:val="000000"/>
                <w:spacing w:val="1"/>
                <w:sz w:val="24"/>
                <w:szCs w:val="24"/>
              </w:rPr>
              <w:t>įmonių</w:t>
            </w:r>
            <w:r w:rsidRPr="00936E6C">
              <w:rPr>
                <w:rFonts w:ascii="Times New Roman" w:hAnsi="Times New Roman" w:cs="Times New Roman"/>
                <w:color w:val="000000"/>
                <w:spacing w:val="1"/>
                <w:sz w:val="24"/>
                <w:szCs w:val="24"/>
              </w:rPr>
              <w:t xml:space="preserve"> valdomam </w:t>
            </w:r>
            <w:r w:rsidRPr="00936E6C">
              <w:rPr>
                <w:rFonts w:ascii="Times New Roman" w:hAnsi="Times New Roman" w:cs="Times New Roman"/>
                <w:b/>
                <w:color w:val="000000"/>
                <w:spacing w:val="1"/>
                <w:sz w:val="24"/>
                <w:szCs w:val="24"/>
              </w:rPr>
              <w:t xml:space="preserve">ir </w:t>
            </w:r>
            <w:r w:rsidR="00B36F12" w:rsidRPr="00936E6C">
              <w:rPr>
                <w:rFonts w:ascii="Times New Roman" w:hAnsi="Times New Roman" w:cs="Times New Roman"/>
                <w:b/>
                <w:color w:val="000000"/>
                <w:spacing w:val="1"/>
                <w:sz w:val="24"/>
                <w:szCs w:val="24"/>
              </w:rPr>
              <w:t>savivaldybių</w:t>
            </w:r>
            <w:r w:rsidRPr="00936E6C">
              <w:rPr>
                <w:rFonts w:ascii="Times New Roman" w:hAnsi="Times New Roman" w:cs="Times New Roman"/>
                <w:b/>
                <w:color w:val="000000"/>
                <w:spacing w:val="1"/>
                <w:sz w:val="24"/>
                <w:szCs w:val="24"/>
              </w:rPr>
              <w:t xml:space="preserve"> teritorijoje esan</w:t>
            </w:r>
            <w:r w:rsidR="00B36F12" w:rsidRPr="00936E6C">
              <w:rPr>
                <w:rFonts w:ascii="Times New Roman" w:hAnsi="Times New Roman" w:cs="Times New Roman"/>
                <w:b/>
                <w:color w:val="000000"/>
                <w:spacing w:val="1"/>
                <w:sz w:val="24"/>
                <w:szCs w:val="24"/>
              </w:rPr>
              <w:t>čių</w:t>
            </w:r>
            <w:r w:rsidRPr="00936E6C">
              <w:rPr>
                <w:rFonts w:ascii="Times New Roman" w:hAnsi="Times New Roman" w:cs="Times New Roman"/>
                <w:b/>
                <w:color w:val="000000"/>
                <w:spacing w:val="1"/>
                <w:sz w:val="24"/>
                <w:szCs w:val="24"/>
              </w:rPr>
              <w:t xml:space="preserve"> valstybei nuosavybes teise priklausan</w:t>
            </w:r>
            <w:r w:rsidR="00B36F12" w:rsidRPr="00936E6C">
              <w:rPr>
                <w:rFonts w:ascii="Times New Roman" w:hAnsi="Times New Roman" w:cs="Times New Roman"/>
                <w:b/>
                <w:color w:val="000000"/>
                <w:spacing w:val="1"/>
                <w:sz w:val="24"/>
                <w:szCs w:val="24"/>
              </w:rPr>
              <w:t>čių</w:t>
            </w:r>
            <w:r w:rsidRPr="00936E6C">
              <w:rPr>
                <w:rFonts w:ascii="Times New Roman" w:hAnsi="Times New Roman" w:cs="Times New Roman"/>
                <w:b/>
                <w:color w:val="000000"/>
                <w:spacing w:val="1"/>
                <w:sz w:val="24"/>
                <w:szCs w:val="24"/>
              </w:rPr>
              <w:t xml:space="preserve"> </w:t>
            </w:r>
            <w:r w:rsidRPr="00936E6C">
              <w:rPr>
                <w:rFonts w:ascii="Times New Roman" w:hAnsi="Times New Roman" w:cs="Times New Roman"/>
                <w:color w:val="000000"/>
                <w:spacing w:val="1"/>
                <w:sz w:val="24"/>
                <w:szCs w:val="24"/>
              </w:rPr>
              <w:t xml:space="preserve">vietines </w:t>
            </w:r>
            <w:r w:rsidR="00B36F12" w:rsidRPr="00936E6C">
              <w:rPr>
                <w:rFonts w:ascii="Times New Roman" w:hAnsi="Times New Roman" w:cs="Times New Roman"/>
                <w:color w:val="000000"/>
                <w:spacing w:val="1"/>
                <w:sz w:val="24"/>
                <w:szCs w:val="24"/>
              </w:rPr>
              <w:t>reikšmės</w:t>
            </w:r>
            <w:r w:rsidRPr="00936E6C">
              <w:rPr>
                <w:rFonts w:ascii="Times New Roman" w:hAnsi="Times New Roman" w:cs="Times New Roman"/>
                <w:color w:val="000000"/>
                <w:spacing w:val="1"/>
                <w:sz w:val="24"/>
                <w:szCs w:val="24"/>
              </w:rPr>
              <w:t xml:space="preserve"> keli</w:t>
            </w:r>
            <w:r w:rsidR="00B36F12" w:rsidRPr="00936E6C">
              <w:rPr>
                <w:rFonts w:ascii="Times New Roman" w:hAnsi="Times New Roman" w:cs="Times New Roman"/>
                <w:color w:val="000000"/>
                <w:spacing w:val="1"/>
                <w:sz w:val="24"/>
                <w:szCs w:val="24"/>
              </w:rPr>
              <w:t>ų</w:t>
            </w:r>
            <w:r w:rsidRPr="00936E6C">
              <w:rPr>
                <w:rFonts w:ascii="Times New Roman" w:hAnsi="Times New Roman" w:cs="Times New Roman"/>
                <w:color w:val="000000"/>
                <w:spacing w:val="1"/>
                <w:sz w:val="24"/>
                <w:szCs w:val="24"/>
              </w:rPr>
              <w:t xml:space="preserve"> tinklui </w:t>
            </w:r>
            <w:r w:rsidR="00B36F12" w:rsidRPr="00936E6C">
              <w:rPr>
                <w:rFonts w:ascii="Times New Roman" w:hAnsi="Times New Roman" w:cs="Times New Roman"/>
                <w:color w:val="000000"/>
                <w:spacing w:val="1"/>
                <w:sz w:val="24"/>
                <w:szCs w:val="24"/>
              </w:rPr>
              <w:t>plėsti</w:t>
            </w:r>
            <w:r w:rsidRPr="00936E6C">
              <w:rPr>
                <w:rFonts w:ascii="Times New Roman" w:hAnsi="Times New Roman" w:cs="Times New Roman"/>
                <w:color w:val="000000"/>
                <w:spacing w:val="1"/>
                <w:sz w:val="24"/>
                <w:szCs w:val="24"/>
              </w:rPr>
              <w:t xml:space="preserve"> ir u</w:t>
            </w:r>
            <w:r w:rsidR="0043084E" w:rsidRPr="00936E6C">
              <w:rPr>
                <w:rFonts w:ascii="Times New Roman" w:hAnsi="Times New Roman" w:cs="Times New Roman"/>
                <w:color w:val="000000"/>
                <w:spacing w:val="1"/>
                <w:sz w:val="24"/>
                <w:szCs w:val="24"/>
              </w:rPr>
              <w:t>ž</w:t>
            </w:r>
            <w:r w:rsidRPr="00936E6C">
              <w:rPr>
                <w:rFonts w:ascii="Times New Roman" w:hAnsi="Times New Roman" w:cs="Times New Roman"/>
                <w:color w:val="000000"/>
                <w:spacing w:val="1"/>
                <w:sz w:val="24"/>
                <w:szCs w:val="24"/>
              </w:rPr>
              <w:t xml:space="preserve">tikrinti, kad gis tinklas </w:t>
            </w:r>
            <w:r w:rsidRPr="00936E6C">
              <w:rPr>
                <w:rFonts w:ascii="Times New Roman" w:hAnsi="Times New Roman" w:cs="Times New Roman"/>
                <w:color w:val="000000"/>
                <w:sz w:val="24"/>
                <w:szCs w:val="24"/>
              </w:rPr>
              <w:t>veikt</w:t>
            </w:r>
            <w:r w:rsidR="00B36F12" w:rsidRPr="00936E6C">
              <w:rPr>
                <w:rFonts w:ascii="Times New Roman" w:hAnsi="Times New Roman" w:cs="Times New Roman"/>
                <w:color w:val="000000"/>
                <w:sz w:val="24"/>
                <w:szCs w:val="24"/>
              </w:rPr>
              <w:t>ų</w:t>
            </w:r>
            <w:r w:rsidRPr="00936E6C">
              <w:rPr>
                <w:rFonts w:ascii="Times New Roman" w:hAnsi="Times New Roman" w:cs="Times New Roman"/>
                <w:color w:val="000000"/>
                <w:sz w:val="24"/>
                <w:szCs w:val="24"/>
              </w:rPr>
              <w:t>, tai yra:</w:t>
            </w:r>
          </w:p>
          <w:p w14:paraId="38C91590" w14:textId="268B20B1" w:rsidR="004E4C2E" w:rsidRPr="00936E6C" w:rsidRDefault="004E4C2E" w:rsidP="00690950">
            <w:pPr>
              <w:spacing w:line="240" w:lineRule="auto"/>
              <w:ind w:right="72" w:firstLine="576"/>
              <w:jc w:val="both"/>
              <w:rPr>
                <w:rFonts w:ascii="Times New Roman" w:hAnsi="Times New Roman" w:cs="Times New Roman"/>
                <w:color w:val="000000"/>
                <w:spacing w:val="2"/>
                <w:sz w:val="24"/>
                <w:szCs w:val="24"/>
              </w:rPr>
            </w:pPr>
            <w:r w:rsidRPr="00936E6C">
              <w:rPr>
                <w:rFonts w:ascii="Times New Roman" w:hAnsi="Times New Roman" w:cs="Times New Roman"/>
                <w:color w:val="000000"/>
                <w:spacing w:val="2"/>
                <w:sz w:val="24"/>
                <w:szCs w:val="24"/>
              </w:rPr>
              <w:t>2) keli</w:t>
            </w:r>
            <w:r w:rsidR="00B36F12" w:rsidRPr="00936E6C">
              <w:rPr>
                <w:rFonts w:ascii="Times New Roman" w:hAnsi="Times New Roman" w:cs="Times New Roman"/>
                <w:color w:val="000000"/>
                <w:spacing w:val="2"/>
                <w:sz w:val="24"/>
                <w:szCs w:val="24"/>
              </w:rPr>
              <w:t>ų</w:t>
            </w:r>
            <w:r w:rsidRPr="00936E6C">
              <w:rPr>
                <w:rFonts w:ascii="Times New Roman" w:hAnsi="Times New Roman" w:cs="Times New Roman"/>
                <w:color w:val="000000"/>
                <w:spacing w:val="2"/>
                <w:sz w:val="24"/>
                <w:szCs w:val="24"/>
              </w:rPr>
              <w:t>, keli</w:t>
            </w:r>
            <w:r w:rsidR="00B36F12" w:rsidRPr="00936E6C">
              <w:rPr>
                <w:rFonts w:ascii="Times New Roman" w:hAnsi="Times New Roman" w:cs="Times New Roman"/>
                <w:color w:val="000000"/>
                <w:spacing w:val="2"/>
                <w:sz w:val="24"/>
                <w:szCs w:val="24"/>
              </w:rPr>
              <w:t>ų</w:t>
            </w:r>
            <w:r w:rsidRPr="00936E6C">
              <w:rPr>
                <w:rFonts w:ascii="Times New Roman" w:hAnsi="Times New Roman" w:cs="Times New Roman"/>
                <w:color w:val="000000"/>
                <w:spacing w:val="2"/>
                <w:sz w:val="24"/>
                <w:szCs w:val="24"/>
              </w:rPr>
              <w:t xml:space="preserve"> statini</w:t>
            </w:r>
            <w:r w:rsidR="00B36F12" w:rsidRPr="00936E6C">
              <w:rPr>
                <w:rFonts w:ascii="Times New Roman" w:hAnsi="Times New Roman" w:cs="Times New Roman"/>
                <w:color w:val="000000"/>
                <w:spacing w:val="2"/>
                <w:sz w:val="24"/>
                <w:szCs w:val="24"/>
              </w:rPr>
              <w:t>ų</w:t>
            </w:r>
            <w:r w:rsidRPr="00936E6C">
              <w:rPr>
                <w:rFonts w:ascii="Times New Roman" w:hAnsi="Times New Roman" w:cs="Times New Roman"/>
                <w:color w:val="000000"/>
                <w:spacing w:val="2"/>
                <w:sz w:val="24"/>
                <w:szCs w:val="24"/>
              </w:rPr>
              <w:t xml:space="preserve"> ir j</w:t>
            </w:r>
            <w:r w:rsidR="00B36F12" w:rsidRPr="00936E6C">
              <w:rPr>
                <w:rFonts w:ascii="Times New Roman" w:hAnsi="Times New Roman" w:cs="Times New Roman"/>
                <w:color w:val="000000"/>
                <w:spacing w:val="2"/>
                <w:sz w:val="24"/>
                <w:szCs w:val="24"/>
              </w:rPr>
              <w:t>ų</w:t>
            </w:r>
            <w:r w:rsidRPr="00936E6C">
              <w:rPr>
                <w:rFonts w:ascii="Times New Roman" w:hAnsi="Times New Roman" w:cs="Times New Roman"/>
                <w:color w:val="000000"/>
                <w:spacing w:val="2"/>
                <w:sz w:val="24"/>
                <w:szCs w:val="24"/>
              </w:rPr>
              <w:t xml:space="preserve"> u</w:t>
            </w:r>
            <w:r w:rsidR="00B36F12" w:rsidRPr="00936E6C">
              <w:rPr>
                <w:rFonts w:ascii="Times New Roman" w:hAnsi="Times New Roman" w:cs="Times New Roman"/>
                <w:color w:val="000000"/>
                <w:spacing w:val="2"/>
                <w:sz w:val="24"/>
                <w:szCs w:val="24"/>
              </w:rPr>
              <w:t>ž</w:t>
            </w:r>
            <w:r w:rsidRPr="00936E6C">
              <w:rPr>
                <w:rFonts w:ascii="Times New Roman" w:hAnsi="Times New Roman" w:cs="Times New Roman"/>
                <w:color w:val="000000"/>
                <w:spacing w:val="2"/>
                <w:sz w:val="24"/>
                <w:szCs w:val="24"/>
              </w:rPr>
              <w:t xml:space="preserve">imamos </w:t>
            </w:r>
            <w:r w:rsidR="00B36F12" w:rsidRPr="00936E6C">
              <w:rPr>
                <w:rFonts w:ascii="Times New Roman" w:hAnsi="Times New Roman" w:cs="Times New Roman"/>
                <w:color w:val="000000"/>
                <w:spacing w:val="2"/>
                <w:sz w:val="24"/>
                <w:szCs w:val="24"/>
              </w:rPr>
              <w:t>ž</w:t>
            </w:r>
            <w:r w:rsidRPr="00936E6C">
              <w:rPr>
                <w:rFonts w:ascii="Times New Roman" w:hAnsi="Times New Roman" w:cs="Times New Roman"/>
                <w:color w:val="000000"/>
                <w:spacing w:val="2"/>
                <w:sz w:val="24"/>
                <w:szCs w:val="24"/>
              </w:rPr>
              <w:t>em</w:t>
            </w:r>
            <w:r w:rsidR="00B36F12" w:rsidRPr="00936E6C">
              <w:rPr>
                <w:rFonts w:ascii="Times New Roman" w:hAnsi="Times New Roman" w:cs="Times New Roman"/>
                <w:color w:val="000000"/>
                <w:spacing w:val="2"/>
                <w:sz w:val="24"/>
                <w:szCs w:val="24"/>
              </w:rPr>
              <w:t>ė</w:t>
            </w:r>
            <w:r w:rsidRPr="00936E6C">
              <w:rPr>
                <w:rFonts w:ascii="Times New Roman" w:hAnsi="Times New Roman" w:cs="Times New Roman"/>
                <w:color w:val="000000"/>
                <w:spacing w:val="2"/>
                <w:sz w:val="24"/>
                <w:szCs w:val="24"/>
              </w:rPr>
              <w:t xml:space="preserve">s </w:t>
            </w:r>
            <w:r w:rsidRPr="00936E6C">
              <w:rPr>
                <w:rFonts w:ascii="Times New Roman" w:hAnsi="Times New Roman" w:cs="Times New Roman"/>
                <w:b/>
                <w:color w:val="000000"/>
                <w:spacing w:val="2"/>
                <w:sz w:val="24"/>
                <w:szCs w:val="24"/>
              </w:rPr>
              <w:t xml:space="preserve">kadastriniams matavimams, registravimui </w:t>
            </w:r>
            <w:r w:rsidRPr="00936E6C">
              <w:rPr>
                <w:rFonts w:ascii="Times New Roman" w:hAnsi="Times New Roman" w:cs="Times New Roman"/>
                <w:b/>
                <w:color w:val="000000"/>
                <w:spacing w:val="4"/>
                <w:sz w:val="24"/>
                <w:szCs w:val="24"/>
              </w:rPr>
              <w:t xml:space="preserve">Nekilnojamojo turto registre bei kitoms </w:t>
            </w:r>
            <w:r w:rsidRPr="00936E6C">
              <w:rPr>
                <w:rFonts w:ascii="Times New Roman" w:hAnsi="Times New Roman" w:cs="Times New Roman"/>
                <w:color w:val="000000"/>
                <w:spacing w:val="4"/>
                <w:sz w:val="24"/>
                <w:szCs w:val="24"/>
              </w:rPr>
              <w:t xml:space="preserve">teisinei registracijai </w:t>
            </w:r>
            <w:r w:rsidR="00B36F12" w:rsidRPr="00936E6C">
              <w:rPr>
                <w:rFonts w:ascii="Times New Roman" w:hAnsi="Times New Roman" w:cs="Times New Roman"/>
                <w:color w:val="000000"/>
                <w:spacing w:val="4"/>
                <w:sz w:val="24"/>
                <w:szCs w:val="24"/>
              </w:rPr>
              <w:t>būtinoms</w:t>
            </w:r>
            <w:r w:rsidRPr="00936E6C">
              <w:rPr>
                <w:rFonts w:ascii="Times New Roman" w:hAnsi="Times New Roman" w:cs="Times New Roman"/>
                <w:color w:val="000000"/>
                <w:spacing w:val="4"/>
                <w:sz w:val="24"/>
                <w:szCs w:val="24"/>
              </w:rPr>
              <w:t xml:space="preserve"> </w:t>
            </w:r>
            <w:r w:rsidR="00B36F12" w:rsidRPr="00936E6C">
              <w:rPr>
                <w:rFonts w:ascii="Times New Roman" w:hAnsi="Times New Roman" w:cs="Times New Roman"/>
                <w:color w:val="000000"/>
                <w:spacing w:val="4"/>
                <w:sz w:val="24"/>
                <w:szCs w:val="24"/>
              </w:rPr>
              <w:t>procedūroms</w:t>
            </w:r>
            <w:r w:rsidRPr="00936E6C">
              <w:rPr>
                <w:rFonts w:ascii="Times New Roman" w:hAnsi="Times New Roman" w:cs="Times New Roman"/>
                <w:color w:val="000000"/>
                <w:spacing w:val="4"/>
                <w:sz w:val="24"/>
                <w:szCs w:val="24"/>
              </w:rPr>
              <w:t xml:space="preserve"> atlikti, </w:t>
            </w:r>
            <w:r w:rsidR="00B36F12" w:rsidRPr="00936E6C">
              <w:rPr>
                <w:rFonts w:ascii="Times New Roman" w:hAnsi="Times New Roman" w:cs="Times New Roman"/>
                <w:color w:val="000000"/>
                <w:sz w:val="24"/>
                <w:szCs w:val="24"/>
              </w:rPr>
              <w:t>daiktinėms</w:t>
            </w:r>
            <w:r w:rsidRPr="00936E6C">
              <w:rPr>
                <w:rFonts w:ascii="Times New Roman" w:hAnsi="Times New Roman" w:cs="Times New Roman"/>
                <w:color w:val="000000"/>
                <w:sz w:val="24"/>
                <w:szCs w:val="24"/>
              </w:rPr>
              <w:t xml:space="preserve"> </w:t>
            </w:r>
            <w:r w:rsidR="00B36F12" w:rsidRPr="00936E6C">
              <w:rPr>
                <w:rFonts w:ascii="Times New Roman" w:hAnsi="Times New Roman" w:cs="Times New Roman"/>
                <w:color w:val="000000"/>
                <w:sz w:val="24"/>
                <w:szCs w:val="24"/>
              </w:rPr>
              <w:t>teisėms</w:t>
            </w:r>
            <w:r w:rsidRPr="00936E6C">
              <w:rPr>
                <w:rFonts w:ascii="Times New Roman" w:hAnsi="Times New Roman" w:cs="Times New Roman"/>
                <w:color w:val="000000"/>
                <w:sz w:val="24"/>
                <w:szCs w:val="24"/>
              </w:rPr>
              <w:t xml:space="preserve"> </w:t>
            </w:r>
            <w:r w:rsidR="00B36F12" w:rsidRPr="00936E6C">
              <w:rPr>
                <w:rFonts w:ascii="Times New Roman" w:hAnsi="Times New Roman" w:cs="Times New Roman"/>
                <w:color w:val="000000"/>
                <w:sz w:val="24"/>
                <w:szCs w:val="24"/>
              </w:rPr>
              <w:t>į</w:t>
            </w:r>
            <w:r w:rsidRPr="00936E6C">
              <w:rPr>
                <w:rFonts w:ascii="Times New Roman" w:hAnsi="Times New Roman" w:cs="Times New Roman"/>
                <w:color w:val="000000"/>
                <w:sz w:val="24"/>
                <w:szCs w:val="24"/>
              </w:rPr>
              <w:t xml:space="preserve"> </w:t>
            </w:r>
            <w:r w:rsidR="00B36F12" w:rsidRPr="00936E6C">
              <w:rPr>
                <w:rFonts w:ascii="Times New Roman" w:hAnsi="Times New Roman" w:cs="Times New Roman"/>
                <w:color w:val="000000"/>
                <w:sz w:val="24"/>
                <w:szCs w:val="24"/>
              </w:rPr>
              <w:t>ž</w:t>
            </w:r>
            <w:r w:rsidRPr="00936E6C">
              <w:rPr>
                <w:rFonts w:ascii="Times New Roman" w:hAnsi="Times New Roman" w:cs="Times New Roman"/>
                <w:color w:val="000000"/>
                <w:sz w:val="24"/>
                <w:szCs w:val="24"/>
              </w:rPr>
              <w:t>em</w:t>
            </w:r>
            <w:r w:rsidR="00B36F12" w:rsidRPr="00936E6C">
              <w:rPr>
                <w:rFonts w:ascii="Times New Roman" w:hAnsi="Times New Roman" w:cs="Times New Roman"/>
                <w:color w:val="000000"/>
                <w:sz w:val="24"/>
                <w:szCs w:val="24"/>
              </w:rPr>
              <w:t>ę</w:t>
            </w:r>
            <w:r w:rsidRPr="00936E6C">
              <w:rPr>
                <w:rFonts w:ascii="Times New Roman" w:hAnsi="Times New Roman" w:cs="Times New Roman"/>
                <w:color w:val="000000"/>
                <w:sz w:val="24"/>
                <w:szCs w:val="24"/>
              </w:rPr>
              <w:t xml:space="preserve">, </w:t>
            </w:r>
            <w:r w:rsidR="00B36F12" w:rsidRPr="00936E6C">
              <w:rPr>
                <w:rFonts w:ascii="Times New Roman" w:hAnsi="Times New Roman" w:cs="Times New Roman"/>
                <w:color w:val="000000"/>
                <w:sz w:val="24"/>
                <w:szCs w:val="24"/>
              </w:rPr>
              <w:t xml:space="preserve">šių </w:t>
            </w:r>
            <w:r w:rsidRPr="00936E6C">
              <w:rPr>
                <w:rFonts w:ascii="Times New Roman" w:hAnsi="Times New Roman" w:cs="Times New Roman"/>
                <w:color w:val="000000"/>
                <w:sz w:val="24"/>
                <w:szCs w:val="24"/>
              </w:rPr>
              <w:t>teisi</w:t>
            </w:r>
            <w:r w:rsidR="00B36F12" w:rsidRPr="00936E6C">
              <w:rPr>
                <w:rFonts w:ascii="Times New Roman" w:hAnsi="Times New Roman" w:cs="Times New Roman"/>
                <w:color w:val="000000"/>
                <w:sz w:val="24"/>
                <w:szCs w:val="24"/>
              </w:rPr>
              <w:t>ų</w:t>
            </w:r>
            <w:r w:rsidRPr="00936E6C">
              <w:rPr>
                <w:rFonts w:ascii="Times New Roman" w:hAnsi="Times New Roman" w:cs="Times New Roman"/>
                <w:color w:val="000000"/>
                <w:sz w:val="24"/>
                <w:szCs w:val="24"/>
              </w:rPr>
              <w:t xml:space="preserve"> suva</w:t>
            </w:r>
            <w:r w:rsidR="00B36F12" w:rsidRPr="00936E6C">
              <w:rPr>
                <w:rFonts w:ascii="Times New Roman" w:hAnsi="Times New Roman" w:cs="Times New Roman"/>
                <w:color w:val="000000"/>
                <w:sz w:val="24"/>
                <w:szCs w:val="24"/>
              </w:rPr>
              <w:t>rž</w:t>
            </w:r>
            <w:r w:rsidRPr="00936E6C">
              <w:rPr>
                <w:rFonts w:ascii="Times New Roman" w:hAnsi="Times New Roman" w:cs="Times New Roman"/>
                <w:color w:val="000000"/>
                <w:sz w:val="24"/>
                <w:szCs w:val="24"/>
              </w:rPr>
              <w:t>ymams, juridiniams faktams registruoti;</w:t>
            </w:r>
          </w:p>
          <w:p w14:paraId="154D17FF" w14:textId="32960199" w:rsidR="004E4C2E" w:rsidRPr="00936E6C" w:rsidRDefault="004E4C2E" w:rsidP="00690950">
            <w:pPr>
              <w:spacing w:line="240" w:lineRule="auto"/>
              <w:ind w:right="72" w:firstLine="576"/>
              <w:jc w:val="both"/>
              <w:rPr>
                <w:rFonts w:ascii="Times New Roman" w:hAnsi="Times New Roman" w:cs="Times New Roman"/>
                <w:color w:val="000000"/>
                <w:spacing w:val="-4"/>
                <w:sz w:val="24"/>
                <w:szCs w:val="24"/>
              </w:rPr>
            </w:pPr>
            <w:r w:rsidRPr="00936E6C">
              <w:rPr>
                <w:rFonts w:ascii="Times New Roman" w:hAnsi="Times New Roman" w:cs="Times New Roman"/>
                <w:color w:val="000000"/>
                <w:spacing w:val="-4"/>
                <w:sz w:val="24"/>
                <w:szCs w:val="24"/>
              </w:rPr>
              <w:lastRenderedPageBreak/>
              <w:t xml:space="preserve">6. </w:t>
            </w:r>
            <w:r w:rsidR="00B36F12" w:rsidRPr="00936E6C">
              <w:rPr>
                <w:rFonts w:ascii="Times New Roman" w:hAnsi="Times New Roman" w:cs="Times New Roman"/>
                <w:color w:val="000000"/>
                <w:spacing w:val="-4"/>
                <w:sz w:val="24"/>
                <w:szCs w:val="24"/>
              </w:rPr>
              <w:t>Metinėje</w:t>
            </w:r>
            <w:r w:rsidRPr="00936E6C">
              <w:rPr>
                <w:rFonts w:ascii="Times New Roman" w:hAnsi="Times New Roman" w:cs="Times New Roman"/>
                <w:color w:val="000000"/>
                <w:spacing w:val="-4"/>
                <w:sz w:val="24"/>
                <w:szCs w:val="24"/>
              </w:rPr>
              <w:t xml:space="preserve"> </w:t>
            </w:r>
            <w:r w:rsidR="00B36F12" w:rsidRPr="00936E6C">
              <w:rPr>
                <w:rFonts w:ascii="Times New Roman" w:hAnsi="Times New Roman" w:cs="Times New Roman"/>
                <w:color w:val="000000"/>
                <w:spacing w:val="-4"/>
                <w:sz w:val="24"/>
                <w:szCs w:val="24"/>
              </w:rPr>
              <w:t>lėšų</w:t>
            </w:r>
            <w:r w:rsidRPr="00936E6C">
              <w:rPr>
                <w:rFonts w:ascii="Times New Roman" w:hAnsi="Times New Roman" w:cs="Times New Roman"/>
                <w:color w:val="000000"/>
                <w:spacing w:val="-4"/>
                <w:sz w:val="24"/>
                <w:szCs w:val="24"/>
              </w:rPr>
              <w:t xml:space="preserve"> naudojimo </w:t>
            </w:r>
            <w:r w:rsidR="00B36F12" w:rsidRPr="00936E6C">
              <w:rPr>
                <w:rFonts w:ascii="Times New Roman" w:hAnsi="Times New Roman" w:cs="Times New Roman"/>
                <w:color w:val="000000"/>
                <w:spacing w:val="-4"/>
                <w:sz w:val="24"/>
                <w:szCs w:val="24"/>
              </w:rPr>
              <w:t>sąmatoje</w:t>
            </w:r>
            <w:r w:rsidRPr="00936E6C">
              <w:rPr>
                <w:rFonts w:ascii="Times New Roman" w:hAnsi="Times New Roman" w:cs="Times New Roman"/>
                <w:color w:val="000000"/>
                <w:spacing w:val="-4"/>
                <w:sz w:val="24"/>
                <w:szCs w:val="24"/>
              </w:rPr>
              <w:t xml:space="preserve"> </w:t>
            </w:r>
            <w:r w:rsidR="00B36F12" w:rsidRPr="00936E6C">
              <w:rPr>
                <w:rFonts w:ascii="Times New Roman" w:hAnsi="Times New Roman" w:cs="Times New Roman"/>
                <w:color w:val="000000"/>
                <w:spacing w:val="-4"/>
                <w:sz w:val="24"/>
                <w:szCs w:val="24"/>
              </w:rPr>
              <w:t>š</w:t>
            </w:r>
            <w:r w:rsidRPr="00936E6C">
              <w:rPr>
                <w:rFonts w:ascii="Times New Roman" w:hAnsi="Times New Roman" w:cs="Times New Roman"/>
                <w:color w:val="000000"/>
                <w:spacing w:val="-4"/>
                <w:sz w:val="24"/>
                <w:szCs w:val="24"/>
              </w:rPr>
              <w:t xml:space="preserve">io </w:t>
            </w:r>
            <w:r w:rsidR="00B36F12" w:rsidRPr="00936E6C">
              <w:rPr>
                <w:rFonts w:ascii="Times New Roman" w:hAnsi="Times New Roman" w:cs="Times New Roman"/>
                <w:color w:val="000000"/>
                <w:spacing w:val="-4"/>
                <w:sz w:val="24"/>
                <w:szCs w:val="24"/>
              </w:rPr>
              <w:t>įstatymo</w:t>
            </w:r>
            <w:r w:rsidRPr="00936E6C">
              <w:rPr>
                <w:rFonts w:ascii="Times New Roman" w:hAnsi="Times New Roman" w:cs="Times New Roman"/>
                <w:color w:val="000000"/>
                <w:spacing w:val="-4"/>
                <w:sz w:val="24"/>
                <w:szCs w:val="24"/>
              </w:rPr>
              <w:t xml:space="preserve"> 9 straipsnio 2 dalyje nustatytoms veikloms </w:t>
            </w:r>
            <w:r w:rsidRPr="00936E6C">
              <w:rPr>
                <w:rFonts w:ascii="Times New Roman" w:hAnsi="Times New Roman" w:cs="Times New Roman"/>
                <w:color w:val="000000"/>
                <w:sz w:val="24"/>
                <w:szCs w:val="24"/>
              </w:rPr>
              <w:t xml:space="preserve">numatoma 33 </w:t>
            </w:r>
            <w:r w:rsidR="00B36F12" w:rsidRPr="00936E6C">
              <w:rPr>
                <w:rFonts w:ascii="Times New Roman" w:hAnsi="Times New Roman" w:cs="Times New Roman"/>
                <w:color w:val="000000"/>
                <w:sz w:val="24"/>
                <w:szCs w:val="24"/>
              </w:rPr>
              <w:t>procentų</w:t>
            </w:r>
            <w:r w:rsidRPr="00936E6C">
              <w:rPr>
                <w:rFonts w:ascii="Times New Roman" w:hAnsi="Times New Roman" w:cs="Times New Roman"/>
                <w:color w:val="000000"/>
                <w:sz w:val="24"/>
                <w:szCs w:val="24"/>
              </w:rPr>
              <w:t xml:space="preserve"> Programos finansavimo l</w:t>
            </w:r>
            <w:r w:rsidR="00B36F12" w:rsidRPr="00936E6C">
              <w:rPr>
                <w:rFonts w:ascii="Times New Roman" w:hAnsi="Times New Roman" w:cs="Times New Roman"/>
                <w:color w:val="000000"/>
                <w:sz w:val="24"/>
                <w:szCs w:val="24"/>
              </w:rPr>
              <w:t>ėšų,</w:t>
            </w:r>
            <w:r w:rsidRPr="00936E6C">
              <w:rPr>
                <w:rFonts w:ascii="Times New Roman" w:hAnsi="Times New Roman" w:cs="Times New Roman"/>
                <w:color w:val="000000"/>
                <w:sz w:val="24"/>
                <w:szCs w:val="24"/>
              </w:rPr>
              <w:t xml:space="preserve"> kurie paskirstomi taip:</w:t>
            </w:r>
          </w:p>
          <w:p w14:paraId="274DE9BB" w14:textId="22B035DD" w:rsidR="004E4C2E" w:rsidRPr="00936E6C" w:rsidRDefault="004E4C2E" w:rsidP="00690950">
            <w:pPr>
              <w:spacing w:line="240" w:lineRule="auto"/>
              <w:ind w:right="72" w:firstLine="576"/>
              <w:jc w:val="both"/>
              <w:rPr>
                <w:rFonts w:ascii="Times New Roman" w:hAnsi="Times New Roman" w:cs="Times New Roman"/>
                <w:color w:val="000000"/>
                <w:spacing w:val="1"/>
                <w:sz w:val="24"/>
                <w:szCs w:val="24"/>
              </w:rPr>
            </w:pPr>
            <w:r w:rsidRPr="00936E6C">
              <w:rPr>
                <w:rFonts w:ascii="Times New Roman" w:hAnsi="Times New Roman" w:cs="Times New Roman"/>
                <w:color w:val="000000"/>
                <w:spacing w:val="1"/>
                <w:sz w:val="24"/>
                <w:szCs w:val="24"/>
              </w:rPr>
              <w:t xml:space="preserve">2) </w:t>
            </w:r>
            <w:r w:rsidR="00B36F12" w:rsidRPr="00936E6C">
              <w:rPr>
                <w:rFonts w:ascii="Times New Roman" w:hAnsi="Times New Roman" w:cs="Times New Roman"/>
                <w:color w:val="000000"/>
                <w:spacing w:val="1"/>
                <w:sz w:val="24"/>
                <w:szCs w:val="24"/>
              </w:rPr>
              <w:t>Savivaldybių</w:t>
            </w:r>
            <w:r w:rsidRPr="00936E6C">
              <w:rPr>
                <w:rFonts w:ascii="Times New Roman" w:hAnsi="Times New Roman" w:cs="Times New Roman"/>
                <w:color w:val="000000"/>
                <w:spacing w:val="1"/>
                <w:sz w:val="24"/>
                <w:szCs w:val="24"/>
              </w:rPr>
              <w:t xml:space="preserve"> </w:t>
            </w:r>
            <w:r w:rsidR="00B36F12" w:rsidRPr="00936E6C">
              <w:rPr>
                <w:rFonts w:ascii="Times New Roman" w:hAnsi="Times New Roman" w:cs="Times New Roman"/>
                <w:color w:val="000000"/>
                <w:spacing w:val="1"/>
                <w:sz w:val="24"/>
                <w:szCs w:val="24"/>
              </w:rPr>
              <w:t>institucijų</w:t>
            </w:r>
            <w:r w:rsidRPr="00936E6C">
              <w:rPr>
                <w:rFonts w:ascii="Times New Roman" w:hAnsi="Times New Roman" w:cs="Times New Roman"/>
                <w:color w:val="000000"/>
                <w:spacing w:val="1"/>
                <w:sz w:val="24"/>
                <w:szCs w:val="24"/>
              </w:rPr>
              <w:t xml:space="preserve"> valdomiems </w:t>
            </w:r>
            <w:r w:rsidRPr="00936E6C">
              <w:rPr>
                <w:rFonts w:ascii="Times New Roman" w:hAnsi="Times New Roman" w:cs="Times New Roman"/>
                <w:b/>
                <w:color w:val="000000"/>
                <w:spacing w:val="1"/>
                <w:sz w:val="24"/>
                <w:szCs w:val="24"/>
              </w:rPr>
              <w:t>ir valstybei nuosavyb</w:t>
            </w:r>
            <w:r w:rsidR="00B36F12" w:rsidRPr="00936E6C">
              <w:rPr>
                <w:rFonts w:ascii="Times New Roman" w:hAnsi="Times New Roman" w:cs="Times New Roman"/>
                <w:b/>
                <w:color w:val="000000"/>
                <w:spacing w:val="1"/>
                <w:sz w:val="24"/>
                <w:szCs w:val="24"/>
              </w:rPr>
              <w:t>ė</w:t>
            </w:r>
            <w:r w:rsidRPr="00936E6C">
              <w:rPr>
                <w:rFonts w:ascii="Times New Roman" w:hAnsi="Times New Roman" w:cs="Times New Roman"/>
                <w:b/>
                <w:color w:val="000000"/>
                <w:spacing w:val="1"/>
                <w:sz w:val="24"/>
                <w:szCs w:val="24"/>
              </w:rPr>
              <w:t xml:space="preserve">s </w:t>
            </w:r>
            <w:r w:rsidR="00B36F12" w:rsidRPr="00936E6C">
              <w:rPr>
                <w:rFonts w:ascii="Times New Roman" w:hAnsi="Times New Roman" w:cs="Times New Roman"/>
                <w:b/>
                <w:color w:val="000000"/>
                <w:spacing w:val="1"/>
                <w:sz w:val="24"/>
                <w:szCs w:val="24"/>
              </w:rPr>
              <w:t>teisėmis</w:t>
            </w:r>
            <w:r w:rsidRPr="00936E6C">
              <w:rPr>
                <w:rFonts w:ascii="Times New Roman" w:hAnsi="Times New Roman" w:cs="Times New Roman"/>
                <w:b/>
                <w:color w:val="000000"/>
                <w:spacing w:val="1"/>
                <w:sz w:val="24"/>
                <w:szCs w:val="24"/>
              </w:rPr>
              <w:t xml:space="preserve"> priklausantiems </w:t>
            </w:r>
            <w:r w:rsidRPr="00936E6C">
              <w:rPr>
                <w:rFonts w:ascii="Times New Roman" w:hAnsi="Times New Roman" w:cs="Times New Roman"/>
                <w:b/>
                <w:color w:val="000000"/>
                <w:sz w:val="24"/>
                <w:szCs w:val="24"/>
              </w:rPr>
              <w:t>vietin</w:t>
            </w:r>
            <w:r w:rsidR="00B36F12" w:rsidRPr="00936E6C">
              <w:rPr>
                <w:rFonts w:ascii="Times New Roman" w:hAnsi="Times New Roman" w:cs="Times New Roman"/>
                <w:b/>
                <w:color w:val="000000"/>
                <w:sz w:val="24"/>
                <w:szCs w:val="24"/>
              </w:rPr>
              <w:t>ė</w:t>
            </w:r>
            <w:r w:rsidRPr="00936E6C">
              <w:rPr>
                <w:rFonts w:ascii="Times New Roman" w:hAnsi="Times New Roman" w:cs="Times New Roman"/>
                <w:b/>
                <w:color w:val="000000"/>
                <w:sz w:val="24"/>
                <w:szCs w:val="24"/>
              </w:rPr>
              <w:t>s rei</w:t>
            </w:r>
            <w:r w:rsidR="00B36F12" w:rsidRPr="00936E6C">
              <w:rPr>
                <w:rFonts w:ascii="Times New Roman" w:hAnsi="Times New Roman" w:cs="Times New Roman"/>
                <w:b/>
                <w:color w:val="000000"/>
                <w:sz w:val="24"/>
                <w:szCs w:val="24"/>
              </w:rPr>
              <w:t>kš</w:t>
            </w:r>
            <w:r w:rsidRPr="00936E6C">
              <w:rPr>
                <w:rFonts w:ascii="Times New Roman" w:hAnsi="Times New Roman" w:cs="Times New Roman"/>
                <w:b/>
                <w:color w:val="000000"/>
                <w:sz w:val="24"/>
                <w:szCs w:val="24"/>
              </w:rPr>
              <w:t>m</w:t>
            </w:r>
            <w:r w:rsidR="00B36F12" w:rsidRPr="00936E6C">
              <w:rPr>
                <w:rFonts w:ascii="Times New Roman" w:hAnsi="Times New Roman" w:cs="Times New Roman"/>
                <w:b/>
                <w:color w:val="000000"/>
                <w:sz w:val="24"/>
                <w:szCs w:val="24"/>
              </w:rPr>
              <w:t>ė</w:t>
            </w:r>
            <w:r w:rsidRPr="00936E6C">
              <w:rPr>
                <w:rFonts w:ascii="Times New Roman" w:hAnsi="Times New Roman" w:cs="Times New Roman"/>
                <w:b/>
                <w:color w:val="000000"/>
                <w:sz w:val="24"/>
                <w:szCs w:val="24"/>
              </w:rPr>
              <w:t>s keliams (gatv</w:t>
            </w:r>
            <w:r w:rsidR="00B36F12" w:rsidRPr="00936E6C">
              <w:rPr>
                <w:rFonts w:ascii="Times New Roman" w:hAnsi="Times New Roman" w:cs="Times New Roman"/>
                <w:b/>
                <w:color w:val="000000"/>
                <w:sz w:val="24"/>
                <w:szCs w:val="24"/>
              </w:rPr>
              <w:t>ė</w:t>
            </w:r>
            <w:r w:rsidRPr="00936E6C">
              <w:rPr>
                <w:rFonts w:ascii="Times New Roman" w:hAnsi="Times New Roman" w:cs="Times New Roman"/>
                <w:b/>
                <w:color w:val="000000"/>
                <w:sz w:val="24"/>
                <w:szCs w:val="24"/>
              </w:rPr>
              <w:t>ms)</w:t>
            </w:r>
            <w:r w:rsidR="00B36F12" w:rsidRPr="00936E6C">
              <w:rPr>
                <w:rFonts w:ascii="Times New Roman" w:hAnsi="Times New Roman" w:cs="Times New Roman"/>
                <w:color w:val="000000"/>
                <w:spacing w:val="1"/>
                <w:sz w:val="24"/>
                <w:szCs w:val="24"/>
              </w:rPr>
              <w:t xml:space="preserve"> </w:t>
            </w:r>
            <w:r w:rsidR="00E60B28" w:rsidRPr="00936E6C">
              <w:rPr>
                <w:rFonts w:ascii="Times New Roman" w:hAnsi="Times New Roman" w:cs="Times New Roman"/>
                <w:color w:val="000000"/>
                <w:spacing w:val="3"/>
                <w:sz w:val="24"/>
                <w:szCs w:val="24"/>
              </w:rPr>
              <w:t xml:space="preserve">– </w:t>
            </w:r>
            <w:r w:rsidRPr="00936E6C">
              <w:rPr>
                <w:rFonts w:ascii="Times New Roman" w:hAnsi="Times New Roman" w:cs="Times New Roman"/>
                <w:color w:val="000000"/>
                <w:sz w:val="24"/>
                <w:szCs w:val="24"/>
              </w:rPr>
              <w:t>98 procentai, i</w:t>
            </w:r>
            <w:r w:rsidR="00B36F12" w:rsidRPr="00936E6C">
              <w:rPr>
                <w:rFonts w:ascii="Times New Roman" w:hAnsi="Times New Roman" w:cs="Times New Roman"/>
                <w:color w:val="000000"/>
                <w:sz w:val="24"/>
                <w:szCs w:val="24"/>
              </w:rPr>
              <w:t>š</w:t>
            </w:r>
            <w:r w:rsidRPr="00936E6C">
              <w:rPr>
                <w:rFonts w:ascii="Times New Roman" w:hAnsi="Times New Roman" w:cs="Times New Roman"/>
                <w:color w:val="000000"/>
                <w:sz w:val="24"/>
                <w:szCs w:val="24"/>
              </w:rPr>
              <w:t xml:space="preserve"> kuri</w:t>
            </w:r>
            <w:r w:rsidR="00B36F12" w:rsidRPr="00936E6C">
              <w:rPr>
                <w:rFonts w:ascii="Times New Roman" w:hAnsi="Times New Roman" w:cs="Times New Roman"/>
                <w:color w:val="000000"/>
                <w:sz w:val="24"/>
                <w:szCs w:val="24"/>
              </w:rPr>
              <w:t>ų</w:t>
            </w:r>
            <w:r w:rsidRPr="00936E6C">
              <w:rPr>
                <w:rFonts w:ascii="Times New Roman" w:hAnsi="Times New Roman" w:cs="Times New Roman"/>
                <w:color w:val="000000"/>
                <w:sz w:val="24"/>
                <w:szCs w:val="24"/>
              </w:rPr>
              <w:t xml:space="preserve"> miest</w:t>
            </w:r>
            <w:r w:rsidR="00B36F12" w:rsidRPr="00936E6C">
              <w:rPr>
                <w:rFonts w:ascii="Times New Roman" w:hAnsi="Times New Roman" w:cs="Times New Roman"/>
                <w:color w:val="000000"/>
                <w:sz w:val="24"/>
                <w:szCs w:val="24"/>
              </w:rPr>
              <w:t>ų</w:t>
            </w:r>
            <w:r w:rsidRPr="00936E6C">
              <w:rPr>
                <w:rFonts w:ascii="Times New Roman" w:hAnsi="Times New Roman" w:cs="Times New Roman"/>
                <w:color w:val="000000"/>
                <w:sz w:val="24"/>
                <w:szCs w:val="24"/>
              </w:rPr>
              <w:t xml:space="preserve"> savivaldybi</w:t>
            </w:r>
            <w:r w:rsidR="00B36F12" w:rsidRPr="00936E6C">
              <w:rPr>
                <w:rFonts w:ascii="Times New Roman" w:hAnsi="Times New Roman" w:cs="Times New Roman"/>
                <w:color w:val="000000"/>
                <w:sz w:val="24"/>
                <w:szCs w:val="24"/>
              </w:rPr>
              <w:t>ų</w:t>
            </w:r>
            <w:r w:rsidRPr="00936E6C">
              <w:rPr>
                <w:rFonts w:ascii="Times New Roman" w:hAnsi="Times New Roman" w:cs="Times New Roman"/>
                <w:color w:val="000000"/>
                <w:sz w:val="24"/>
                <w:szCs w:val="24"/>
              </w:rPr>
              <w:t xml:space="preserve"> </w:t>
            </w:r>
            <w:r w:rsidRPr="00936E6C">
              <w:rPr>
                <w:rFonts w:ascii="Times New Roman" w:hAnsi="Times New Roman" w:cs="Times New Roman"/>
                <w:b/>
                <w:color w:val="000000"/>
                <w:sz w:val="24"/>
                <w:szCs w:val="24"/>
              </w:rPr>
              <w:t>ir savivaldybi</w:t>
            </w:r>
            <w:r w:rsidR="00B36F12" w:rsidRPr="00936E6C">
              <w:rPr>
                <w:rFonts w:ascii="Times New Roman" w:hAnsi="Times New Roman" w:cs="Times New Roman"/>
                <w:b/>
                <w:color w:val="000000"/>
                <w:sz w:val="24"/>
                <w:szCs w:val="24"/>
              </w:rPr>
              <w:t>ų</w:t>
            </w:r>
            <w:r w:rsidRPr="00936E6C">
              <w:rPr>
                <w:rFonts w:ascii="Times New Roman" w:hAnsi="Times New Roman" w:cs="Times New Roman"/>
                <w:b/>
                <w:color w:val="000000"/>
                <w:sz w:val="24"/>
                <w:szCs w:val="24"/>
              </w:rPr>
              <w:t xml:space="preserve"> </w:t>
            </w:r>
            <w:r w:rsidRPr="00936E6C">
              <w:rPr>
                <w:rFonts w:ascii="Times New Roman" w:hAnsi="Times New Roman" w:cs="Times New Roman"/>
                <w:b/>
                <w:color w:val="000000"/>
                <w:spacing w:val="3"/>
                <w:sz w:val="24"/>
                <w:szCs w:val="24"/>
              </w:rPr>
              <w:t>teritorijose esantiems valstybei nuosavyb</w:t>
            </w:r>
            <w:r w:rsidR="00B36F12" w:rsidRPr="00936E6C">
              <w:rPr>
                <w:rFonts w:ascii="Times New Roman" w:hAnsi="Times New Roman" w:cs="Times New Roman"/>
                <w:b/>
                <w:color w:val="000000"/>
                <w:spacing w:val="3"/>
                <w:sz w:val="24"/>
                <w:szCs w:val="24"/>
              </w:rPr>
              <w:t>ė</w:t>
            </w:r>
            <w:r w:rsidRPr="00936E6C">
              <w:rPr>
                <w:rFonts w:ascii="Times New Roman" w:hAnsi="Times New Roman" w:cs="Times New Roman"/>
                <w:b/>
                <w:color w:val="000000"/>
                <w:spacing w:val="3"/>
                <w:sz w:val="24"/>
                <w:szCs w:val="24"/>
              </w:rPr>
              <w:t>s teis</w:t>
            </w:r>
            <w:r w:rsidR="00B36F12" w:rsidRPr="00936E6C">
              <w:rPr>
                <w:rFonts w:ascii="Times New Roman" w:hAnsi="Times New Roman" w:cs="Times New Roman"/>
                <w:b/>
                <w:color w:val="000000"/>
                <w:spacing w:val="3"/>
                <w:sz w:val="24"/>
                <w:szCs w:val="24"/>
              </w:rPr>
              <w:t>ė</w:t>
            </w:r>
            <w:r w:rsidRPr="00936E6C">
              <w:rPr>
                <w:rFonts w:ascii="Times New Roman" w:hAnsi="Times New Roman" w:cs="Times New Roman"/>
                <w:b/>
                <w:color w:val="000000"/>
                <w:spacing w:val="3"/>
                <w:sz w:val="24"/>
                <w:szCs w:val="24"/>
              </w:rPr>
              <w:t xml:space="preserve">mis priklausantiems </w:t>
            </w:r>
            <w:r w:rsidRPr="00936E6C">
              <w:rPr>
                <w:rFonts w:ascii="Times New Roman" w:hAnsi="Times New Roman" w:cs="Times New Roman"/>
                <w:color w:val="000000"/>
                <w:spacing w:val="3"/>
                <w:sz w:val="24"/>
                <w:szCs w:val="24"/>
              </w:rPr>
              <w:t>vietines reik</w:t>
            </w:r>
            <w:r w:rsidR="00B36F12" w:rsidRPr="00936E6C">
              <w:rPr>
                <w:rFonts w:ascii="Times New Roman" w:hAnsi="Times New Roman" w:cs="Times New Roman"/>
                <w:color w:val="000000"/>
                <w:spacing w:val="3"/>
                <w:sz w:val="24"/>
                <w:szCs w:val="24"/>
              </w:rPr>
              <w:t>š</w:t>
            </w:r>
            <w:r w:rsidRPr="00936E6C">
              <w:rPr>
                <w:rFonts w:ascii="Times New Roman" w:hAnsi="Times New Roman" w:cs="Times New Roman"/>
                <w:color w:val="000000"/>
                <w:spacing w:val="3"/>
                <w:sz w:val="24"/>
                <w:szCs w:val="24"/>
              </w:rPr>
              <w:t>m</w:t>
            </w:r>
            <w:r w:rsidR="00B36F12" w:rsidRPr="00936E6C">
              <w:rPr>
                <w:rFonts w:ascii="Times New Roman" w:hAnsi="Times New Roman" w:cs="Times New Roman"/>
                <w:color w:val="000000"/>
                <w:spacing w:val="3"/>
                <w:sz w:val="24"/>
                <w:szCs w:val="24"/>
              </w:rPr>
              <w:t>ė</w:t>
            </w:r>
            <w:r w:rsidRPr="00936E6C">
              <w:rPr>
                <w:rFonts w:ascii="Times New Roman" w:hAnsi="Times New Roman" w:cs="Times New Roman"/>
                <w:color w:val="000000"/>
                <w:spacing w:val="3"/>
                <w:sz w:val="24"/>
                <w:szCs w:val="24"/>
              </w:rPr>
              <w:t xml:space="preserve">s keliams </w:t>
            </w:r>
            <w:r w:rsidR="00E60B28" w:rsidRPr="00936E6C">
              <w:rPr>
                <w:rFonts w:ascii="Times New Roman" w:hAnsi="Times New Roman" w:cs="Times New Roman"/>
                <w:color w:val="000000"/>
                <w:spacing w:val="3"/>
                <w:sz w:val="24"/>
                <w:szCs w:val="24"/>
              </w:rPr>
              <w:t xml:space="preserve">– </w:t>
            </w:r>
            <w:r w:rsidRPr="00936E6C">
              <w:rPr>
                <w:rFonts w:ascii="Times New Roman" w:hAnsi="Times New Roman" w:cs="Times New Roman"/>
                <w:color w:val="000000"/>
                <w:spacing w:val="1"/>
                <w:sz w:val="24"/>
                <w:szCs w:val="24"/>
              </w:rPr>
              <w:t>35 procentai, kit</w:t>
            </w:r>
            <w:r w:rsidR="00B36F12" w:rsidRPr="00936E6C">
              <w:rPr>
                <w:rFonts w:ascii="Times New Roman" w:hAnsi="Times New Roman" w:cs="Times New Roman"/>
                <w:color w:val="000000"/>
                <w:spacing w:val="1"/>
                <w:sz w:val="24"/>
                <w:szCs w:val="24"/>
              </w:rPr>
              <w:t>ų</w:t>
            </w:r>
            <w:r w:rsidRPr="00936E6C">
              <w:rPr>
                <w:rFonts w:ascii="Times New Roman" w:hAnsi="Times New Roman" w:cs="Times New Roman"/>
                <w:color w:val="000000"/>
                <w:spacing w:val="1"/>
                <w:sz w:val="24"/>
                <w:szCs w:val="24"/>
              </w:rPr>
              <w:t xml:space="preserve"> savivaldybi</w:t>
            </w:r>
            <w:r w:rsidR="00B36F12" w:rsidRPr="00936E6C">
              <w:rPr>
                <w:rFonts w:ascii="Times New Roman" w:hAnsi="Times New Roman" w:cs="Times New Roman"/>
                <w:color w:val="000000"/>
                <w:spacing w:val="1"/>
                <w:sz w:val="24"/>
                <w:szCs w:val="24"/>
              </w:rPr>
              <w:t xml:space="preserve">ų </w:t>
            </w:r>
            <w:r w:rsidRPr="00936E6C">
              <w:rPr>
                <w:rFonts w:ascii="Times New Roman" w:hAnsi="Times New Roman" w:cs="Times New Roman"/>
                <w:b/>
                <w:color w:val="000000"/>
                <w:spacing w:val="1"/>
                <w:sz w:val="24"/>
                <w:szCs w:val="24"/>
              </w:rPr>
              <w:t>i</w:t>
            </w:r>
            <w:r w:rsidR="00B36F12" w:rsidRPr="00936E6C">
              <w:rPr>
                <w:rFonts w:ascii="Times New Roman" w:hAnsi="Times New Roman" w:cs="Times New Roman"/>
                <w:b/>
                <w:color w:val="000000"/>
                <w:spacing w:val="1"/>
                <w:sz w:val="24"/>
                <w:szCs w:val="24"/>
              </w:rPr>
              <w:t>r</w:t>
            </w:r>
            <w:r w:rsidRPr="00936E6C">
              <w:rPr>
                <w:rFonts w:ascii="Times New Roman" w:hAnsi="Times New Roman" w:cs="Times New Roman"/>
                <w:b/>
                <w:color w:val="000000"/>
                <w:spacing w:val="1"/>
                <w:sz w:val="24"/>
                <w:szCs w:val="24"/>
              </w:rPr>
              <w:t xml:space="preserve"> savivaldybi</w:t>
            </w:r>
            <w:r w:rsidR="00B36F12" w:rsidRPr="00936E6C">
              <w:rPr>
                <w:rFonts w:ascii="Times New Roman" w:hAnsi="Times New Roman" w:cs="Times New Roman"/>
                <w:b/>
                <w:color w:val="000000"/>
                <w:spacing w:val="1"/>
                <w:sz w:val="24"/>
                <w:szCs w:val="24"/>
              </w:rPr>
              <w:t>ų</w:t>
            </w:r>
            <w:r w:rsidRPr="00936E6C">
              <w:rPr>
                <w:rFonts w:ascii="Times New Roman" w:hAnsi="Times New Roman" w:cs="Times New Roman"/>
                <w:b/>
                <w:color w:val="000000"/>
                <w:spacing w:val="1"/>
                <w:sz w:val="24"/>
                <w:szCs w:val="24"/>
              </w:rPr>
              <w:t xml:space="preserve"> teritorijose esantiems valstybei nuosavyb</w:t>
            </w:r>
            <w:r w:rsidR="00B36F12" w:rsidRPr="00936E6C">
              <w:rPr>
                <w:rFonts w:ascii="Times New Roman" w:hAnsi="Times New Roman" w:cs="Times New Roman"/>
                <w:b/>
                <w:color w:val="000000"/>
                <w:spacing w:val="1"/>
                <w:sz w:val="24"/>
                <w:szCs w:val="24"/>
              </w:rPr>
              <w:t>ė</w:t>
            </w:r>
            <w:r w:rsidRPr="00936E6C">
              <w:rPr>
                <w:rFonts w:ascii="Times New Roman" w:hAnsi="Times New Roman" w:cs="Times New Roman"/>
                <w:b/>
                <w:color w:val="000000"/>
                <w:spacing w:val="1"/>
                <w:sz w:val="24"/>
                <w:szCs w:val="24"/>
              </w:rPr>
              <w:t xml:space="preserve">s </w:t>
            </w:r>
            <w:r w:rsidRPr="00936E6C">
              <w:rPr>
                <w:rFonts w:ascii="Times New Roman" w:hAnsi="Times New Roman" w:cs="Times New Roman"/>
                <w:b/>
                <w:color w:val="000000"/>
                <w:spacing w:val="3"/>
                <w:sz w:val="24"/>
                <w:szCs w:val="24"/>
              </w:rPr>
              <w:t>teis</w:t>
            </w:r>
            <w:r w:rsidR="00B36F12" w:rsidRPr="00936E6C">
              <w:rPr>
                <w:rFonts w:ascii="Times New Roman" w:hAnsi="Times New Roman" w:cs="Times New Roman"/>
                <w:b/>
                <w:color w:val="000000"/>
                <w:spacing w:val="3"/>
                <w:sz w:val="24"/>
                <w:szCs w:val="24"/>
              </w:rPr>
              <w:t>ė</w:t>
            </w:r>
            <w:r w:rsidRPr="00936E6C">
              <w:rPr>
                <w:rFonts w:ascii="Times New Roman" w:hAnsi="Times New Roman" w:cs="Times New Roman"/>
                <w:b/>
                <w:color w:val="000000"/>
                <w:spacing w:val="3"/>
                <w:sz w:val="24"/>
                <w:szCs w:val="24"/>
              </w:rPr>
              <w:t xml:space="preserve">mis priklausantiems </w:t>
            </w:r>
            <w:r w:rsidRPr="00936E6C">
              <w:rPr>
                <w:rFonts w:ascii="Times New Roman" w:hAnsi="Times New Roman" w:cs="Times New Roman"/>
                <w:color w:val="000000"/>
                <w:spacing w:val="3"/>
                <w:sz w:val="24"/>
                <w:szCs w:val="24"/>
              </w:rPr>
              <w:t>vietines reik</w:t>
            </w:r>
            <w:r w:rsidR="00B36F12" w:rsidRPr="00936E6C">
              <w:rPr>
                <w:rFonts w:ascii="Times New Roman" w:hAnsi="Times New Roman" w:cs="Times New Roman"/>
                <w:color w:val="000000"/>
                <w:spacing w:val="3"/>
                <w:sz w:val="24"/>
                <w:szCs w:val="24"/>
              </w:rPr>
              <w:t>š</w:t>
            </w:r>
            <w:r w:rsidRPr="00936E6C">
              <w:rPr>
                <w:rFonts w:ascii="Times New Roman" w:hAnsi="Times New Roman" w:cs="Times New Roman"/>
                <w:color w:val="000000"/>
                <w:spacing w:val="3"/>
                <w:sz w:val="24"/>
                <w:szCs w:val="24"/>
              </w:rPr>
              <w:t>m</w:t>
            </w:r>
            <w:r w:rsidR="00B36F12" w:rsidRPr="00936E6C">
              <w:rPr>
                <w:rFonts w:ascii="Times New Roman" w:hAnsi="Times New Roman" w:cs="Times New Roman"/>
                <w:color w:val="000000"/>
                <w:spacing w:val="3"/>
                <w:sz w:val="24"/>
                <w:szCs w:val="24"/>
              </w:rPr>
              <w:t>ė</w:t>
            </w:r>
            <w:r w:rsidRPr="00936E6C">
              <w:rPr>
                <w:rFonts w:ascii="Times New Roman" w:hAnsi="Times New Roman" w:cs="Times New Roman"/>
                <w:color w:val="000000"/>
                <w:spacing w:val="3"/>
                <w:sz w:val="24"/>
                <w:szCs w:val="24"/>
              </w:rPr>
              <w:t>s keliams</w:t>
            </w:r>
            <w:r w:rsidR="00B36F12" w:rsidRPr="00936E6C">
              <w:rPr>
                <w:rFonts w:ascii="Times New Roman" w:hAnsi="Times New Roman" w:cs="Times New Roman"/>
                <w:color w:val="000000"/>
                <w:spacing w:val="3"/>
                <w:sz w:val="24"/>
                <w:szCs w:val="24"/>
              </w:rPr>
              <w:t xml:space="preserve"> </w:t>
            </w:r>
            <w:r w:rsidR="00E60B28" w:rsidRPr="00936E6C">
              <w:rPr>
                <w:rFonts w:ascii="Times New Roman" w:hAnsi="Times New Roman" w:cs="Times New Roman"/>
                <w:color w:val="000000"/>
                <w:spacing w:val="3"/>
                <w:sz w:val="24"/>
                <w:szCs w:val="24"/>
              </w:rPr>
              <w:t xml:space="preserve">– </w:t>
            </w:r>
            <w:r w:rsidRPr="00936E6C">
              <w:rPr>
                <w:rFonts w:ascii="Times New Roman" w:hAnsi="Times New Roman" w:cs="Times New Roman"/>
                <w:color w:val="000000"/>
                <w:spacing w:val="3"/>
                <w:sz w:val="24"/>
                <w:szCs w:val="24"/>
              </w:rPr>
              <w:t xml:space="preserve">65 procentai. </w:t>
            </w:r>
            <w:r w:rsidR="00E60B28" w:rsidRPr="00936E6C">
              <w:rPr>
                <w:rFonts w:ascii="Times New Roman" w:hAnsi="Times New Roman" w:cs="Times New Roman"/>
                <w:color w:val="000000"/>
                <w:spacing w:val="3"/>
                <w:sz w:val="24"/>
                <w:szCs w:val="24"/>
              </w:rPr>
              <w:t>Šios lėšos savivaldybėms paskirstomos valstybės įmonės Lietuvos automobilių kelių direkcijos direktoriaus įsakymu pagal nuolatinių gyventojų skaičių (vadovaujamasi Lietuvos statistikos departamento duomenimis), – 50 procentų ir pagal motorizuoto eismo kelių ilgį, nurodytą savivaldybių tarybų patvirtintame kelių sąraše, kuriame taip pat nurodytas kelio numeris ir kelio pavadinimas, – 50 procentų. Nuo 2025 metų Programos finansavimo lėšos savivaldybėms paskirstomos pagal nuolatinių gyventojų skaičių (vadovaujamasi Lietuvos statistikos departamento duomenimis), – 50 procentų ir pagal Nekilnojamojo turto registre įregistruotų kelių ilgį, – 50 procentų.</w:t>
            </w:r>
          </w:p>
          <w:p w14:paraId="1FE14693" w14:textId="4E3F160A" w:rsidR="006827BE" w:rsidRPr="00936E6C" w:rsidRDefault="00E60B28" w:rsidP="00690950">
            <w:pPr>
              <w:spacing w:after="288" w:line="240" w:lineRule="auto"/>
              <w:jc w:val="both"/>
              <w:rPr>
                <w:rFonts w:ascii="Times New Roman" w:hAnsi="Times New Roman" w:cs="Times New Roman"/>
                <w:color w:val="000000"/>
                <w:spacing w:val="3"/>
                <w:sz w:val="24"/>
                <w:szCs w:val="24"/>
              </w:rPr>
            </w:pPr>
            <w:r w:rsidRPr="00936E6C">
              <w:rPr>
                <w:rFonts w:ascii="Times New Roman" w:hAnsi="Times New Roman" w:cs="Times New Roman"/>
                <w:color w:val="000000"/>
                <w:sz w:val="24"/>
                <w:szCs w:val="24"/>
              </w:rPr>
              <w:t xml:space="preserve">Ne mažiau kaip 58 procentai Programos finansavimo lėšų, skirtų savivaldybių institucijų valdomiems </w:t>
            </w:r>
            <w:r w:rsidR="004E4C2E" w:rsidRPr="00936E6C">
              <w:rPr>
                <w:rFonts w:ascii="Times New Roman" w:hAnsi="Times New Roman" w:cs="Times New Roman"/>
                <w:b/>
                <w:color w:val="000000"/>
                <w:spacing w:val="15"/>
                <w:sz w:val="24"/>
                <w:szCs w:val="24"/>
              </w:rPr>
              <w:t>ir savivaldybi</w:t>
            </w:r>
            <w:r w:rsidRPr="00936E6C">
              <w:rPr>
                <w:rFonts w:ascii="Times New Roman" w:hAnsi="Times New Roman" w:cs="Times New Roman"/>
                <w:b/>
                <w:color w:val="000000"/>
                <w:spacing w:val="15"/>
                <w:sz w:val="24"/>
                <w:szCs w:val="24"/>
              </w:rPr>
              <w:t>ų</w:t>
            </w:r>
            <w:r w:rsidR="004E4C2E" w:rsidRPr="00936E6C">
              <w:rPr>
                <w:rFonts w:ascii="Times New Roman" w:hAnsi="Times New Roman" w:cs="Times New Roman"/>
                <w:b/>
                <w:color w:val="000000"/>
                <w:spacing w:val="15"/>
                <w:sz w:val="24"/>
                <w:szCs w:val="24"/>
              </w:rPr>
              <w:t xml:space="preserve"> teritorijose esantiems valstybei nuosavyb</w:t>
            </w:r>
            <w:r w:rsidRPr="00936E6C">
              <w:rPr>
                <w:rFonts w:ascii="Times New Roman" w:hAnsi="Times New Roman" w:cs="Times New Roman"/>
                <w:b/>
                <w:color w:val="000000"/>
                <w:spacing w:val="15"/>
                <w:sz w:val="24"/>
                <w:szCs w:val="24"/>
              </w:rPr>
              <w:t>ė</w:t>
            </w:r>
            <w:r w:rsidR="004E4C2E" w:rsidRPr="00936E6C">
              <w:rPr>
                <w:rFonts w:ascii="Times New Roman" w:hAnsi="Times New Roman" w:cs="Times New Roman"/>
                <w:b/>
                <w:color w:val="000000"/>
                <w:spacing w:val="15"/>
                <w:sz w:val="24"/>
                <w:szCs w:val="24"/>
              </w:rPr>
              <w:t>s teis</w:t>
            </w:r>
            <w:r w:rsidRPr="00936E6C">
              <w:rPr>
                <w:rFonts w:ascii="Times New Roman" w:hAnsi="Times New Roman" w:cs="Times New Roman"/>
                <w:b/>
                <w:color w:val="000000"/>
                <w:spacing w:val="15"/>
                <w:sz w:val="24"/>
                <w:szCs w:val="24"/>
              </w:rPr>
              <w:t>ė</w:t>
            </w:r>
            <w:r w:rsidR="004E4C2E" w:rsidRPr="00936E6C">
              <w:rPr>
                <w:rFonts w:ascii="Times New Roman" w:hAnsi="Times New Roman" w:cs="Times New Roman"/>
                <w:b/>
                <w:color w:val="000000"/>
                <w:spacing w:val="15"/>
                <w:sz w:val="24"/>
                <w:szCs w:val="24"/>
              </w:rPr>
              <w:t xml:space="preserve">mis </w:t>
            </w:r>
            <w:r w:rsidR="004E4C2E" w:rsidRPr="00936E6C">
              <w:rPr>
                <w:rFonts w:ascii="Times New Roman" w:hAnsi="Times New Roman" w:cs="Times New Roman"/>
                <w:b/>
                <w:color w:val="000000"/>
                <w:spacing w:val="1"/>
                <w:sz w:val="24"/>
                <w:szCs w:val="24"/>
              </w:rPr>
              <w:t xml:space="preserve">priklausantiems </w:t>
            </w:r>
            <w:r w:rsidR="004E4C2E" w:rsidRPr="00936E6C">
              <w:rPr>
                <w:rFonts w:ascii="Times New Roman" w:hAnsi="Times New Roman" w:cs="Times New Roman"/>
                <w:color w:val="000000"/>
                <w:spacing w:val="1"/>
                <w:sz w:val="24"/>
                <w:szCs w:val="24"/>
              </w:rPr>
              <w:t>vietines reik</w:t>
            </w:r>
            <w:r w:rsidRPr="00936E6C">
              <w:rPr>
                <w:rFonts w:ascii="Times New Roman" w:hAnsi="Times New Roman" w:cs="Times New Roman"/>
                <w:color w:val="000000"/>
                <w:spacing w:val="1"/>
                <w:sz w:val="24"/>
                <w:szCs w:val="24"/>
              </w:rPr>
              <w:t>š</w:t>
            </w:r>
            <w:r w:rsidR="004E4C2E" w:rsidRPr="00936E6C">
              <w:rPr>
                <w:rFonts w:ascii="Times New Roman" w:hAnsi="Times New Roman" w:cs="Times New Roman"/>
                <w:color w:val="000000"/>
                <w:spacing w:val="1"/>
                <w:sz w:val="24"/>
                <w:szCs w:val="24"/>
              </w:rPr>
              <w:t>m</w:t>
            </w:r>
            <w:r w:rsidRPr="00936E6C">
              <w:rPr>
                <w:rFonts w:ascii="Times New Roman" w:hAnsi="Times New Roman" w:cs="Times New Roman"/>
                <w:color w:val="000000"/>
                <w:spacing w:val="1"/>
                <w:sz w:val="24"/>
                <w:szCs w:val="24"/>
              </w:rPr>
              <w:t>ė</w:t>
            </w:r>
            <w:r w:rsidR="004E4C2E" w:rsidRPr="00936E6C">
              <w:rPr>
                <w:rFonts w:ascii="Times New Roman" w:hAnsi="Times New Roman" w:cs="Times New Roman"/>
                <w:color w:val="000000"/>
                <w:spacing w:val="1"/>
                <w:sz w:val="24"/>
                <w:szCs w:val="24"/>
              </w:rPr>
              <w:t>s keliams, turi b</w:t>
            </w:r>
            <w:r w:rsidRPr="00936E6C">
              <w:rPr>
                <w:rFonts w:ascii="Times New Roman" w:hAnsi="Times New Roman" w:cs="Times New Roman"/>
                <w:color w:val="000000"/>
                <w:spacing w:val="1"/>
                <w:sz w:val="24"/>
                <w:szCs w:val="24"/>
              </w:rPr>
              <w:t>ū</w:t>
            </w:r>
            <w:r w:rsidR="004E4C2E" w:rsidRPr="00936E6C">
              <w:rPr>
                <w:rFonts w:ascii="Times New Roman" w:hAnsi="Times New Roman" w:cs="Times New Roman"/>
                <w:color w:val="000000"/>
                <w:spacing w:val="1"/>
                <w:sz w:val="24"/>
                <w:szCs w:val="24"/>
              </w:rPr>
              <w:t xml:space="preserve">ti naudojama </w:t>
            </w:r>
            <w:r w:rsidR="004E4C2E" w:rsidRPr="00936E6C">
              <w:rPr>
                <w:rFonts w:ascii="Times New Roman" w:hAnsi="Times New Roman" w:cs="Times New Roman"/>
                <w:b/>
                <w:color w:val="000000"/>
                <w:spacing w:val="1"/>
                <w:sz w:val="24"/>
                <w:szCs w:val="24"/>
              </w:rPr>
              <w:t xml:space="preserve">kadastriniams matavimams, </w:t>
            </w:r>
            <w:r w:rsidR="004E4C2E" w:rsidRPr="00936E6C">
              <w:rPr>
                <w:rFonts w:ascii="Times New Roman" w:hAnsi="Times New Roman" w:cs="Times New Roman"/>
                <w:b/>
                <w:color w:val="000000"/>
                <w:spacing w:val="3"/>
                <w:sz w:val="24"/>
                <w:szCs w:val="24"/>
              </w:rPr>
              <w:t xml:space="preserve">registravimui nekilnojamojo turto registre, </w:t>
            </w:r>
            <w:r w:rsidRPr="00936E6C">
              <w:rPr>
                <w:rFonts w:ascii="Times New Roman" w:hAnsi="Times New Roman" w:cs="Times New Roman"/>
                <w:color w:val="000000"/>
                <w:spacing w:val="3"/>
                <w:sz w:val="24"/>
                <w:szCs w:val="24"/>
              </w:rPr>
              <w:t>turtui įsigyti – vietinės reikšmės keliams tiesti, rekonstruoti ir kapitališkai remontuoti; ne mažiau kaip 5 procentai turi būti naudojama saugaus eismo priemonėms vietinės reikšmės keliuose finansuoti; ne mažiau kaip 10 procentų turi būti naudojama darnaus judumo priemonėms finansuoti.</w:t>
            </w:r>
          </w:p>
        </w:tc>
        <w:tc>
          <w:tcPr>
            <w:tcW w:w="4967" w:type="dxa"/>
          </w:tcPr>
          <w:p w14:paraId="29FEC90E" w14:textId="503B790D" w:rsidR="004E1CD5" w:rsidRPr="00936E6C" w:rsidRDefault="00E60B28" w:rsidP="00690950">
            <w:pPr>
              <w:tabs>
                <w:tab w:val="left" w:pos="317"/>
              </w:tabs>
              <w:spacing w:after="0" w:line="240" w:lineRule="auto"/>
              <w:jc w:val="both"/>
              <w:rPr>
                <w:rFonts w:ascii="Times New Roman" w:eastAsia="Calibri" w:hAnsi="Times New Roman" w:cs="Times New Roman"/>
                <w:bCs/>
                <w:sz w:val="24"/>
                <w:szCs w:val="24"/>
              </w:rPr>
            </w:pPr>
            <w:r w:rsidRPr="00936E6C">
              <w:rPr>
                <w:rFonts w:ascii="Times New Roman" w:eastAsia="Calibri" w:hAnsi="Times New Roman" w:cs="Times New Roman"/>
                <w:b/>
                <w:sz w:val="24"/>
                <w:szCs w:val="24"/>
              </w:rPr>
              <w:lastRenderedPageBreak/>
              <w:t>Neatsižvelgta.</w:t>
            </w:r>
          </w:p>
          <w:p w14:paraId="2383FACA" w14:textId="7AA0B43B" w:rsidR="00AD16AF" w:rsidRPr="00936E6C" w:rsidRDefault="004E1CD5" w:rsidP="00690950">
            <w:pPr>
              <w:tabs>
                <w:tab w:val="left" w:pos="317"/>
              </w:tabs>
              <w:spacing w:after="0" w:line="240" w:lineRule="auto"/>
              <w:jc w:val="both"/>
              <w:rPr>
                <w:rFonts w:ascii="Times New Roman" w:eastAsia="Calibri" w:hAnsi="Times New Roman" w:cs="Times New Roman"/>
                <w:bCs/>
                <w:sz w:val="24"/>
                <w:szCs w:val="24"/>
              </w:rPr>
            </w:pPr>
            <w:r w:rsidRPr="00936E6C">
              <w:rPr>
                <w:rFonts w:ascii="Times New Roman" w:eastAsia="Calibri" w:hAnsi="Times New Roman" w:cs="Times New Roman"/>
                <w:bCs/>
                <w:sz w:val="24"/>
                <w:szCs w:val="24"/>
              </w:rPr>
              <w:t>1.</w:t>
            </w:r>
            <w:r w:rsidRPr="00936E6C">
              <w:rPr>
                <w:rFonts w:ascii="Times New Roman" w:eastAsia="Calibri" w:hAnsi="Times New Roman" w:cs="Times New Roman"/>
                <w:bCs/>
                <w:sz w:val="24"/>
                <w:szCs w:val="24"/>
              </w:rPr>
              <w:tab/>
              <w:t>Dėl siūlymo keisti</w:t>
            </w:r>
            <w:r w:rsidR="00046C76" w:rsidRPr="00936E6C">
              <w:rPr>
                <w:rFonts w:ascii="Times New Roman" w:eastAsia="Calibri" w:hAnsi="Times New Roman" w:cs="Times New Roman"/>
                <w:bCs/>
                <w:sz w:val="24"/>
                <w:szCs w:val="24"/>
              </w:rPr>
              <w:t xml:space="preserve"> </w:t>
            </w:r>
            <w:r w:rsidR="00430CC2" w:rsidRPr="00936E6C">
              <w:rPr>
                <w:rFonts w:ascii="Times New Roman" w:eastAsia="Calibri" w:hAnsi="Times New Roman" w:cs="Times New Roman"/>
                <w:bCs/>
                <w:sz w:val="24"/>
                <w:szCs w:val="24"/>
              </w:rPr>
              <w:t>K</w:t>
            </w:r>
            <w:r w:rsidR="009D20ED" w:rsidRPr="00936E6C">
              <w:rPr>
                <w:rFonts w:ascii="Times New Roman" w:eastAsia="Calibri" w:hAnsi="Times New Roman" w:cs="Times New Roman"/>
                <w:bCs/>
                <w:sz w:val="24"/>
                <w:szCs w:val="24"/>
              </w:rPr>
              <w:t>elių priežiūros ir plėtros programos finansavimo įstatymo</w:t>
            </w:r>
            <w:r w:rsidRPr="00936E6C">
              <w:rPr>
                <w:rFonts w:ascii="Times New Roman" w:eastAsia="Calibri" w:hAnsi="Times New Roman" w:cs="Times New Roman"/>
                <w:bCs/>
                <w:sz w:val="24"/>
                <w:szCs w:val="24"/>
              </w:rPr>
              <w:t xml:space="preserve"> 9 str</w:t>
            </w:r>
            <w:r w:rsidR="00046C76" w:rsidRPr="00936E6C">
              <w:rPr>
                <w:rFonts w:ascii="Times New Roman" w:eastAsia="Calibri" w:hAnsi="Times New Roman" w:cs="Times New Roman"/>
                <w:bCs/>
                <w:sz w:val="24"/>
                <w:szCs w:val="24"/>
              </w:rPr>
              <w:t xml:space="preserve">aipsnio </w:t>
            </w:r>
            <w:r w:rsidRPr="00936E6C">
              <w:rPr>
                <w:rFonts w:ascii="Times New Roman" w:eastAsia="Calibri" w:hAnsi="Times New Roman" w:cs="Times New Roman"/>
                <w:bCs/>
                <w:sz w:val="24"/>
                <w:szCs w:val="24"/>
              </w:rPr>
              <w:t>2 d</w:t>
            </w:r>
            <w:r w:rsidR="00046C76" w:rsidRPr="00936E6C">
              <w:rPr>
                <w:rFonts w:ascii="Times New Roman" w:eastAsia="Calibri" w:hAnsi="Times New Roman" w:cs="Times New Roman"/>
                <w:bCs/>
                <w:sz w:val="24"/>
                <w:szCs w:val="24"/>
              </w:rPr>
              <w:t>alį</w:t>
            </w:r>
            <w:r w:rsidR="00AD16AF" w:rsidRPr="00936E6C">
              <w:rPr>
                <w:rFonts w:ascii="Times New Roman" w:eastAsia="Calibri" w:hAnsi="Times New Roman" w:cs="Times New Roman"/>
                <w:bCs/>
                <w:sz w:val="24"/>
                <w:szCs w:val="24"/>
              </w:rPr>
              <w:t>. S</w:t>
            </w:r>
            <w:r w:rsidRPr="00936E6C">
              <w:rPr>
                <w:rFonts w:ascii="Times New Roman" w:eastAsia="Calibri" w:hAnsi="Times New Roman" w:cs="Times New Roman"/>
                <w:bCs/>
                <w:sz w:val="24"/>
                <w:szCs w:val="24"/>
              </w:rPr>
              <w:t>iūlo</w:t>
            </w:r>
            <w:r w:rsidR="00AD16AF" w:rsidRPr="00936E6C">
              <w:rPr>
                <w:rFonts w:ascii="Times New Roman" w:eastAsia="Calibri" w:hAnsi="Times New Roman" w:cs="Times New Roman"/>
                <w:bCs/>
                <w:sz w:val="24"/>
                <w:szCs w:val="24"/>
              </w:rPr>
              <w:t>ma</w:t>
            </w:r>
            <w:r w:rsidRPr="00936E6C">
              <w:rPr>
                <w:rFonts w:ascii="Times New Roman" w:eastAsia="Calibri" w:hAnsi="Times New Roman" w:cs="Times New Roman"/>
                <w:bCs/>
                <w:sz w:val="24"/>
                <w:szCs w:val="24"/>
              </w:rPr>
              <w:t xml:space="preserve"> finansuoti valstybei priklausančius vietinės reikšmės kelius, kuriuos finansuotų savivaldybė. </w:t>
            </w:r>
            <w:r w:rsidR="00AD16AF" w:rsidRPr="00936E6C">
              <w:rPr>
                <w:rFonts w:ascii="Times New Roman" w:eastAsia="Calibri" w:hAnsi="Times New Roman" w:cs="Times New Roman"/>
                <w:bCs/>
                <w:sz w:val="24"/>
                <w:szCs w:val="24"/>
              </w:rPr>
              <w:t>Susisiekimo ministerijos nuomone, čia</w:t>
            </w:r>
            <w:r w:rsidR="009D20ED" w:rsidRPr="00936E6C">
              <w:rPr>
                <w:rFonts w:ascii="Times New Roman" w:eastAsia="Calibri" w:hAnsi="Times New Roman" w:cs="Times New Roman"/>
                <w:bCs/>
                <w:sz w:val="24"/>
                <w:szCs w:val="24"/>
              </w:rPr>
              <w:t xml:space="preserve"> atsiranda</w:t>
            </w:r>
            <w:r w:rsidR="00AD16AF" w:rsidRPr="00936E6C">
              <w:rPr>
                <w:rFonts w:ascii="Times New Roman" w:eastAsia="Calibri" w:hAnsi="Times New Roman" w:cs="Times New Roman"/>
                <w:bCs/>
                <w:sz w:val="24"/>
                <w:szCs w:val="24"/>
              </w:rPr>
              <w:t xml:space="preserve"> p</w:t>
            </w:r>
            <w:r w:rsidRPr="00936E6C">
              <w:rPr>
                <w:rFonts w:ascii="Times New Roman" w:eastAsia="Calibri" w:hAnsi="Times New Roman" w:cs="Times New Roman"/>
                <w:bCs/>
                <w:sz w:val="24"/>
                <w:szCs w:val="24"/>
              </w:rPr>
              <w:t xml:space="preserve">rieštaravimas, nes jeigu savivaldybė nevaldo, tai naudoti jai skirtas </w:t>
            </w:r>
            <w:r w:rsidR="00AD16AF" w:rsidRPr="00936E6C">
              <w:rPr>
                <w:rFonts w:ascii="Times New Roman" w:eastAsia="Calibri" w:hAnsi="Times New Roman" w:cs="Times New Roman"/>
                <w:bCs/>
                <w:sz w:val="24"/>
                <w:szCs w:val="24"/>
              </w:rPr>
              <w:t xml:space="preserve">Programos finansavimo </w:t>
            </w:r>
            <w:r w:rsidRPr="00936E6C">
              <w:rPr>
                <w:rFonts w:ascii="Times New Roman" w:eastAsia="Calibri" w:hAnsi="Times New Roman" w:cs="Times New Roman"/>
                <w:bCs/>
                <w:sz w:val="24"/>
                <w:szCs w:val="24"/>
              </w:rPr>
              <w:t xml:space="preserve">lėšas (dotacijas savivaldybių biudžetui) ne savo valdomam turtui </w:t>
            </w:r>
            <w:r w:rsidRPr="00936E6C">
              <w:rPr>
                <w:rFonts w:ascii="Times New Roman" w:eastAsia="Calibri" w:hAnsi="Times New Roman" w:cs="Times New Roman"/>
                <w:bCs/>
                <w:sz w:val="24"/>
                <w:szCs w:val="24"/>
              </w:rPr>
              <w:lastRenderedPageBreak/>
              <w:t>negalėtų – savivaldybė</w:t>
            </w:r>
            <w:r w:rsidR="00AD16AF" w:rsidRPr="00936E6C">
              <w:rPr>
                <w:rFonts w:ascii="Times New Roman" w:eastAsia="Calibri" w:hAnsi="Times New Roman" w:cs="Times New Roman"/>
                <w:bCs/>
                <w:sz w:val="24"/>
                <w:szCs w:val="24"/>
              </w:rPr>
              <w:t>s</w:t>
            </w:r>
            <w:r w:rsidRPr="00936E6C">
              <w:rPr>
                <w:rFonts w:ascii="Times New Roman" w:eastAsia="Calibri" w:hAnsi="Times New Roman" w:cs="Times New Roman"/>
                <w:bCs/>
                <w:sz w:val="24"/>
                <w:szCs w:val="24"/>
              </w:rPr>
              <w:t xml:space="preserve"> </w:t>
            </w:r>
            <w:r w:rsidR="00AD16AF" w:rsidRPr="00936E6C">
              <w:rPr>
                <w:rFonts w:ascii="Times New Roman" w:eastAsia="Calibri" w:hAnsi="Times New Roman" w:cs="Times New Roman"/>
                <w:bCs/>
                <w:sz w:val="24"/>
                <w:szCs w:val="24"/>
              </w:rPr>
              <w:t xml:space="preserve">negali </w:t>
            </w:r>
            <w:r w:rsidRPr="00936E6C">
              <w:rPr>
                <w:rFonts w:ascii="Times New Roman" w:eastAsia="Calibri" w:hAnsi="Times New Roman" w:cs="Times New Roman"/>
                <w:bCs/>
                <w:sz w:val="24"/>
                <w:szCs w:val="24"/>
              </w:rPr>
              <w:t xml:space="preserve">joms skirtų </w:t>
            </w:r>
            <w:r w:rsidR="00AD16AF" w:rsidRPr="00936E6C">
              <w:rPr>
                <w:rFonts w:ascii="Times New Roman" w:eastAsia="Calibri" w:hAnsi="Times New Roman" w:cs="Times New Roman"/>
                <w:bCs/>
                <w:sz w:val="24"/>
                <w:szCs w:val="24"/>
              </w:rPr>
              <w:t xml:space="preserve">Programos finansavimo </w:t>
            </w:r>
            <w:r w:rsidRPr="00936E6C">
              <w:rPr>
                <w:rFonts w:ascii="Times New Roman" w:eastAsia="Calibri" w:hAnsi="Times New Roman" w:cs="Times New Roman"/>
                <w:bCs/>
                <w:sz w:val="24"/>
                <w:szCs w:val="24"/>
              </w:rPr>
              <w:t xml:space="preserve">lėšų naudoti darbams valstybiniuose keliuose finansuoti. </w:t>
            </w:r>
          </w:p>
          <w:p w14:paraId="05881B54" w14:textId="022F222A" w:rsidR="004E1CD5" w:rsidRPr="00936E6C" w:rsidRDefault="004E1CD5" w:rsidP="00690950">
            <w:pPr>
              <w:tabs>
                <w:tab w:val="left" w:pos="317"/>
              </w:tabs>
              <w:spacing w:after="0" w:line="240" w:lineRule="auto"/>
              <w:jc w:val="both"/>
              <w:rPr>
                <w:rFonts w:ascii="Times New Roman" w:eastAsia="Calibri" w:hAnsi="Times New Roman" w:cs="Times New Roman"/>
                <w:bCs/>
                <w:sz w:val="24"/>
                <w:szCs w:val="24"/>
              </w:rPr>
            </w:pPr>
            <w:r w:rsidRPr="00936E6C">
              <w:rPr>
                <w:rFonts w:ascii="Times New Roman" w:eastAsia="Calibri" w:hAnsi="Times New Roman" w:cs="Times New Roman"/>
                <w:bCs/>
                <w:sz w:val="24"/>
                <w:szCs w:val="24"/>
              </w:rPr>
              <w:t>2.</w:t>
            </w:r>
            <w:r w:rsidRPr="00936E6C">
              <w:rPr>
                <w:rFonts w:ascii="Times New Roman" w:eastAsia="Calibri" w:hAnsi="Times New Roman" w:cs="Times New Roman"/>
                <w:bCs/>
                <w:sz w:val="24"/>
                <w:szCs w:val="24"/>
              </w:rPr>
              <w:tab/>
              <w:t>Dėl siūlymo keisti</w:t>
            </w:r>
            <w:r w:rsidR="00CB0786" w:rsidRPr="00936E6C">
              <w:rPr>
                <w:rFonts w:ascii="Times New Roman" w:eastAsia="Calibri" w:hAnsi="Times New Roman" w:cs="Times New Roman"/>
                <w:bCs/>
                <w:sz w:val="24"/>
                <w:szCs w:val="24"/>
              </w:rPr>
              <w:t xml:space="preserve"> </w:t>
            </w:r>
            <w:r w:rsidR="009D20ED" w:rsidRPr="00936E6C">
              <w:rPr>
                <w:rFonts w:ascii="Times New Roman" w:eastAsia="Calibri" w:hAnsi="Times New Roman" w:cs="Times New Roman"/>
                <w:bCs/>
                <w:sz w:val="24"/>
                <w:szCs w:val="24"/>
              </w:rPr>
              <w:t xml:space="preserve">Kelių priežiūros ir plėtros programos finansavimo įstatymo </w:t>
            </w:r>
            <w:r w:rsidRPr="00936E6C">
              <w:rPr>
                <w:rFonts w:ascii="Times New Roman" w:eastAsia="Calibri" w:hAnsi="Times New Roman" w:cs="Times New Roman"/>
                <w:bCs/>
                <w:sz w:val="24"/>
                <w:szCs w:val="24"/>
              </w:rPr>
              <w:t>9 str</w:t>
            </w:r>
            <w:r w:rsidR="00CB0786" w:rsidRPr="00936E6C">
              <w:rPr>
                <w:rFonts w:ascii="Times New Roman" w:eastAsia="Calibri" w:hAnsi="Times New Roman" w:cs="Times New Roman"/>
                <w:bCs/>
                <w:sz w:val="24"/>
                <w:szCs w:val="24"/>
              </w:rPr>
              <w:t>aipsnio</w:t>
            </w:r>
            <w:r w:rsidRPr="00936E6C">
              <w:rPr>
                <w:rFonts w:ascii="Times New Roman" w:eastAsia="Calibri" w:hAnsi="Times New Roman" w:cs="Times New Roman"/>
                <w:bCs/>
                <w:sz w:val="24"/>
                <w:szCs w:val="24"/>
              </w:rPr>
              <w:t xml:space="preserve"> 2 d</w:t>
            </w:r>
            <w:r w:rsidR="00CB0786" w:rsidRPr="00936E6C">
              <w:rPr>
                <w:rFonts w:ascii="Times New Roman" w:eastAsia="Calibri" w:hAnsi="Times New Roman" w:cs="Times New Roman"/>
                <w:bCs/>
                <w:sz w:val="24"/>
                <w:szCs w:val="24"/>
              </w:rPr>
              <w:t>alies</w:t>
            </w:r>
            <w:r w:rsidRPr="00936E6C">
              <w:rPr>
                <w:rFonts w:ascii="Times New Roman" w:eastAsia="Calibri" w:hAnsi="Times New Roman" w:cs="Times New Roman"/>
                <w:bCs/>
                <w:sz w:val="24"/>
                <w:szCs w:val="24"/>
              </w:rPr>
              <w:t xml:space="preserve"> 2 p</w:t>
            </w:r>
            <w:r w:rsidR="00CB0786" w:rsidRPr="00936E6C">
              <w:rPr>
                <w:rFonts w:ascii="Times New Roman" w:eastAsia="Calibri" w:hAnsi="Times New Roman" w:cs="Times New Roman"/>
                <w:bCs/>
                <w:sz w:val="24"/>
                <w:szCs w:val="24"/>
              </w:rPr>
              <w:t>unktą</w:t>
            </w:r>
            <w:r w:rsidRPr="00936E6C">
              <w:rPr>
                <w:rFonts w:ascii="Times New Roman" w:eastAsia="Calibri" w:hAnsi="Times New Roman" w:cs="Times New Roman"/>
                <w:bCs/>
                <w:sz w:val="24"/>
                <w:szCs w:val="24"/>
              </w:rPr>
              <w:t>.</w:t>
            </w:r>
            <w:r w:rsidR="00C45437" w:rsidRPr="00936E6C">
              <w:rPr>
                <w:rFonts w:ascii="Times New Roman" w:eastAsia="Calibri" w:hAnsi="Times New Roman" w:cs="Times New Roman"/>
                <w:bCs/>
                <w:sz w:val="24"/>
                <w:szCs w:val="24"/>
              </w:rPr>
              <w:t xml:space="preserve"> Ž</w:t>
            </w:r>
            <w:r w:rsidRPr="00936E6C">
              <w:rPr>
                <w:rFonts w:ascii="Times New Roman" w:eastAsia="Calibri" w:hAnsi="Times New Roman" w:cs="Times New Roman"/>
                <w:bCs/>
                <w:sz w:val="24"/>
                <w:szCs w:val="24"/>
              </w:rPr>
              <w:t xml:space="preserve">odžių junginys „&lt;...&gt; teisinei registracijai būtinoms procedūroms atlikti, daiktinėms teisėms į žemę, šių teisių suvaržymams, juridiniams faktams registruoti“ apima ir siūlomą papildymą. Vadovaudamosi šiuo punktu, savivaldybės </w:t>
            </w:r>
            <w:r w:rsidR="00C45437" w:rsidRPr="00936E6C">
              <w:rPr>
                <w:rFonts w:ascii="Times New Roman" w:eastAsia="Calibri" w:hAnsi="Times New Roman" w:cs="Times New Roman"/>
                <w:bCs/>
                <w:sz w:val="24"/>
                <w:szCs w:val="24"/>
              </w:rPr>
              <w:t>Programos finansavimo</w:t>
            </w:r>
            <w:r w:rsidRPr="00936E6C">
              <w:rPr>
                <w:rFonts w:ascii="Times New Roman" w:eastAsia="Calibri" w:hAnsi="Times New Roman" w:cs="Times New Roman"/>
                <w:bCs/>
                <w:sz w:val="24"/>
                <w:szCs w:val="24"/>
              </w:rPr>
              <w:t xml:space="preserve"> lėšomis finansuoja ir kadastrų bylų parengimo paslaugas, ir registravimą </w:t>
            </w:r>
            <w:r w:rsidR="00C45437" w:rsidRPr="00936E6C">
              <w:rPr>
                <w:rFonts w:ascii="Times New Roman" w:eastAsia="Calibri" w:hAnsi="Times New Roman" w:cs="Times New Roman"/>
                <w:bCs/>
                <w:sz w:val="24"/>
                <w:szCs w:val="24"/>
              </w:rPr>
              <w:t>nekilnojamojo turto registre</w:t>
            </w:r>
            <w:r w:rsidRPr="00936E6C">
              <w:rPr>
                <w:rFonts w:ascii="Times New Roman" w:eastAsia="Calibri" w:hAnsi="Times New Roman" w:cs="Times New Roman"/>
                <w:bCs/>
                <w:sz w:val="24"/>
                <w:szCs w:val="24"/>
              </w:rPr>
              <w:t xml:space="preserve">. </w:t>
            </w:r>
            <w:r w:rsidR="00C45437" w:rsidRPr="00936E6C">
              <w:rPr>
                <w:rFonts w:ascii="Times New Roman" w:eastAsia="Calibri" w:hAnsi="Times New Roman" w:cs="Times New Roman"/>
                <w:bCs/>
                <w:sz w:val="24"/>
                <w:szCs w:val="24"/>
              </w:rPr>
              <w:t>T</w:t>
            </w:r>
            <w:r w:rsidRPr="00936E6C">
              <w:rPr>
                <w:rFonts w:ascii="Times New Roman" w:eastAsia="Calibri" w:hAnsi="Times New Roman" w:cs="Times New Roman"/>
                <w:bCs/>
                <w:sz w:val="24"/>
                <w:szCs w:val="24"/>
              </w:rPr>
              <w:t>eisinės registracijos ne</w:t>
            </w:r>
            <w:r w:rsidR="00936668" w:rsidRPr="00936E6C">
              <w:rPr>
                <w:rFonts w:ascii="Times New Roman" w:eastAsia="Calibri" w:hAnsi="Times New Roman" w:cs="Times New Roman"/>
                <w:bCs/>
                <w:sz w:val="24"/>
                <w:szCs w:val="24"/>
              </w:rPr>
              <w:t xml:space="preserve">galima </w:t>
            </w:r>
            <w:r w:rsidRPr="00936E6C">
              <w:rPr>
                <w:rFonts w:ascii="Times New Roman" w:eastAsia="Calibri" w:hAnsi="Times New Roman" w:cs="Times New Roman"/>
                <w:bCs/>
                <w:sz w:val="24"/>
                <w:szCs w:val="24"/>
              </w:rPr>
              <w:t>atlik</w:t>
            </w:r>
            <w:r w:rsidR="00936668" w:rsidRPr="00936E6C">
              <w:rPr>
                <w:rFonts w:ascii="Times New Roman" w:eastAsia="Calibri" w:hAnsi="Times New Roman" w:cs="Times New Roman"/>
                <w:bCs/>
                <w:sz w:val="24"/>
                <w:szCs w:val="24"/>
              </w:rPr>
              <w:t>t</w:t>
            </w:r>
            <w:r w:rsidRPr="00936E6C">
              <w:rPr>
                <w:rFonts w:ascii="Times New Roman" w:eastAsia="Calibri" w:hAnsi="Times New Roman" w:cs="Times New Roman"/>
                <w:bCs/>
                <w:sz w:val="24"/>
                <w:szCs w:val="24"/>
              </w:rPr>
              <w:t>i</w:t>
            </w:r>
            <w:r w:rsidR="00936668" w:rsidRPr="00936E6C">
              <w:rPr>
                <w:rFonts w:ascii="Times New Roman" w:eastAsia="Calibri" w:hAnsi="Times New Roman" w:cs="Times New Roman"/>
                <w:bCs/>
                <w:sz w:val="24"/>
                <w:szCs w:val="24"/>
              </w:rPr>
              <w:t>,</w:t>
            </w:r>
            <w:r w:rsidRPr="00936E6C">
              <w:rPr>
                <w:rFonts w:ascii="Times New Roman" w:eastAsia="Calibri" w:hAnsi="Times New Roman" w:cs="Times New Roman"/>
                <w:bCs/>
                <w:sz w:val="24"/>
                <w:szCs w:val="24"/>
              </w:rPr>
              <w:t xml:space="preserve"> neatlikus kadastrinių matavimų ir neparengus kadastrinių matavimų bylos – tai yra būtinos procedūros.</w:t>
            </w:r>
          </w:p>
          <w:p w14:paraId="518D1DA3" w14:textId="3FE3592D" w:rsidR="004E1CD5" w:rsidRPr="00936E6C" w:rsidRDefault="004E1CD5" w:rsidP="00690950">
            <w:pPr>
              <w:tabs>
                <w:tab w:val="left" w:pos="317"/>
              </w:tabs>
              <w:spacing w:after="0" w:line="240" w:lineRule="auto"/>
              <w:jc w:val="both"/>
              <w:rPr>
                <w:rFonts w:ascii="Times New Roman" w:eastAsia="Calibri" w:hAnsi="Times New Roman" w:cs="Times New Roman"/>
                <w:bCs/>
                <w:sz w:val="24"/>
                <w:szCs w:val="24"/>
              </w:rPr>
            </w:pPr>
            <w:r w:rsidRPr="00936E6C">
              <w:rPr>
                <w:rFonts w:ascii="Times New Roman" w:eastAsia="Calibri" w:hAnsi="Times New Roman" w:cs="Times New Roman"/>
                <w:bCs/>
                <w:sz w:val="24"/>
                <w:szCs w:val="24"/>
              </w:rPr>
              <w:t>3.</w:t>
            </w:r>
            <w:r w:rsidRPr="00936E6C">
              <w:rPr>
                <w:rFonts w:ascii="Times New Roman" w:eastAsia="Calibri" w:hAnsi="Times New Roman" w:cs="Times New Roman"/>
                <w:bCs/>
                <w:sz w:val="24"/>
                <w:szCs w:val="24"/>
              </w:rPr>
              <w:tab/>
              <w:t xml:space="preserve">Dėl siūlymo keisti </w:t>
            </w:r>
            <w:r w:rsidR="009D20ED" w:rsidRPr="00936E6C">
              <w:rPr>
                <w:rFonts w:ascii="Times New Roman" w:eastAsia="Calibri" w:hAnsi="Times New Roman" w:cs="Times New Roman"/>
                <w:bCs/>
                <w:sz w:val="24"/>
                <w:szCs w:val="24"/>
              </w:rPr>
              <w:t xml:space="preserve">Kelių priežiūros ir plėtros programos finansavimo įstatymo </w:t>
            </w:r>
            <w:r w:rsidRPr="00936E6C">
              <w:rPr>
                <w:rFonts w:ascii="Times New Roman" w:eastAsia="Calibri" w:hAnsi="Times New Roman" w:cs="Times New Roman"/>
                <w:bCs/>
                <w:sz w:val="24"/>
                <w:szCs w:val="24"/>
              </w:rPr>
              <w:t>9</w:t>
            </w:r>
            <w:r w:rsidR="00CB0786" w:rsidRPr="00936E6C">
              <w:rPr>
                <w:rFonts w:ascii="Times New Roman" w:eastAsia="Calibri" w:hAnsi="Times New Roman" w:cs="Times New Roman"/>
                <w:bCs/>
                <w:sz w:val="24"/>
                <w:szCs w:val="24"/>
              </w:rPr>
              <w:t xml:space="preserve"> straipsnio </w:t>
            </w:r>
            <w:r w:rsidRPr="00936E6C">
              <w:rPr>
                <w:rFonts w:ascii="Times New Roman" w:eastAsia="Calibri" w:hAnsi="Times New Roman" w:cs="Times New Roman"/>
                <w:bCs/>
                <w:sz w:val="24"/>
                <w:szCs w:val="24"/>
              </w:rPr>
              <w:t xml:space="preserve">6 </w:t>
            </w:r>
            <w:r w:rsidR="00CB0786" w:rsidRPr="00936E6C">
              <w:rPr>
                <w:rFonts w:ascii="Times New Roman" w:eastAsia="Calibri" w:hAnsi="Times New Roman" w:cs="Times New Roman"/>
                <w:bCs/>
                <w:sz w:val="24"/>
                <w:szCs w:val="24"/>
              </w:rPr>
              <w:t xml:space="preserve">dalies </w:t>
            </w:r>
            <w:r w:rsidRPr="00936E6C">
              <w:rPr>
                <w:rFonts w:ascii="Times New Roman" w:eastAsia="Calibri" w:hAnsi="Times New Roman" w:cs="Times New Roman"/>
                <w:bCs/>
                <w:sz w:val="24"/>
                <w:szCs w:val="24"/>
              </w:rPr>
              <w:t xml:space="preserve">2 </w:t>
            </w:r>
            <w:r w:rsidR="00CB0786" w:rsidRPr="00936E6C">
              <w:rPr>
                <w:rFonts w:ascii="Times New Roman" w:eastAsia="Calibri" w:hAnsi="Times New Roman" w:cs="Times New Roman"/>
                <w:bCs/>
                <w:sz w:val="24"/>
                <w:szCs w:val="24"/>
              </w:rPr>
              <w:t xml:space="preserve"> punkto</w:t>
            </w:r>
            <w:r w:rsidRPr="00936E6C">
              <w:rPr>
                <w:rFonts w:ascii="Times New Roman" w:eastAsia="Calibri" w:hAnsi="Times New Roman" w:cs="Times New Roman"/>
                <w:bCs/>
                <w:sz w:val="24"/>
                <w:szCs w:val="24"/>
              </w:rPr>
              <w:t xml:space="preserve"> pirmą</w:t>
            </w:r>
            <w:r w:rsidR="00936668" w:rsidRPr="00936E6C">
              <w:rPr>
                <w:rFonts w:ascii="Times New Roman" w:eastAsia="Calibri" w:hAnsi="Times New Roman" w:cs="Times New Roman"/>
                <w:bCs/>
                <w:sz w:val="24"/>
                <w:szCs w:val="24"/>
              </w:rPr>
              <w:t>ją</w:t>
            </w:r>
            <w:r w:rsidRPr="00936E6C">
              <w:rPr>
                <w:rFonts w:ascii="Times New Roman" w:eastAsia="Calibri" w:hAnsi="Times New Roman" w:cs="Times New Roman"/>
                <w:bCs/>
                <w:sz w:val="24"/>
                <w:szCs w:val="24"/>
              </w:rPr>
              <w:t xml:space="preserve"> pastraipą. Komentaras </w:t>
            </w:r>
            <w:r w:rsidR="00C45437" w:rsidRPr="00936E6C">
              <w:rPr>
                <w:rFonts w:ascii="Times New Roman" w:eastAsia="Calibri" w:hAnsi="Times New Roman" w:cs="Times New Roman"/>
                <w:bCs/>
                <w:sz w:val="24"/>
                <w:szCs w:val="24"/>
              </w:rPr>
              <w:t xml:space="preserve">pateiktas prie </w:t>
            </w:r>
            <w:r w:rsidRPr="00936E6C">
              <w:rPr>
                <w:rFonts w:ascii="Times New Roman" w:eastAsia="Calibri" w:hAnsi="Times New Roman" w:cs="Times New Roman"/>
                <w:bCs/>
                <w:sz w:val="24"/>
                <w:szCs w:val="24"/>
              </w:rPr>
              <w:t>1 punkt</w:t>
            </w:r>
            <w:r w:rsidR="00CB0786" w:rsidRPr="00936E6C">
              <w:rPr>
                <w:rFonts w:ascii="Times New Roman" w:eastAsia="Calibri" w:hAnsi="Times New Roman" w:cs="Times New Roman"/>
                <w:bCs/>
                <w:sz w:val="24"/>
                <w:szCs w:val="24"/>
              </w:rPr>
              <w:t>o</w:t>
            </w:r>
            <w:r w:rsidRPr="00936E6C">
              <w:rPr>
                <w:rFonts w:ascii="Times New Roman" w:eastAsia="Calibri" w:hAnsi="Times New Roman" w:cs="Times New Roman"/>
                <w:bCs/>
                <w:sz w:val="24"/>
                <w:szCs w:val="24"/>
              </w:rPr>
              <w:t>.</w:t>
            </w:r>
          </w:p>
          <w:p w14:paraId="205D48CD" w14:textId="70352F25" w:rsidR="004E1CD5" w:rsidRPr="00936E6C" w:rsidRDefault="004E1CD5" w:rsidP="00690950">
            <w:pPr>
              <w:tabs>
                <w:tab w:val="left" w:pos="317"/>
              </w:tabs>
              <w:spacing w:after="0" w:line="240" w:lineRule="auto"/>
              <w:jc w:val="both"/>
              <w:rPr>
                <w:rFonts w:ascii="Times New Roman" w:eastAsia="Calibri" w:hAnsi="Times New Roman" w:cs="Times New Roman"/>
                <w:bCs/>
                <w:sz w:val="24"/>
                <w:szCs w:val="24"/>
              </w:rPr>
            </w:pPr>
            <w:r w:rsidRPr="00936E6C">
              <w:rPr>
                <w:rFonts w:ascii="Times New Roman" w:eastAsia="Calibri" w:hAnsi="Times New Roman" w:cs="Times New Roman"/>
                <w:bCs/>
                <w:sz w:val="24"/>
                <w:szCs w:val="24"/>
              </w:rPr>
              <w:t>4.</w:t>
            </w:r>
            <w:r w:rsidRPr="00936E6C">
              <w:rPr>
                <w:rFonts w:ascii="Times New Roman" w:eastAsia="Calibri" w:hAnsi="Times New Roman" w:cs="Times New Roman"/>
                <w:bCs/>
                <w:sz w:val="24"/>
                <w:szCs w:val="24"/>
              </w:rPr>
              <w:tab/>
              <w:t xml:space="preserve">Dėl siūlymo keisti </w:t>
            </w:r>
            <w:r w:rsidR="009D20ED" w:rsidRPr="00936E6C">
              <w:rPr>
                <w:rFonts w:ascii="Times New Roman" w:eastAsia="Calibri" w:hAnsi="Times New Roman" w:cs="Times New Roman"/>
                <w:bCs/>
                <w:sz w:val="24"/>
                <w:szCs w:val="24"/>
              </w:rPr>
              <w:t xml:space="preserve">Kelių priežiūros ir plėtros programos finansavimo įstatymo </w:t>
            </w:r>
            <w:r w:rsidRPr="00936E6C">
              <w:rPr>
                <w:rFonts w:ascii="Times New Roman" w:eastAsia="Calibri" w:hAnsi="Times New Roman" w:cs="Times New Roman"/>
                <w:bCs/>
                <w:sz w:val="24"/>
                <w:szCs w:val="24"/>
              </w:rPr>
              <w:t xml:space="preserve">9 </w:t>
            </w:r>
            <w:r w:rsidR="00CB0786" w:rsidRPr="00936E6C">
              <w:rPr>
                <w:rFonts w:ascii="Times New Roman" w:eastAsia="Calibri" w:hAnsi="Times New Roman" w:cs="Times New Roman"/>
                <w:bCs/>
                <w:sz w:val="24"/>
                <w:szCs w:val="24"/>
              </w:rPr>
              <w:t xml:space="preserve"> straipsnio </w:t>
            </w:r>
            <w:r w:rsidRPr="00936E6C">
              <w:rPr>
                <w:rFonts w:ascii="Times New Roman" w:eastAsia="Calibri" w:hAnsi="Times New Roman" w:cs="Times New Roman"/>
                <w:bCs/>
                <w:sz w:val="24"/>
                <w:szCs w:val="24"/>
              </w:rPr>
              <w:t xml:space="preserve">2 </w:t>
            </w:r>
            <w:r w:rsidR="00CB0786" w:rsidRPr="00936E6C">
              <w:rPr>
                <w:rFonts w:ascii="Times New Roman" w:eastAsia="Calibri" w:hAnsi="Times New Roman" w:cs="Times New Roman"/>
                <w:bCs/>
                <w:sz w:val="24"/>
                <w:szCs w:val="24"/>
              </w:rPr>
              <w:t xml:space="preserve"> dalies </w:t>
            </w:r>
            <w:r w:rsidRPr="00936E6C">
              <w:rPr>
                <w:rFonts w:ascii="Times New Roman" w:eastAsia="Calibri" w:hAnsi="Times New Roman" w:cs="Times New Roman"/>
                <w:bCs/>
                <w:sz w:val="24"/>
                <w:szCs w:val="24"/>
              </w:rPr>
              <w:t xml:space="preserve">2 </w:t>
            </w:r>
            <w:r w:rsidR="00CB0786" w:rsidRPr="00936E6C">
              <w:rPr>
                <w:rFonts w:ascii="Times New Roman" w:eastAsia="Calibri" w:hAnsi="Times New Roman" w:cs="Times New Roman"/>
                <w:bCs/>
                <w:sz w:val="24"/>
                <w:szCs w:val="24"/>
              </w:rPr>
              <w:t xml:space="preserve"> punkto</w:t>
            </w:r>
            <w:r w:rsidRPr="00936E6C">
              <w:rPr>
                <w:rFonts w:ascii="Times New Roman" w:eastAsia="Calibri" w:hAnsi="Times New Roman" w:cs="Times New Roman"/>
                <w:bCs/>
                <w:sz w:val="24"/>
                <w:szCs w:val="24"/>
              </w:rPr>
              <w:t xml:space="preserve"> antrą</w:t>
            </w:r>
            <w:r w:rsidR="00936668" w:rsidRPr="00936E6C">
              <w:rPr>
                <w:rFonts w:ascii="Times New Roman" w:eastAsia="Calibri" w:hAnsi="Times New Roman" w:cs="Times New Roman"/>
                <w:bCs/>
                <w:sz w:val="24"/>
                <w:szCs w:val="24"/>
              </w:rPr>
              <w:t>ją</w:t>
            </w:r>
            <w:r w:rsidRPr="00936E6C">
              <w:rPr>
                <w:rFonts w:ascii="Times New Roman" w:eastAsia="Calibri" w:hAnsi="Times New Roman" w:cs="Times New Roman"/>
                <w:bCs/>
                <w:sz w:val="24"/>
                <w:szCs w:val="24"/>
              </w:rPr>
              <w:t xml:space="preserve"> pastraipą. Priklausomai nuo to</w:t>
            </w:r>
            <w:r w:rsidR="00936668" w:rsidRPr="00936E6C">
              <w:rPr>
                <w:rFonts w:ascii="Times New Roman" w:eastAsia="Calibri" w:hAnsi="Times New Roman" w:cs="Times New Roman"/>
                <w:bCs/>
                <w:sz w:val="24"/>
                <w:szCs w:val="24"/>
              </w:rPr>
              <w:t>,</w:t>
            </w:r>
            <w:r w:rsidRPr="00936E6C">
              <w:rPr>
                <w:rFonts w:ascii="Times New Roman" w:eastAsia="Calibri" w:hAnsi="Times New Roman" w:cs="Times New Roman"/>
                <w:bCs/>
                <w:sz w:val="24"/>
                <w:szCs w:val="24"/>
              </w:rPr>
              <w:t xml:space="preserve"> kuriuo metu atliekamos kadastrinių matavimų ir teisinės registracijos paslaugos, jos gali būti priskiriamos turtui įsigyti (ne mažiau kaip 58</w:t>
            </w:r>
            <w:r w:rsidR="00CB0786" w:rsidRPr="00936E6C">
              <w:rPr>
                <w:rFonts w:ascii="Times New Roman" w:eastAsia="Calibri" w:hAnsi="Times New Roman" w:cs="Times New Roman"/>
                <w:bCs/>
                <w:sz w:val="24"/>
                <w:szCs w:val="24"/>
              </w:rPr>
              <w:t xml:space="preserve"> proc.</w:t>
            </w:r>
            <w:r w:rsidRPr="00936E6C">
              <w:rPr>
                <w:rFonts w:ascii="Times New Roman" w:eastAsia="Calibri" w:hAnsi="Times New Roman" w:cs="Times New Roman"/>
                <w:bCs/>
                <w:sz w:val="24"/>
                <w:szCs w:val="24"/>
              </w:rPr>
              <w:t>) arba einamiesiems tikslams (ne daugiau kaip 42</w:t>
            </w:r>
            <w:r w:rsidR="00CB0786" w:rsidRPr="00936E6C">
              <w:rPr>
                <w:rFonts w:ascii="Times New Roman" w:eastAsia="Calibri" w:hAnsi="Times New Roman" w:cs="Times New Roman"/>
                <w:bCs/>
                <w:sz w:val="24"/>
                <w:szCs w:val="24"/>
              </w:rPr>
              <w:t xml:space="preserve"> proc.</w:t>
            </w:r>
            <w:r w:rsidRPr="00936E6C">
              <w:rPr>
                <w:rFonts w:ascii="Times New Roman" w:eastAsia="Calibri" w:hAnsi="Times New Roman" w:cs="Times New Roman"/>
                <w:bCs/>
                <w:sz w:val="24"/>
                <w:szCs w:val="24"/>
              </w:rPr>
              <w:t>), jeigu minėtos paslaugos atliekamos įgyvendinant kokį</w:t>
            </w:r>
            <w:r w:rsidR="00936668" w:rsidRPr="00936E6C">
              <w:rPr>
                <w:rFonts w:ascii="Times New Roman" w:eastAsia="Calibri" w:hAnsi="Times New Roman" w:cs="Times New Roman"/>
                <w:bCs/>
                <w:sz w:val="24"/>
                <w:szCs w:val="24"/>
              </w:rPr>
              <w:t xml:space="preserve"> nors</w:t>
            </w:r>
            <w:r w:rsidRPr="00936E6C">
              <w:rPr>
                <w:rFonts w:ascii="Times New Roman" w:eastAsia="Calibri" w:hAnsi="Times New Roman" w:cs="Times New Roman"/>
                <w:bCs/>
                <w:sz w:val="24"/>
                <w:szCs w:val="24"/>
              </w:rPr>
              <w:t xml:space="preserve"> projektą, tai tokiu atveju šios paslaugos yra dalis projekto vertės ir didina statinio vertę. Šiuo metu, kai savivaldybės masiškai rengia vietinės reikšmės kelių kadastrines bylas ir atlieka šių statinių teisinę registraciją, bet jokių statinių gerinimo </w:t>
            </w:r>
            <w:r w:rsidRPr="00936E6C">
              <w:rPr>
                <w:rFonts w:ascii="Times New Roman" w:eastAsia="Calibri" w:hAnsi="Times New Roman" w:cs="Times New Roman"/>
                <w:bCs/>
                <w:sz w:val="24"/>
                <w:szCs w:val="24"/>
              </w:rPr>
              <w:lastRenderedPageBreak/>
              <w:t xml:space="preserve">(vertę didinančių) darbų neatlieka, tokios paslaugos priskiriamos einamiesiems tikslams. </w:t>
            </w:r>
            <w:r w:rsidR="009D20ED" w:rsidRPr="00936E6C">
              <w:rPr>
                <w:rFonts w:ascii="Times New Roman" w:eastAsia="Calibri" w:hAnsi="Times New Roman" w:cs="Times New Roman"/>
                <w:bCs/>
                <w:sz w:val="24"/>
                <w:szCs w:val="24"/>
              </w:rPr>
              <w:t xml:space="preserve"> Kelių priežiūros ir plėtros programos finansavimo įstatymo </w:t>
            </w:r>
            <w:r w:rsidRPr="00936E6C">
              <w:rPr>
                <w:rFonts w:ascii="Times New Roman" w:eastAsia="Calibri" w:hAnsi="Times New Roman" w:cs="Times New Roman"/>
                <w:bCs/>
                <w:sz w:val="24"/>
                <w:szCs w:val="24"/>
              </w:rPr>
              <w:t xml:space="preserve">keitimas </w:t>
            </w:r>
            <w:r w:rsidR="007F7AF3" w:rsidRPr="00936E6C">
              <w:rPr>
                <w:rFonts w:ascii="Times New Roman" w:eastAsia="Calibri" w:hAnsi="Times New Roman" w:cs="Times New Roman"/>
                <w:bCs/>
                <w:sz w:val="24"/>
                <w:szCs w:val="24"/>
              </w:rPr>
              <w:t xml:space="preserve">tokiu atveju </w:t>
            </w:r>
            <w:r w:rsidRPr="00936E6C">
              <w:rPr>
                <w:rFonts w:ascii="Times New Roman" w:eastAsia="Calibri" w:hAnsi="Times New Roman" w:cs="Times New Roman"/>
                <w:bCs/>
                <w:sz w:val="24"/>
                <w:szCs w:val="24"/>
              </w:rPr>
              <w:t xml:space="preserve">klaidina, nes </w:t>
            </w:r>
            <w:r w:rsidR="009D20ED" w:rsidRPr="00936E6C">
              <w:rPr>
                <w:rFonts w:ascii="Times New Roman" w:eastAsia="Calibri" w:hAnsi="Times New Roman" w:cs="Times New Roman"/>
                <w:bCs/>
                <w:sz w:val="24"/>
                <w:szCs w:val="24"/>
              </w:rPr>
              <w:t>jame</w:t>
            </w:r>
            <w:r w:rsidR="00177ADF" w:rsidRPr="00936E6C">
              <w:rPr>
                <w:rFonts w:ascii="Times New Roman" w:eastAsia="Calibri" w:hAnsi="Times New Roman" w:cs="Times New Roman"/>
                <w:bCs/>
                <w:sz w:val="24"/>
                <w:szCs w:val="24"/>
              </w:rPr>
              <w:t xml:space="preserve"> </w:t>
            </w:r>
            <w:r w:rsidRPr="00936E6C">
              <w:rPr>
                <w:rFonts w:ascii="Times New Roman" w:eastAsia="Calibri" w:hAnsi="Times New Roman" w:cs="Times New Roman"/>
                <w:bCs/>
                <w:sz w:val="24"/>
                <w:szCs w:val="24"/>
              </w:rPr>
              <w:t>nustat</w:t>
            </w:r>
            <w:r w:rsidR="00177ADF" w:rsidRPr="00936E6C">
              <w:rPr>
                <w:rFonts w:ascii="Times New Roman" w:eastAsia="Calibri" w:hAnsi="Times New Roman" w:cs="Times New Roman"/>
                <w:bCs/>
                <w:sz w:val="24"/>
                <w:szCs w:val="24"/>
              </w:rPr>
              <w:t>yta</w:t>
            </w:r>
            <w:r w:rsidRPr="00936E6C">
              <w:rPr>
                <w:rFonts w:ascii="Times New Roman" w:eastAsia="Calibri" w:hAnsi="Times New Roman" w:cs="Times New Roman"/>
                <w:bCs/>
                <w:sz w:val="24"/>
                <w:szCs w:val="24"/>
              </w:rPr>
              <w:t>, kad 58</w:t>
            </w:r>
            <w:r w:rsidR="00177ADF" w:rsidRPr="00936E6C">
              <w:rPr>
                <w:rFonts w:ascii="Times New Roman" w:eastAsia="Calibri" w:hAnsi="Times New Roman" w:cs="Times New Roman"/>
                <w:bCs/>
                <w:sz w:val="24"/>
                <w:szCs w:val="24"/>
              </w:rPr>
              <w:t xml:space="preserve"> proc. </w:t>
            </w:r>
            <w:r w:rsidRPr="00936E6C">
              <w:rPr>
                <w:rFonts w:ascii="Times New Roman" w:eastAsia="Calibri" w:hAnsi="Times New Roman" w:cs="Times New Roman"/>
                <w:bCs/>
                <w:sz w:val="24"/>
                <w:szCs w:val="24"/>
              </w:rPr>
              <w:t>naudojami turtui didinti – vietinės reikšmės keliams tiesti, rekonstruoti ir kapitališkai remontuoti.</w:t>
            </w:r>
          </w:p>
        </w:tc>
      </w:tr>
      <w:tr w:rsidR="004E4C2E" w:rsidRPr="00936E6C" w14:paraId="68A4FA45" w14:textId="77777777" w:rsidTr="00D954BC">
        <w:tc>
          <w:tcPr>
            <w:tcW w:w="1985" w:type="dxa"/>
          </w:tcPr>
          <w:p w14:paraId="43F70D5D" w14:textId="6992EC4E" w:rsidR="004E4C2E" w:rsidRPr="00936E6C" w:rsidRDefault="00F14C89" w:rsidP="00690950">
            <w:pPr>
              <w:spacing w:after="0" w:line="240" w:lineRule="auto"/>
              <w:rPr>
                <w:rFonts w:ascii="Times New Roman" w:hAnsi="Times New Roman" w:cs="Times New Roman"/>
                <w:sz w:val="24"/>
                <w:szCs w:val="24"/>
              </w:rPr>
            </w:pPr>
            <w:r w:rsidRPr="00936E6C">
              <w:rPr>
                <w:rFonts w:ascii="Times New Roman" w:hAnsi="Times New Roman" w:cs="Times New Roman"/>
                <w:sz w:val="24"/>
                <w:szCs w:val="24"/>
              </w:rPr>
              <w:lastRenderedPageBreak/>
              <w:t xml:space="preserve">Lietuvos Respublikos aplinkos ministerijos </w:t>
            </w:r>
            <w:r w:rsidR="007F7AF3" w:rsidRPr="00936E6C">
              <w:t xml:space="preserve"> </w:t>
            </w:r>
            <w:r w:rsidR="007F7AF3" w:rsidRPr="00936E6C">
              <w:rPr>
                <w:rFonts w:ascii="Times New Roman" w:hAnsi="Times New Roman" w:cs="Times New Roman"/>
                <w:sz w:val="24"/>
                <w:szCs w:val="24"/>
              </w:rPr>
              <w:t>2021 m. rugsėjo 8 d. raštas Nr. (14)-D8(E)-5714</w:t>
            </w:r>
          </w:p>
        </w:tc>
        <w:tc>
          <w:tcPr>
            <w:tcW w:w="8500" w:type="dxa"/>
          </w:tcPr>
          <w:p w14:paraId="0AB6DE15" w14:textId="2472863A" w:rsidR="00F14C89" w:rsidRPr="00936E6C" w:rsidRDefault="00F14C89" w:rsidP="00690950">
            <w:pPr>
              <w:pStyle w:val="xmsonormal"/>
              <w:shd w:val="clear" w:color="auto" w:fill="FFFFFF"/>
              <w:spacing w:before="0" w:beforeAutospacing="0" w:after="0" w:afterAutospacing="0"/>
              <w:jc w:val="both"/>
              <w:rPr>
                <w:color w:val="201F1E"/>
                <w:bdr w:val="none" w:sz="0" w:space="0" w:color="auto" w:frame="1"/>
              </w:rPr>
            </w:pPr>
            <w:r w:rsidRPr="00936E6C">
              <w:t>Valstybinių miškų urėdija (toliau – VMU)</w:t>
            </w:r>
            <w:r w:rsidRPr="00936E6C">
              <w:rPr>
                <w:color w:val="201F1E"/>
                <w:bdr w:val="none" w:sz="0" w:space="0" w:color="auto" w:frame="1"/>
              </w:rPr>
              <w:t xml:space="preserve">, įgyvendindama Miškų įstatymo 5 straipsnio 5 dalies 3 punktą, Lietuvos Respublikos Vyriausybės nustatyta tvarka organizuoja ir (ar) įgyvendina bendrą miško kelių priežiūrą ir taisymą (remontą) visų nuosavybės formų miškuose. Lietuvoje yra 37357 km miško kelių, atitinkančių Miškų įstatymo 5 straipsnio 5 dalies 3 punkto nuostatą. VMU gaunamais asignavimais kasmet prižiūri ir taiso (remontuoja) nuo 700 iki 1200 km miško kelių, kurių apie 60 proc. yra privačių miško žemės savininkų valdose. Skiriamo asignavimo </w:t>
            </w:r>
            <w:r w:rsidRPr="00936E6C">
              <w:rPr>
                <w:i/>
                <w:color w:val="201F1E"/>
                <w:bdr w:val="none" w:sz="0" w:space="0" w:color="auto" w:frame="1"/>
              </w:rPr>
              <w:t>(VMU valstybės biudžeto asignavimus gauna a</w:t>
            </w:r>
            <w:r w:rsidRPr="00936E6C">
              <w:rPr>
                <w:i/>
                <w:color w:val="000000"/>
                <w:bdr w:val="none" w:sz="0" w:space="0" w:color="auto" w:frame="1"/>
              </w:rPr>
              <w:t>tlikdama miškų ūkio valstybinio valdymo funkcijas</w:t>
            </w:r>
            <w:r w:rsidRPr="00936E6C">
              <w:rPr>
                <w:i/>
                <w:color w:val="201F1E"/>
                <w:bdr w:val="none" w:sz="0" w:space="0" w:color="auto" w:frame="1"/>
              </w:rPr>
              <w:t xml:space="preserve"> vadovaujantis 2012 m. gruodžio 12 d. aplinkos ministro įsakymu Nr. D1-1082 „Dėl bendrųjų miškų ūkio reikmių finansavimo programos administravimo“ patvirtinto Bendrųjų miškų ūkio reikmių finansavimo programos lėšų planavimo, skyrimo ir naudojimo tvarkos aprašo 12 punktu. Skiriamos lėšos (asignavimai) naudojamos eilei reikmių ir viena iš jų </w:t>
            </w:r>
            <w:r w:rsidRPr="00936E6C">
              <w:rPr>
                <w:i/>
              </w:rPr>
              <w:t>–</w:t>
            </w:r>
            <w:r w:rsidRPr="00936E6C">
              <w:rPr>
                <w:i/>
                <w:color w:val="201F1E"/>
                <w:bdr w:val="none" w:sz="0" w:space="0" w:color="auto" w:frame="1"/>
              </w:rPr>
              <w:t xml:space="preserve"> miško kelių ir susijusių miško žemės sausinimo sistemų įrenginių </w:t>
            </w:r>
            <w:r w:rsidRPr="00936E6C">
              <w:rPr>
                <w:bCs/>
                <w:i/>
                <w:color w:val="201F1E"/>
                <w:bdr w:val="none" w:sz="0" w:space="0" w:color="auto" w:frame="1"/>
              </w:rPr>
              <w:t>priežiūrai ir taisymui (remontui</w:t>
            </w:r>
            <w:r w:rsidRPr="00936E6C">
              <w:rPr>
                <w:i/>
                <w:color w:val="201F1E"/>
                <w:bdr w:val="none" w:sz="0" w:space="0" w:color="auto" w:frame="1"/>
              </w:rPr>
              <w:t>)</w:t>
            </w:r>
            <w:r w:rsidRPr="00936E6C">
              <w:rPr>
                <w:color w:val="201F1E"/>
                <w:bdr w:val="none" w:sz="0" w:space="0" w:color="auto" w:frame="1"/>
              </w:rPr>
              <w:t>) neužtenka VMU prižiūrimam ir taisomam Lietuvos miško kelių tinklui.</w:t>
            </w:r>
          </w:p>
          <w:p w14:paraId="5E48A2F6" w14:textId="77777777" w:rsidR="00F14C89" w:rsidRPr="00936E6C" w:rsidRDefault="00F14C89" w:rsidP="00690950">
            <w:pPr>
              <w:shd w:val="clear" w:color="auto" w:fill="FFFFFF"/>
              <w:spacing w:line="240" w:lineRule="auto"/>
              <w:jc w:val="both"/>
              <w:rPr>
                <w:rFonts w:ascii="Times New Roman" w:eastAsia="Times New Roman" w:hAnsi="Times New Roman" w:cs="Times New Roman"/>
                <w:color w:val="201F1E"/>
                <w:sz w:val="24"/>
                <w:szCs w:val="24"/>
                <w:lang w:eastAsia="lt-LT"/>
              </w:rPr>
            </w:pPr>
            <w:r w:rsidRPr="00936E6C">
              <w:rPr>
                <w:rFonts w:ascii="Times New Roman" w:eastAsia="Times New Roman" w:hAnsi="Times New Roman" w:cs="Times New Roman"/>
                <w:color w:val="201F1E"/>
                <w:sz w:val="24"/>
                <w:szCs w:val="24"/>
                <w:bdr w:val="none" w:sz="0" w:space="0" w:color="auto" w:frame="1"/>
                <w:lang w:eastAsia="lt-LT"/>
              </w:rPr>
              <w:t xml:space="preserve">VMU Kelių priežiūros ir plėtros programos asignavimai skiriami investicijoms į miško kelių </w:t>
            </w:r>
            <w:r w:rsidRPr="00936E6C">
              <w:rPr>
                <w:rFonts w:ascii="Times New Roman" w:eastAsia="Times New Roman" w:hAnsi="Times New Roman" w:cs="Times New Roman"/>
                <w:bCs/>
                <w:color w:val="201F1E"/>
                <w:sz w:val="24"/>
                <w:szCs w:val="24"/>
                <w:bdr w:val="none" w:sz="0" w:space="0" w:color="auto" w:frame="1"/>
                <w:lang w:eastAsia="lt-LT"/>
              </w:rPr>
              <w:t>kapitalinio remonto, rekonstravimo ir tiesimo (statybos</w:t>
            </w:r>
            <w:r w:rsidRPr="00936E6C">
              <w:rPr>
                <w:rFonts w:ascii="Times New Roman" w:eastAsia="Times New Roman" w:hAnsi="Times New Roman" w:cs="Times New Roman"/>
                <w:color w:val="201F1E"/>
                <w:sz w:val="24"/>
                <w:szCs w:val="24"/>
                <w:bdr w:val="none" w:sz="0" w:space="0" w:color="auto" w:frame="1"/>
                <w:lang w:eastAsia="lt-LT"/>
              </w:rPr>
              <w:t>) darbų finansavimą.</w:t>
            </w:r>
            <w:r w:rsidRPr="00936E6C">
              <w:rPr>
                <w:rFonts w:ascii="Times New Roman" w:eastAsia="Times New Roman" w:hAnsi="Times New Roman" w:cs="Times New Roman"/>
                <w:color w:val="201F1E"/>
                <w:sz w:val="24"/>
                <w:szCs w:val="24"/>
                <w:lang w:eastAsia="lt-LT"/>
              </w:rPr>
              <w:t xml:space="preserve"> </w:t>
            </w:r>
            <w:r w:rsidRPr="00936E6C">
              <w:rPr>
                <w:rFonts w:ascii="Times New Roman" w:eastAsia="Times New Roman" w:hAnsi="Times New Roman" w:cs="Times New Roman"/>
                <w:color w:val="201F1E"/>
                <w:sz w:val="24"/>
                <w:szCs w:val="24"/>
                <w:bdr w:val="none" w:sz="0" w:space="0" w:color="auto" w:frame="1"/>
                <w:lang w:eastAsia="lt-LT"/>
              </w:rPr>
              <w:t xml:space="preserve">Šių lėšų paskirstymas VMU regioniniams padaliniams yra aiškus ir reglamentuotas VMU direktoriaus patvirtinta tvarka. VMU lėšas regioniniams padaliniams paskirsto vadovaudamasi šiais kriterijais: </w:t>
            </w:r>
            <w:r w:rsidRPr="00936E6C">
              <w:rPr>
                <w:rFonts w:ascii="Times New Roman" w:eastAsia="Times New Roman" w:hAnsi="Times New Roman" w:cs="Times New Roman"/>
                <w:i/>
                <w:color w:val="201F1E"/>
                <w:sz w:val="24"/>
                <w:szCs w:val="24"/>
                <w:bdr w:val="none" w:sz="0" w:space="0" w:color="auto" w:frame="1"/>
                <w:lang w:eastAsia="lt-LT"/>
              </w:rPr>
              <w:t>50 proc. šių lėšų, apskaičiuotų pagal Kelių priežiūros ir plėtros programos finansavimo einamųjų metų pirminės sąmatos lėšų dydį, paskirstoma ankstesnių metų vykdomų objektų užbaigimui ir VMU turto įsigijimo ir skolinimosi plane patvirtintų objektų įgyvendinimui;</w:t>
            </w:r>
            <w:r w:rsidRPr="00936E6C">
              <w:rPr>
                <w:rFonts w:ascii="Times New Roman" w:eastAsia="Times New Roman" w:hAnsi="Times New Roman" w:cs="Times New Roman"/>
                <w:i/>
                <w:color w:val="201F1E"/>
                <w:sz w:val="24"/>
                <w:szCs w:val="24"/>
                <w:lang w:eastAsia="lt-LT"/>
              </w:rPr>
              <w:t xml:space="preserve"> </w:t>
            </w:r>
            <w:r w:rsidRPr="00936E6C">
              <w:rPr>
                <w:rFonts w:ascii="Times New Roman" w:eastAsia="Times New Roman" w:hAnsi="Times New Roman" w:cs="Times New Roman"/>
                <w:i/>
                <w:color w:val="201F1E"/>
                <w:sz w:val="24"/>
                <w:szCs w:val="24"/>
                <w:bdr w:val="none" w:sz="0" w:space="0" w:color="auto" w:frame="1"/>
                <w:lang w:eastAsia="lt-LT"/>
              </w:rPr>
              <w:t xml:space="preserve">10 proc. </w:t>
            </w:r>
            <w:r w:rsidRPr="00936E6C">
              <w:rPr>
                <w:rFonts w:ascii="Times New Roman" w:eastAsia="Times New Roman" w:hAnsi="Times New Roman" w:cs="Times New Roman"/>
                <w:i/>
                <w:sz w:val="24"/>
                <w:szCs w:val="24"/>
                <w:lang w:eastAsia="lt-LT"/>
              </w:rPr>
              <w:t>–</w:t>
            </w:r>
            <w:r w:rsidRPr="00936E6C">
              <w:rPr>
                <w:rFonts w:ascii="Times New Roman" w:eastAsia="Times New Roman" w:hAnsi="Times New Roman" w:cs="Times New Roman"/>
                <w:i/>
                <w:color w:val="201F1E"/>
                <w:sz w:val="24"/>
                <w:szCs w:val="24"/>
                <w:bdr w:val="none" w:sz="0" w:space="0" w:color="auto" w:frame="1"/>
                <w:lang w:eastAsia="lt-LT"/>
              </w:rPr>
              <w:t xml:space="preserve"> proporcingai paskirstoma regioniniams padaliniams pagal jų veiklos teritorijoje valstybiniuose miškuose esančių miško kelių ilgį;</w:t>
            </w:r>
            <w:r w:rsidRPr="00936E6C">
              <w:rPr>
                <w:rFonts w:ascii="Times New Roman" w:eastAsia="Times New Roman" w:hAnsi="Times New Roman" w:cs="Times New Roman"/>
                <w:i/>
                <w:color w:val="201F1E"/>
                <w:sz w:val="24"/>
                <w:szCs w:val="24"/>
                <w:lang w:eastAsia="lt-LT"/>
              </w:rPr>
              <w:t xml:space="preserve"> </w:t>
            </w:r>
            <w:r w:rsidRPr="00936E6C">
              <w:rPr>
                <w:rFonts w:ascii="Times New Roman" w:eastAsia="Times New Roman" w:hAnsi="Times New Roman" w:cs="Times New Roman"/>
                <w:i/>
                <w:color w:val="201F1E"/>
                <w:sz w:val="24"/>
                <w:szCs w:val="24"/>
                <w:bdr w:val="none" w:sz="0" w:space="0" w:color="auto" w:frame="1"/>
                <w:lang w:eastAsia="lt-LT"/>
              </w:rPr>
              <w:t xml:space="preserve">30 proc. </w:t>
            </w:r>
            <w:r w:rsidRPr="00936E6C">
              <w:rPr>
                <w:rFonts w:ascii="Times New Roman" w:eastAsia="Times New Roman" w:hAnsi="Times New Roman" w:cs="Times New Roman"/>
                <w:i/>
                <w:sz w:val="24"/>
                <w:szCs w:val="24"/>
                <w:lang w:eastAsia="lt-LT"/>
              </w:rPr>
              <w:t xml:space="preserve">– </w:t>
            </w:r>
            <w:r w:rsidRPr="00936E6C">
              <w:rPr>
                <w:rFonts w:ascii="Times New Roman" w:eastAsia="Times New Roman" w:hAnsi="Times New Roman" w:cs="Times New Roman"/>
                <w:i/>
                <w:color w:val="201F1E"/>
                <w:sz w:val="24"/>
                <w:szCs w:val="24"/>
                <w:bdr w:val="none" w:sz="0" w:space="0" w:color="auto" w:frame="1"/>
                <w:lang w:eastAsia="lt-LT"/>
              </w:rPr>
              <w:t>regioniniams padaliniams pagal jų veiklos teritorijoje esančių valstybinių miškų naudojimo apimtis;</w:t>
            </w:r>
            <w:r w:rsidRPr="00936E6C">
              <w:rPr>
                <w:rFonts w:ascii="Times New Roman" w:eastAsia="Times New Roman" w:hAnsi="Times New Roman" w:cs="Times New Roman"/>
                <w:i/>
                <w:color w:val="201F1E"/>
                <w:sz w:val="24"/>
                <w:szCs w:val="24"/>
                <w:lang w:eastAsia="lt-LT"/>
              </w:rPr>
              <w:t xml:space="preserve"> </w:t>
            </w:r>
            <w:r w:rsidRPr="00936E6C">
              <w:rPr>
                <w:rFonts w:ascii="Times New Roman" w:eastAsia="Times New Roman" w:hAnsi="Times New Roman" w:cs="Times New Roman"/>
                <w:i/>
                <w:color w:val="201F1E"/>
                <w:sz w:val="24"/>
                <w:szCs w:val="24"/>
                <w:bdr w:val="none" w:sz="0" w:space="0" w:color="auto" w:frame="1"/>
                <w:lang w:eastAsia="lt-LT"/>
              </w:rPr>
              <w:t xml:space="preserve">10 proc. </w:t>
            </w:r>
            <w:r w:rsidRPr="00936E6C">
              <w:rPr>
                <w:rFonts w:ascii="Times New Roman" w:eastAsia="Times New Roman" w:hAnsi="Times New Roman" w:cs="Times New Roman"/>
                <w:i/>
                <w:sz w:val="24"/>
                <w:szCs w:val="24"/>
                <w:lang w:eastAsia="lt-LT"/>
              </w:rPr>
              <w:t xml:space="preserve">– </w:t>
            </w:r>
            <w:r w:rsidRPr="00936E6C">
              <w:rPr>
                <w:rFonts w:ascii="Times New Roman" w:eastAsia="Times New Roman" w:hAnsi="Times New Roman" w:cs="Times New Roman"/>
                <w:i/>
                <w:color w:val="201F1E"/>
                <w:sz w:val="24"/>
                <w:szCs w:val="24"/>
                <w:bdr w:val="none" w:sz="0" w:space="0" w:color="auto" w:frame="1"/>
                <w:lang w:eastAsia="lt-LT"/>
              </w:rPr>
              <w:t xml:space="preserve">regioniniams padaliniams pagal jų veiklos teritorijoje esančių (valstybinių miškų) užmirkusių (L,U ir P </w:t>
            </w:r>
            <w:proofErr w:type="spellStart"/>
            <w:r w:rsidRPr="00936E6C">
              <w:rPr>
                <w:rFonts w:ascii="Times New Roman" w:eastAsia="Times New Roman" w:hAnsi="Times New Roman" w:cs="Times New Roman"/>
                <w:i/>
                <w:color w:val="201F1E"/>
                <w:sz w:val="24"/>
                <w:szCs w:val="24"/>
                <w:bdr w:val="none" w:sz="0" w:space="0" w:color="auto" w:frame="1"/>
                <w:lang w:eastAsia="lt-LT"/>
              </w:rPr>
              <w:t>hidrotopo</w:t>
            </w:r>
            <w:proofErr w:type="spellEnd"/>
            <w:r w:rsidRPr="00936E6C">
              <w:rPr>
                <w:rFonts w:ascii="Times New Roman" w:eastAsia="Times New Roman" w:hAnsi="Times New Roman" w:cs="Times New Roman"/>
                <w:i/>
                <w:color w:val="201F1E"/>
                <w:sz w:val="24"/>
                <w:szCs w:val="24"/>
                <w:bdr w:val="none" w:sz="0" w:space="0" w:color="auto" w:frame="1"/>
                <w:lang w:eastAsia="lt-LT"/>
              </w:rPr>
              <w:t xml:space="preserve">) miško </w:t>
            </w:r>
            <w:proofErr w:type="spellStart"/>
            <w:r w:rsidRPr="00936E6C">
              <w:rPr>
                <w:rFonts w:ascii="Times New Roman" w:eastAsia="Times New Roman" w:hAnsi="Times New Roman" w:cs="Times New Roman"/>
                <w:i/>
                <w:color w:val="201F1E"/>
                <w:sz w:val="24"/>
                <w:szCs w:val="24"/>
                <w:bdr w:val="none" w:sz="0" w:space="0" w:color="auto" w:frame="1"/>
                <w:lang w:eastAsia="lt-LT"/>
              </w:rPr>
              <w:t>augaviečių</w:t>
            </w:r>
            <w:proofErr w:type="spellEnd"/>
            <w:r w:rsidRPr="00936E6C">
              <w:rPr>
                <w:rFonts w:ascii="Times New Roman" w:eastAsia="Times New Roman" w:hAnsi="Times New Roman" w:cs="Times New Roman"/>
                <w:i/>
                <w:color w:val="201F1E"/>
                <w:sz w:val="24"/>
                <w:szCs w:val="24"/>
                <w:bdr w:val="none" w:sz="0" w:space="0" w:color="auto" w:frame="1"/>
                <w:lang w:eastAsia="lt-LT"/>
              </w:rPr>
              <w:t xml:space="preserve"> plotą</w:t>
            </w:r>
            <w:r w:rsidRPr="00936E6C">
              <w:rPr>
                <w:rFonts w:ascii="Times New Roman" w:eastAsia="Times New Roman" w:hAnsi="Times New Roman" w:cs="Times New Roman"/>
                <w:color w:val="201F1E"/>
                <w:sz w:val="24"/>
                <w:szCs w:val="24"/>
                <w:bdr w:val="none" w:sz="0" w:space="0" w:color="auto" w:frame="1"/>
                <w:lang w:eastAsia="lt-LT"/>
              </w:rPr>
              <w:t>.</w:t>
            </w:r>
          </w:p>
          <w:p w14:paraId="23A0B0C1" w14:textId="77777777" w:rsidR="00F14C89" w:rsidRPr="00936E6C" w:rsidRDefault="00F14C89" w:rsidP="00690950">
            <w:pPr>
              <w:shd w:val="clear" w:color="auto" w:fill="FFFFFF"/>
              <w:spacing w:line="240" w:lineRule="auto"/>
              <w:jc w:val="both"/>
              <w:rPr>
                <w:rFonts w:ascii="Times New Roman" w:eastAsia="Times New Roman" w:hAnsi="Times New Roman" w:cs="Times New Roman"/>
                <w:color w:val="201F1E"/>
                <w:sz w:val="24"/>
                <w:szCs w:val="24"/>
                <w:lang w:eastAsia="lt-LT"/>
              </w:rPr>
            </w:pPr>
            <w:r w:rsidRPr="00936E6C">
              <w:rPr>
                <w:rFonts w:ascii="Times New Roman" w:eastAsia="Times New Roman" w:hAnsi="Times New Roman" w:cs="Times New Roman"/>
                <w:color w:val="201F1E"/>
                <w:sz w:val="24"/>
                <w:szCs w:val="24"/>
                <w:bdr w:val="none" w:sz="0" w:space="0" w:color="auto" w:frame="1"/>
                <w:lang w:eastAsia="lt-LT"/>
              </w:rPr>
              <w:lastRenderedPageBreak/>
              <w:t>Kelių priežiūros ir plėtros programos asignavimų panaikinimas VMU turės neigiamą įtaką VMU biudžetui ir miško kelių būklei. VMU investicijoms turės skirti papildomas lėšas taip sumažindama mokamus mokesčius į valstybės biudžetą. Bus mažiau kapitališkai suremontuota, rekonstruota ir nutiesta naujų miško kelių, kuriais be apribojimų naudojasi visi Lietuvos fiziniai ir juridiniai asmenys.</w:t>
            </w:r>
          </w:p>
          <w:p w14:paraId="77C87A9B" w14:textId="1FD0C0C9" w:rsidR="004E4C2E" w:rsidRPr="00936E6C" w:rsidRDefault="00F14C89" w:rsidP="00690950">
            <w:pPr>
              <w:pStyle w:val="Pagrindinistekstas"/>
              <w:jc w:val="both"/>
            </w:pPr>
            <w:r w:rsidRPr="00936E6C">
              <w:rPr>
                <w:color w:val="201F1E"/>
              </w:rPr>
              <w:t xml:space="preserve">Atsižvelgdami į aukščiau išdėstytą informaciją, manome, kad valstybės įmonių finansavimas iš vietinės reikšmės keliams skiriamų </w:t>
            </w:r>
            <w:r w:rsidRPr="00936E6C">
              <w:t>Kelių priežiūros ir plėtros programos</w:t>
            </w:r>
            <w:r w:rsidRPr="00936E6C">
              <w:rPr>
                <w:color w:val="201F1E"/>
              </w:rPr>
              <w:t xml:space="preserve"> finansavimo lėšų yra reikalingas ir Projekte turi būti numatytas.</w:t>
            </w:r>
          </w:p>
        </w:tc>
        <w:tc>
          <w:tcPr>
            <w:tcW w:w="4967" w:type="dxa"/>
          </w:tcPr>
          <w:p w14:paraId="6181DCCB" w14:textId="77777777" w:rsidR="00F14C89" w:rsidRPr="00936E6C" w:rsidRDefault="00F14C89" w:rsidP="00690950">
            <w:pPr>
              <w:tabs>
                <w:tab w:val="left" w:pos="317"/>
              </w:tabs>
              <w:spacing w:after="0" w:line="240" w:lineRule="auto"/>
              <w:jc w:val="both"/>
              <w:rPr>
                <w:rFonts w:ascii="Times New Roman" w:eastAsia="Calibri" w:hAnsi="Times New Roman" w:cs="Times New Roman"/>
                <w:b/>
                <w:sz w:val="24"/>
                <w:szCs w:val="24"/>
              </w:rPr>
            </w:pPr>
            <w:r w:rsidRPr="00936E6C">
              <w:rPr>
                <w:rFonts w:ascii="Times New Roman" w:eastAsia="Calibri" w:hAnsi="Times New Roman" w:cs="Times New Roman"/>
                <w:b/>
                <w:sz w:val="24"/>
                <w:szCs w:val="24"/>
              </w:rPr>
              <w:lastRenderedPageBreak/>
              <w:t xml:space="preserve">Atsižvelgta iš dalies. </w:t>
            </w:r>
          </w:p>
          <w:p w14:paraId="611473A2" w14:textId="7D337FD6" w:rsidR="004E4C2E" w:rsidRPr="00936E6C" w:rsidRDefault="009D20ED" w:rsidP="00690950">
            <w:pPr>
              <w:tabs>
                <w:tab w:val="left" w:pos="317"/>
              </w:tabs>
              <w:spacing w:after="0" w:line="240" w:lineRule="auto"/>
              <w:jc w:val="both"/>
              <w:rPr>
                <w:rFonts w:ascii="Times New Roman" w:eastAsia="Calibri" w:hAnsi="Times New Roman" w:cs="Times New Roman"/>
                <w:bCs/>
                <w:sz w:val="24"/>
                <w:szCs w:val="24"/>
              </w:rPr>
            </w:pPr>
            <w:r w:rsidRPr="00936E6C">
              <w:rPr>
                <w:rFonts w:ascii="Times New Roman" w:eastAsia="Calibri" w:hAnsi="Times New Roman" w:cs="Times New Roman"/>
                <w:bCs/>
                <w:sz w:val="24"/>
                <w:szCs w:val="24"/>
              </w:rPr>
              <w:t>Susisiekimo ministerija  sutinka su Aplinkos ministerijos argumentais</w:t>
            </w:r>
            <w:r w:rsidR="002402FB">
              <w:rPr>
                <w:rFonts w:ascii="Times New Roman" w:eastAsia="Calibri" w:hAnsi="Times New Roman" w:cs="Times New Roman"/>
                <w:bCs/>
                <w:sz w:val="24"/>
                <w:szCs w:val="24"/>
              </w:rPr>
              <w:t xml:space="preserve">. </w:t>
            </w:r>
            <w:r w:rsidR="00615DE8">
              <w:rPr>
                <w:rFonts w:ascii="Times New Roman" w:eastAsia="Calibri" w:hAnsi="Times New Roman" w:cs="Times New Roman"/>
                <w:bCs/>
                <w:sz w:val="24"/>
                <w:szCs w:val="24"/>
              </w:rPr>
              <w:t>Susisiekimo ministerija siūlo</w:t>
            </w:r>
            <w:r w:rsidRPr="00936E6C">
              <w:rPr>
                <w:rFonts w:ascii="Times New Roman" w:eastAsia="Calibri" w:hAnsi="Times New Roman" w:cs="Times New Roman"/>
                <w:bCs/>
                <w:sz w:val="24"/>
                <w:szCs w:val="24"/>
              </w:rPr>
              <w:t xml:space="preserve"> sumažinti Programos finansavimo lėšų asignavimus Susisiekimo ministerijai, dalį jų perkeliant Aplinkos ministerijai</w:t>
            </w:r>
            <w:r w:rsidR="00615DE8">
              <w:rPr>
                <w:rFonts w:ascii="Times New Roman" w:eastAsia="Calibri" w:hAnsi="Times New Roman" w:cs="Times New Roman"/>
                <w:bCs/>
                <w:sz w:val="24"/>
                <w:szCs w:val="24"/>
              </w:rPr>
              <w:t xml:space="preserve"> (pagal </w:t>
            </w:r>
            <w:r w:rsidR="00615DE8">
              <w:rPr>
                <w:rFonts w:ascii="Times New Roman" w:eastAsia="Calibri" w:hAnsi="Times New Roman" w:cs="Times New Roman"/>
                <w:bCs/>
                <w:sz w:val="24"/>
                <w:szCs w:val="24"/>
                <w:lang w:val="en-US"/>
              </w:rPr>
              <w:t xml:space="preserve">2021 m. </w:t>
            </w:r>
            <w:proofErr w:type="spellStart"/>
            <w:r w:rsidR="00615DE8">
              <w:rPr>
                <w:rFonts w:ascii="Times New Roman" w:eastAsia="Calibri" w:hAnsi="Times New Roman" w:cs="Times New Roman"/>
                <w:bCs/>
                <w:sz w:val="24"/>
                <w:szCs w:val="24"/>
                <w:lang w:val="en-US"/>
              </w:rPr>
              <w:t>lyg</w:t>
            </w:r>
            <w:proofErr w:type="spellEnd"/>
            <w:r w:rsidR="00615DE8">
              <w:rPr>
                <w:rFonts w:ascii="Times New Roman" w:eastAsia="Calibri" w:hAnsi="Times New Roman" w:cs="Times New Roman"/>
                <w:bCs/>
                <w:sz w:val="24"/>
                <w:szCs w:val="24"/>
              </w:rPr>
              <w:t>į)</w:t>
            </w:r>
            <w:r w:rsidRPr="00936E6C">
              <w:rPr>
                <w:rFonts w:ascii="Times New Roman" w:eastAsia="Calibri" w:hAnsi="Times New Roman" w:cs="Times New Roman"/>
                <w:bCs/>
                <w:sz w:val="24"/>
                <w:szCs w:val="24"/>
              </w:rPr>
              <w:t>, kad pati Aplinkos ministerija galėtų spręsti</w:t>
            </w:r>
            <w:r w:rsidR="00553299" w:rsidRPr="00936E6C">
              <w:rPr>
                <w:rFonts w:ascii="Times New Roman" w:eastAsia="Calibri" w:hAnsi="Times New Roman" w:cs="Times New Roman"/>
                <w:bCs/>
                <w:sz w:val="24"/>
                <w:szCs w:val="24"/>
              </w:rPr>
              <w:t>,</w:t>
            </w:r>
            <w:r w:rsidRPr="00936E6C">
              <w:rPr>
                <w:rFonts w:ascii="Times New Roman" w:eastAsia="Calibri" w:hAnsi="Times New Roman" w:cs="Times New Roman"/>
                <w:bCs/>
                <w:sz w:val="24"/>
                <w:szCs w:val="24"/>
              </w:rPr>
              <w:t xml:space="preserve"> kokius kelius tvarkyti.  </w:t>
            </w:r>
          </w:p>
        </w:tc>
      </w:tr>
      <w:tr w:rsidR="00656037" w:rsidRPr="00936E6C" w14:paraId="5F0F4344" w14:textId="77777777" w:rsidTr="00D954BC">
        <w:tc>
          <w:tcPr>
            <w:tcW w:w="1985" w:type="dxa"/>
          </w:tcPr>
          <w:p w14:paraId="10344C54" w14:textId="5D599ED2" w:rsidR="00656037" w:rsidRPr="00936E6C" w:rsidRDefault="00656037" w:rsidP="00690950">
            <w:pPr>
              <w:spacing w:after="0" w:line="240" w:lineRule="auto"/>
              <w:rPr>
                <w:rFonts w:ascii="Times New Roman" w:hAnsi="Times New Roman" w:cs="Times New Roman"/>
                <w:sz w:val="24"/>
                <w:szCs w:val="24"/>
              </w:rPr>
            </w:pPr>
            <w:r w:rsidRPr="00936E6C">
              <w:rPr>
                <w:rFonts w:ascii="Times New Roman" w:hAnsi="Times New Roman" w:cs="Times New Roman"/>
                <w:sz w:val="24"/>
                <w:szCs w:val="24"/>
              </w:rPr>
              <w:t xml:space="preserve">Lietuvos Respublikos ekonomikos ir inovacijų ministerijos </w:t>
            </w:r>
            <w:r w:rsidRPr="00936E6C">
              <w:t xml:space="preserve"> </w:t>
            </w:r>
            <w:r w:rsidRPr="00936E6C">
              <w:rPr>
                <w:rFonts w:ascii="Times New Roman" w:hAnsi="Times New Roman" w:cs="Times New Roman"/>
                <w:sz w:val="24"/>
                <w:szCs w:val="24"/>
              </w:rPr>
              <w:t>2021 m. rugsėjo 9 d. raštas Nr. 3-3979</w:t>
            </w:r>
          </w:p>
        </w:tc>
        <w:tc>
          <w:tcPr>
            <w:tcW w:w="8500" w:type="dxa"/>
          </w:tcPr>
          <w:p w14:paraId="574656AC" w14:textId="16271360" w:rsidR="00656037" w:rsidRPr="00936E6C" w:rsidRDefault="00656037" w:rsidP="00656037">
            <w:pPr>
              <w:pStyle w:val="xmsonormal"/>
              <w:shd w:val="clear" w:color="auto" w:fill="FFFFFF"/>
              <w:spacing w:before="0" w:beforeAutospacing="0" w:after="120" w:afterAutospacing="0"/>
              <w:jc w:val="both"/>
            </w:pPr>
            <w:r w:rsidRPr="00936E6C">
              <w:t xml:space="preserve">Ekonomikos ir inovacijų ministerija įvertinusi, tai kad įstatymo projekte pateikiamas naujas 9 straipsnio 5 dalies išdėstymas, kuriame išbraukiama kelių priežiūros ir plėtros programos rezervo (toliau – KPPP rezervas) dalis, atkreipia dėmesį į tai, kad kartu su įstatymo projektu neteikiami pasiūlymai, kokia konkrečia priemone būtų keičiamas KPPP rezervas ir kaip būtų užtikrinamas finansavimas projektams, kuriems lėšos šiuo metu yra skiriamos iš KPPP rezervo. </w:t>
            </w:r>
          </w:p>
          <w:p w14:paraId="540D6251" w14:textId="0A117E8E" w:rsidR="00656037" w:rsidRPr="00936E6C" w:rsidRDefault="00656037" w:rsidP="00656037">
            <w:pPr>
              <w:pStyle w:val="xmsonormal"/>
              <w:shd w:val="clear" w:color="auto" w:fill="FFFFFF"/>
              <w:spacing w:before="0" w:beforeAutospacing="0" w:after="120" w:afterAutospacing="0"/>
              <w:jc w:val="both"/>
            </w:pPr>
            <w:r w:rsidRPr="00936E6C">
              <w:t>Pažymėtina, kad KPPP rezervas yra viena iš pagrindinių finansavimo priemonių kelių objektams, vedantiems į teritorijas, kuriose kuriamos darbo vietos bei pritraukiamos užsienio investicijos, įrengti, pažymime, kad šios priemonės panaikinimas neigiamai prisidėtų prie šių teritorijų išvystymo ir valstybės tikslų pritraukti užsienio investicijas įgyvendinimo.</w:t>
            </w:r>
          </w:p>
          <w:p w14:paraId="4160DB0D" w14:textId="50B829E9" w:rsidR="00656037" w:rsidRPr="00936E6C" w:rsidRDefault="00656037" w:rsidP="00656037">
            <w:pPr>
              <w:pStyle w:val="xmsonormal"/>
              <w:shd w:val="clear" w:color="auto" w:fill="FFFFFF"/>
              <w:spacing w:before="0" w:beforeAutospacing="0" w:after="120" w:afterAutospacing="0"/>
              <w:jc w:val="both"/>
            </w:pPr>
            <w:r w:rsidRPr="00936E6C">
              <w:t>Atsižvelgiant į tai, kas išdėstyta Ekonomikos ir inovacijų ministerija siūlo, neišbraukti iš 9 straipsnio 5 dalies nuostatos numatančios KPPP rezervą (numatant galimybę nustatyti konkretų rezervo panaudojimo tikslą ir atitinkamai keisti procentinę dalį) arba KPPP rezervo dalį, skirtą kelių objektams, vedantiems į teritorijas, kuriose kuriamos darbo vietos, perkelti į pagrindinę KPPP priemonę papildant Lietuvos Respublikos kelių priežiūros ir plėtros programos finansavimo įstatymo (toliau – Įstatymas) 9 straipsnį nauja 3 dalimi: „Programos finansavimo lėšos naudojamos valstybės ir savivaldybių institucijų valdomų kelių, vedančių į teritorijas, kuriose kuriamos darbo vietos, objektams įgyvendinti.“</w:t>
            </w:r>
          </w:p>
        </w:tc>
        <w:tc>
          <w:tcPr>
            <w:tcW w:w="4967" w:type="dxa"/>
          </w:tcPr>
          <w:p w14:paraId="1E1223AD" w14:textId="3FC92855" w:rsidR="00656037" w:rsidRPr="00936E6C" w:rsidRDefault="00615DE8" w:rsidP="00656037">
            <w:pPr>
              <w:tabs>
                <w:tab w:val="left" w:pos="317"/>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Atsižvelgta iš dalies</w:t>
            </w:r>
            <w:r w:rsidR="00656037" w:rsidRPr="00936E6C">
              <w:rPr>
                <w:rFonts w:ascii="Times New Roman" w:eastAsia="Calibri" w:hAnsi="Times New Roman" w:cs="Times New Roman"/>
                <w:b/>
                <w:sz w:val="24"/>
                <w:szCs w:val="24"/>
              </w:rPr>
              <w:t xml:space="preserve">. </w:t>
            </w:r>
          </w:p>
          <w:p w14:paraId="3BC065D4" w14:textId="0518266D" w:rsidR="00656037" w:rsidRPr="00936E6C" w:rsidRDefault="00656037" w:rsidP="00656037">
            <w:pPr>
              <w:tabs>
                <w:tab w:val="left" w:pos="317"/>
              </w:tabs>
              <w:spacing w:after="0" w:line="240" w:lineRule="auto"/>
              <w:jc w:val="both"/>
              <w:rPr>
                <w:rFonts w:ascii="Times New Roman" w:eastAsia="Calibri" w:hAnsi="Times New Roman" w:cs="Times New Roman"/>
                <w:bCs/>
                <w:sz w:val="24"/>
                <w:szCs w:val="24"/>
              </w:rPr>
            </w:pPr>
            <w:r w:rsidRPr="00936E6C">
              <w:rPr>
                <w:rFonts w:ascii="Times New Roman" w:eastAsia="Calibri" w:hAnsi="Times New Roman" w:cs="Times New Roman"/>
                <w:bCs/>
                <w:sz w:val="24"/>
                <w:szCs w:val="24"/>
              </w:rPr>
              <w:t xml:space="preserve">Numatomi pakeitimai garantuoja didesnį finansavimą visoms savivaldybėms. Šį finansavimą savivaldybės galės skirti keliams, vedantiems į teritorijas, kuriose kuriamos darbo vietos, objektams įgyvendinti. </w:t>
            </w:r>
            <w:r w:rsidR="000B0C2E" w:rsidRPr="00936E6C">
              <w:rPr>
                <w:rFonts w:ascii="Times New Roman" w:eastAsia="Calibri" w:hAnsi="Times New Roman" w:cs="Times New Roman"/>
                <w:bCs/>
                <w:sz w:val="24"/>
                <w:szCs w:val="24"/>
              </w:rPr>
              <w:t>Be to, minėtus</w:t>
            </w:r>
            <w:r w:rsidR="005B3A5C" w:rsidRPr="00936E6C">
              <w:rPr>
                <w:rFonts w:ascii="Times New Roman" w:eastAsia="Calibri" w:hAnsi="Times New Roman" w:cs="Times New Roman"/>
                <w:bCs/>
                <w:sz w:val="24"/>
                <w:szCs w:val="24"/>
              </w:rPr>
              <w:t xml:space="preserve"> objektus</w:t>
            </w:r>
            <w:r w:rsidR="000B0C2E" w:rsidRPr="00936E6C">
              <w:rPr>
                <w:rFonts w:ascii="Times New Roman" w:eastAsia="Calibri" w:hAnsi="Times New Roman" w:cs="Times New Roman"/>
                <w:bCs/>
                <w:sz w:val="24"/>
                <w:szCs w:val="24"/>
              </w:rPr>
              <w:t xml:space="preserve">, jeigu jie atitiks reikalavimus, bus galima </w:t>
            </w:r>
            <w:r w:rsidR="005B3A5C" w:rsidRPr="00936E6C">
              <w:rPr>
                <w:rFonts w:ascii="Times New Roman" w:eastAsia="Calibri" w:hAnsi="Times New Roman" w:cs="Times New Roman"/>
                <w:bCs/>
                <w:sz w:val="24"/>
                <w:szCs w:val="24"/>
              </w:rPr>
              <w:t xml:space="preserve">finansuoti iš valstybei svarbių vietinės reikšmės kelių objektų eilutės. Tokių projektų atranka bus numatyta Vyriausybės nutarimu patvirtintoje tvarkoje. </w:t>
            </w:r>
          </w:p>
        </w:tc>
      </w:tr>
      <w:bookmarkEnd w:id="2"/>
    </w:tbl>
    <w:p w14:paraId="3503649B" w14:textId="77777777" w:rsidR="005F4DAC" w:rsidRPr="00936E6C" w:rsidRDefault="005F4DAC" w:rsidP="000D1EC3">
      <w:pPr>
        <w:tabs>
          <w:tab w:val="left" w:pos="0"/>
        </w:tabs>
        <w:spacing w:after="0" w:line="240" w:lineRule="auto"/>
        <w:rPr>
          <w:rFonts w:ascii="Times New Roman" w:hAnsi="Times New Roman" w:cs="Times New Roman"/>
          <w:sz w:val="24"/>
          <w:szCs w:val="24"/>
        </w:rPr>
      </w:pPr>
    </w:p>
    <w:p w14:paraId="503568BA" w14:textId="60F36E2C" w:rsidR="007817E4" w:rsidRPr="00936E6C" w:rsidRDefault="00FD07DB" w:rsidP="005F4DAC">
      <w:pPr>
        <w:tabs>
          <w:tab w:val="left" w:pos="0"/>
          <w:tab w:val="left" w:pos="9266"/>
        </w:tabs>
        <w:spacing w:after="0" w:line="240" w:lineRule="auto"/>
        <w:rPr>
          <w:rFonts w:ascii="Times New Roman" w:hAnsi="Times New Roman" w:cs="Times New Roman"/>
          <w:sz w:val="24"/>
          <w:szCs w:val="24"/>
        </w:rPr>
      </w:pPr>
      <w:r w:rsidRPr="00936E6C">
        <w:rPr>
          <w:rFonts w:ascii="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6776F61F" wp14:editId="59CCF5D3">
                <wp:simplePos x="0" y="0"/>
                <wp:positionH relativeFrom="column">
                  <wp:posOffset>3176143</wp:posOffset>
                </wp:positionH>
                <wp:positionV relativeFrom="paragraph">
                  <wp:posOffset>184485</wp:posOffset>
                </wp:positionV>
                <wp:extent cx="2605237" cy="0"/>
                <wp:effectExtent l="0" t="0" r="24130" b="19050"/>
                <wp:wrapNone/>
                <wp:docPr id="1" name="Tiesioji jungtis 1"/>
                <wp:cNvGraphicFramePr/>
                <a:graphic xmlns:a="http://schemas.openxmlformats.org/drawingml/2006/main">
                  <a:graphicData uri="http://schemas.microsoft.com/office/word/2010/wordprocessingShape">
                    <wps:wsp>
                      <wps:cNvCnPr/>
                      <wps:spPr>
                        <a:xfrm flipV="1">
                          <a:off x="0" y="0"/>
                          <a:ext cx="26052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3D438" id="Tiesioji jungtis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1pt,14.55pt" to="455.25pt,1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CMOC1gEAAAsEAAAOAAAAZHJzL2Uyb0RvYy54bWysU01v2zAMvQ/YfxB0X+xkWDcYcXpo0V6G Ldja3lWZilXoC5QaO/9+lJw4RTsM2LCLIEp8T3yP1PpytIbtAaP2ruXLRc0ZOOk77XYtv7+7+fCF s5iE64TxDlp+gMgvN+/frYfQwMr33nSAjEhcbIbQ8j6l0FRVlD1YERc+gKNL5dGKRCHuqg7FQOzW VKu6vqgGj11ALyFGOr2eLvmm8CsFMn1XKkJipuVUWyorlvUxr9VmLZoditBreSxD/EMVVmhHj85U 1yIJ9oz6DZXVEn30Ki2kt5VXSksoGkjNsn6l5mcvAhQtZE4Ms03x/9HKb/stMt1R7zhzwlKL7jRQ N580e3p2u6QjW2aXhhAbSr5yWzxGMWwxSx4VWqaMDg+ZJJ+QLDYWjw+zxzAmJulwdVF/Wn38zJk8 3VUTRQYGjOkWvGV503KjXZYvGrH/GhM9S6mnlHxsXF6jN7q70caUIA8OXBlke0EtT2MpnnAvsijK yCpLmkSUXToYmFh/gCJLqNhJThnGM6eQElw68RpH2RmmqIIZWJey/wg85mcolEH9G/CMKC97l2aw 1c7j714/W6Gm/JMDk+5swaPvDqW9xRqauOL48XfkkX4ZF/j5D29+AQAA//8DAFBLAwQUAAYACAAA ACEABwSPbt8AAAAJAQAADwAAAGRycy9kb3ducmV2LnhtbEyPwU7DMAyG70h7h8iTuLGklYZYaTqh STsgTWNsHOCWJaYtNE5J0q28PUE7wNH2p9/fXy5H27ET+tA6kpDNBDAk7UxLtYSXw/rmDliIiozq HKGEbwywrCZXpSqMO9MznvaxZimEQqEkNDH2BedBN2hVmLkeKd3enbcqptHX3Hh1TuG247kQt9yq ltKHRvW4alB/7gcr4TV7/Nrp/mN3eNKbN7+J2y3GQcrr6fhwDyziGP9g+NVP6lAlp6MbyATWSZgL kSdUQr7IgCVgkYk5sONlwauS/29Q/QAAAP//AwBQSwECLQAUAAYACAAAACEAtoM4kv4AAADhAQAA EwAAAAAAAAAAAAAAAAAAAAAAW0NvbnRlbnRfVHlwZXNdLnhtbFBLAQItABQABgAIAAAAIQA4/SH/ 1gAAAJQBAAALAAAAAAAAAAAAAAAAAC8BAABfcmVscy8ucmVsc1BLAQItABQABgAIAAAAIQCKCMOC 1gEAAAsEAAAOAAAAAAAAAAAAAAAAAC4CAABkcnMvZTJvRG9jLnhtbFBLAQItABQABgAIAAAAIQAH BI9u3wAAAAkBAAAPAAAAAAAAAAAAAAAAADAEAABkcnMvZG93bnJldi54bWxQSwUGAAAAAAQABADz AAAAPAUAAAAA " strokecolor="black [3213]" strokeweight=".5pt">
                <v:stroke joinstyle="miter"/>
              </v:line>
            </w:pict>
          </mc:Fallback>
        </mc:AlternateContent>
      </w:r>
      <w:r w:rsidR="005F4DAC" w:rsidRPr="00936E6C">
        <w:rPr>
          <w:rFonts w:ascii="Times New Roman" w:hAnsi="Times New Roman" w:cs="Times New Roman"/>
          <w:sz w:val="24"/>
          <w:szCs w:val="24"/>
        </w:rPr>
        <w:tab/>
      </w:r>
      <w:bookmarkEnd w:id="1"/>
    </w:p>
    <w:sectPr w:rsidR="007817E4" w:rsidRPr="00936E6C" w:rsidSect="005F629E">
      <w:headerReference w:type="default" r:id="rId8"/>
      <w:pgSz w:w="16838" w:h="11906" w:orient="landscape"/>
      <w:pgMar w:top="1135" w:right="851"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CC7DD" w14:textId="77777777" w:rsidR="005A3E93" w:rsidRDefault="005A3E93" w:rsidP="008765DF">
      <w:pPr>
        <w:spacing w:after="0" w:line="240" w:lineRule="auto"/>
      </w:pPr>
      <w:r>
        <w:separator/>
      </w:r>
    </w:p>
  </w:endnote>
  <w:endnote w:type="continuationSeparator" w:id="0">
    <w:p w14:paraId="582C1364" w14:textId="77777777" w:rsidR="005A3E93" w:rsidRDefault="005A3E93" w:rsidP="00876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4B97C" w14:textId="77777777" w:rsidR="005A3E93" w:rsidRDefault="005A3E93" w:rsidP="008765DF">
      <w:pPr>
        <w:spacing w:after="0" w:line="240" w:lineRule="auto"/>
      </w:pPr>
      <w:r>
        <w:separator/>
      </w:r>
    </w:p>
  </w:footnote>
  <w:footnote w:type="continuationSeparator" w:id="0">
    <w:p w14:paraId="2636A268" w14:textId="77777777" w:rsidR="005A3E93" w:rsidRDefault="005A3E93" w:rsidP="00876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848087"/>
      <w:docPartObj>
        <w:docPartGallery w:val="Page Numbers (Top of Page)"/>
        <w:docPartUnique/>
      </w:docPartObj>
    </w:sdtPr>
    <w:sdtEndPr/>
    <w:sdtContent>
      <w:p w14:paraId="58BD25DC" w14:textId="35880EEA" w:rsidR="00334440" w:rsidRDefault="00334440">
        <w:pPr>
          <w:pStyle w:val="Antrats"/>
          <w:jc w:val="center"/>
        </w:pPr>
        <w:r>
          <w:fldChar w:fldCharType="begin"/>
        </w:r>
        <w:r>
          <w:instrText>PAGE   \* MERGEFORMAT</w:instrText>
        </w:r>
        <w:r>
          <w:fldChar w:fldCharType="separate"/>
        </w:r>
        <w:r>
          <w:t>2</w:t>
        </w:r>
        <w:r>
          <w:fldChar w:fldCharType="end"/>
        </w:r>
      </w:p>
    </w:sdtContent>
  </w:sdt>
  <w:p w14:paraId="463B57B2" w14:textId="77777777" w:rsidR="00334440" w:rsidRDefault="003344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6B17"/>
    <w:multiLevelType w:val="hybridMultilevel"/>
    <w:tmpl w:val="5DD65D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F64C45"/>
    <w:multiLevelType w:val="hybridMultilevel"/>
    <w:tmpl w:val="63A42092"/>
    <w:lvl w:ilvl="0" w:tplc="3EA4AC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40E00BFB"/>
    <w:multiLevelType w:val="hybridMultilevel"/>
    <w:tmpl w:val="7F37AF5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5EA5448"/>
    <w:multiLevelType w:val="hybridMultilevel"/>
    <w:tmpl w:val="2D0462CC"/>
    <w:lvl w:ilvl="0" w:tplc="A69096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5EC614A"/>
    <w:multiLevelType w:val="hybridMultilevel"/>
    <w:tmpl w:val="4E568F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9505FDA"/>
    <w:multiLevelType w:val="hybridMultilevel"/>
    <w:tmpl w:val="EA320BB0"/>
    <w:lvl w:ilvl="0" w:tplc="3FA8A440">
      <w:start w:val="1"/>
      <w:numFmt w:val="decimal"/>
      <w:lvlText w:val="%1."/>
      <w:lvlJc w:val="left"/>
      <w:pPr>
        <w:ind w:left="720" w:hanging="360"/>
      </w:pPr>
      <w:rPr>
        <w:rFonts w:hint="default"/>
        <w:b w:val="0"/>
        <w:bCs w:val="0"/>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4929D8"/>
    <w:multiLevelType w:val="hybridMultilevel"/>
    <w:tmpl w:val="8B28EB0C"/>
    <w:lvl w:ilvl="0" w:tplc="10000001">
      <w:start w:val="1"/>
      <w:numFmt w:val="bullet"/>
      <w:lvlText w:val=""/>
      <w:lvlJc w:val="left"/>
      <w:pPr>
        <w:ind w:left="1571" w:hanging="360"/>
      </w:pPr>
      <w:rPr>
        <w:rFonts w:ascii="Symbol" w:hAnsi="Symbol" w:hint="default"/>
      </w:rPr>
    </w:lvl>
    <w:lvl w:ilvl="1" w:tplc="10000003" w:tentative="1">
      <w:start w:val="1"/>
      <w:numFmt w:val="bullet"/>
      <w:lvlText w:val="o"/>
      <w:lvlJc w:val="left"/>
      <w:pPr>
        <w:ind w:left="2291" w:hanging="360"/>
      </w:pPr>
      <w:rPr>
        <w:rFonts w:ascii="Courier New" w:hAnsi="Courier New" w:cs="Courier New" w:hint="default"/>
      </w:rPr>
    </w:lvl>
    <w:lvl w:ilvl="2" w:tplc="10000005" w:tentative="1">
      <w:start w:val="1"/>
      <w:numFmt w:val="bullet"/>
      <w:lvlText w:val=""/>
      <w:lvlJc w:val="left"/>
      <w:pPr>
        <w:ind w:left="3011" w:hanging="360"/>
      </w:pPr>
      <w:rPr>
        <w:rFonts w:ascii="Wingdings" w:hAnsi="Wingdings" w:hint="default"/>
      </w:rPr>
    </w:lvl>
    <w:lvl w:ilvl="3" w:tplc="10000001" w:tentative="1">
      <w:start w:val="1"/>
      <w:numFmt w:val="bullet"/>
      <w:lvlText w:val=""/>
      <w:lvlJc w:val="left"/>
      <w:pPr>
        <w:ind w:left="3731" w:hanging="360"/>
      </w:pPr>
      <w:rPr>
        <w:rFonts w:ascii="Symbol" w:hAnsi="Symbol" w:hint="default"/>
      </w:rPr>
    </w:lvl>
    <w:lvl w:ilvl="4" w:tplc="10000003" w:tentative="1">
      <w:start w:val="1"/>
      <w:numFmt w:val="bullet"/>
      <w:lvlText w:val="o"/>
      <w:lvlJc w:val="left"/>
      <w:pPr>
        <w:ind w:left="4451" w:hanging="360"/>
      </w:pPr>
      <w:rPr>
        <w:rFonts w:ascii="Courier New" w:hAnsi="Courier New" w:cs="Courier New" w:hint="default"/>
      </w:rPr>
    </w:lvl>
    <w:lvl w:ilvl="5" w:tplc="10000005" w:tentative="1">
      <w:start w:val="1"/>
      <w:numFmt w:val="bullet"/>
      <w:lvlText w:val=""/>
      <w:lvlJc w:val="left"/>
      <w:pPr>
        <w:ind w:left="5171" w:hanging="360"/>
      </w:pPr>
      <w:rPr>
        <w:rFonts w:ascii="Wingdings" w:hAnsi="Wingdings" w:hint="default"/>
      </w:rPr>
    </w:lvl>
    <w:lvl w:ilvl="6" w:tplc="10000001" w:tentative="1">
      <w:start w:val="1"/>
      <w:numFmt w:val="bullet"/>
      <w:lvlText w:val=""/>
      <w:lvlJc w:val="left"/>
      <w:pPr>
        <w:ind w:left="5891" w:hanging="360"/>
      </w:pPr>
      <w:rPr>
        <w:rFonts w:ascii="Symbol" w:hAnsi="Symbol" w:hint="default"/>
      </w:rPr>
    </w:lvl>
    <w:lvl w:ilvl="7" w:tplc="10000003" w:tentative="1">
      <w:start w:val="1"/>
      <w:numFmt w:val="bullet"/>
      <w:lvlText w:val="o"/>
      <w:lvlJc w:val="left"/>
      <w:pPr>
        <w:ind w:left="6611" w:hanging="360"/>
      </w:pPr>
      <w:rPr>
        <w:rFonts w:ascii="Courier New" w:hAnsi="Courier New" w:cs="Courier New" w:hint="default"/>
      </w:rPr>
    </w:lvl>
    <w:lvl w:ilvl="8" w:tplc="10000005" w:tentative="1">
      <w:start w:val="1"/>
      <w:numFmt w:val="bullet"/>
      <w:lvlText w:val=""/>
      <w:lvlJc w:val="left"/>
      <w:pPr>
        <w:ind w:left="7331" w:hanging="360"/>
      </w:pPr>
      <w:rPr>
        <w:rFonts w:ascii="Wingdings" w:hAnsi="Wingdings" w:hint="default"/>
      </w:rPr>
    </w:lvl>
  </w:abstractNum>
  <w:abstractNum w:abstractNumId="7" w15:restartNumberingAfterBreak="0">
    <w:nsid w:val="703C0062"/>
    <w:multiLevelType w:val="hybridMultilevel"/>
    <w:tmpl w:val="3AA6511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2"/>
  </w:num>
  <w:num w:numId="5">
    <w:abstractNumId w:val="0"/>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A63"/>
    <w:rsid w:val="0001164E"/>
    <w:rsid w:val="00032779"/>
    <w:rsid w:val="00046C76"/>
    <w:rsid w:val="0007580A"/>
    <w:rsid w:val="00081543"/>
    <w:rsid w:val="0009131E"/>
    <w:rsid w:val="000B0C2E"/>
    <w:rsid w:val="000C6C98"/>
    <w:rsid w:val="000D1EC3"/>
    <w:rsid w:val="0010046F"/>
    <w:rsid w:val="001005EB"/>
    <w:rsid w:val="00120B73"/>
    <w:rsid w:val="0012225B"/>
    <w:rsid w:val="00126DEC"/>
    <w:rsid w:val="00133EBC"/>
    <w:rsid w:val="00142279"/>
    <w:rsid w:val="001567FF"/>
    <w:rsid w:val="00162D15"/>
    <w:rsid w:val="00177ADF"/>
    <w:rsid w:val="001904B0"/>
    <w:rsid w:val="001973C1"/>
    <w:rsid w:val="001B5497"/>
    <w:rsid w:val="001B7DC7"/>
    <w:rsid w:val="001C52F9"/>
    <w:rsid w:val="001D2AC1"/>
    <w:rsid w:val="001E2C54"/>
    <w:rsid w:val="001E6AB9"/>
    <w:rsid w:val="001F0FC5"/>
    <w:rsid w:val="00202EDB"/>
    <w:rsid w:val="002170B0"/>
    <w:rsid w:val="00230B23"/>
    <w:rsid w:val="00234BB7"/>
    <w:rsid w:val="002402FB"/>
    <w:rsid w:val="0027706D"/>
    <w:rsid w:val="002D67A0"/>
    <w:rsid w:val="002F2C37"/>
    <w:rsid w:val="002F70F7"/>
    <w:rsid w:val="00330DF0"/>
    <w:rsid w:val="003338D7"/>
    <w:rsid w:val="00334440"/>
    <w:rsid w:val="00334D72"/>
    <w:rsid w:val="00393FEA"/>
    <w:rsid w:val="003A70D5"/>
    <w:rsid w:val="003B230C"/>
    <w:rsid w:val="003B6CA3"/>
    <w:rsid w:val="003D14A2"/>
    <w:rsid w:val="003D1A1E"/>
    <w:rsid w:val="003D4CE1"/>
    <w:rsid w:val="003E7E33"/>
    <w:rsid w:val="0040497D"/>
    <w:rsid w:val="004148A1"/>
    <w:rsid w:val="004250FB"/>
    <w:rsid w:val="0043084E"/>
    <w:rsid w:val="00430CC2"/>
    <w:rsid w:val="00435203"/>
    <w:rsid w:val="00437DF3"/>
    <w:rsid w:val="0045215E"/>
    <w:rsid w:val="00462941"/>
    <w:rsid w:val="0047031A"/>
    <w:rsid w:val="004802D1"/>
    <w:rsid w:val="00480ACB"/>
    <w:rsid w:val="004C18FD"/>
    <w:rsid w:val="004C5A69"/>
    <w:rsid w:val="004E1CD5"/>
    <w:rsid w:val="004E4C2E"/>
    <w:rsid w:val="004E5C80"/>
    <w:rsid w:val="00520A78"/>
    <w:rsid w:val="00542975"/>
    <w:rsid w:val="0054464F"/>
    <w:rsid w:val="005472AA"/>
    <w:rsid w:val="00553299"/>
    <w:rsid w:val="00567720"/>
    <w:rsid w:val="00577B40"/>
    <w:rsid w:val="0059755D"/>
    <w:rsid w:val="005A189A"/>
    <w:rsid w:val="005A3E93"/>
    <w:rsid w:val="005A5CE8"/>
    <w:rsid w:val="005B3A5C"/>
    <w:rsid w:val="005E0CD5"/>
    <w:rsid w:val="005E2431"/>
    <w:rsid w:val="005F4DAC"/>
    <w:rsid w:val="005F629E"/>
    <w:rsid w:val="00601C67"/>
    <w:rsid w:val="0060206F"/>
    <w:rsid w:val="00607C4B"/>
    <w:rsid w:val="00615DE8"/>
    <w:rsid w:val="00626C45"/>
    <w:rsid w:val="00650760"/>
    <w:rsid w:val="00656037"/>
    <w:rsid w:val="006677B9"/>
    <w:rsid w:val="006827BE"/>
    <w:rsid w:val="00690950"/>
    <w:rsid w:val="006939F6"/>
    <w:rsid w:val="006963AB"/>
    <w:rsid w:val="006D0B1B"/>
    <w:rsid w:val="006E747A"/>
    <w:rsid w:val="00700741"/>
    <w:rsid w:val="007212C4"/>
    <w:rsid w:val="00757100"/>
    <w:rsid w:val="00767ED4"/>
    <w:rsid w:val="007749B0"/>
    <w:rsid w:val="007817E4"/>
    <w:rsid w:val="007A734E"/>
    <w:rsid w:val="007D0928"/>
    <w:rsid w:val="007F7AF3"/>
    <w:rsid w:val="008003B8"/>
    <w:rsid w:val="0080339F"/>
    <w:rsid w:val="008215E3"/>
    <w:rsid w:val="008250EA"/>
    <w:rsid w:val="008370F7"/>
    <w:rsid w:val="00837CA6"/>
    <w:rsid w:val="00846109"/>
    <w:rsid w:val="00865EB2"/>
    <w:rsid w:val="008765DF"/>
    <w:rsid w:val="008849E3"/>
    <w:rsid w:val="008A5424"/>
    <w:rsid w:val="008D2213"/>
    <w:rsid w:val="008E6DFD"/>
    <w:rsid w:val="00907F73"/>
    <w:rsid w:val="009117D8"/>
    <w:rsid w:val="009157E1"/>
    <w:rsid w:val="00936668"/>
    <w:rsid w:val="00936E6C"/>
    <w:rsid w:val="00960A63"/>
    <w:rsid w:val="00962F8A"/>
    <w:rsid w:val="00965677"/>
    <w:rsid w:val="00975D64"/>
    <w:rsid w:val="00985176"/>
    <w:rsid w:val="009935BE"/>
    <w:rsid w:val="009D20ED"/>
    <w:rsid w:val="009F5087"/>
    <w:rsid w:val="00A222FD"/>
    <w:rsid w:val="00A22694"/>
    <w:rsid w:val="00A328E1"/>
    <w:rsid w:val="00A331D0"/>
    <w:rsid w:val="00A45F65"/>
    <w:rsid w:val="00A5286C"/>
    <w:rsid w:val="00AB3949"/>
    <w:rsid w:val="00AD16AF"/>
    <w:rsid w:val="00AF3CBD"/>
    <w:rsid w:val="00B017B2"/>
    <w:rsid w:val="00B21089"/>
    <w:rsid w:val="00B36F12"/>
    <w:rsid w:val="00B41AE0"/>
    <w:rsid w:val="00B43EB0"/>
    <w:rsid w:val="00B45478"/>
    <w:rsid w:val="00B51167"/>
    <w:rsid w:val="00B518F2"/>
    <w:rsid w:val="00B572C7"/>
    <w:rsid w:val="00B63B03"/>
    <w:rsid w:val="00B84920"/>
    <w:rsid w:val="00B904DB"/>
    <w:rsid w:val="00B9265F"/>
    <w:rsid w:val="00BA0FFC"/>
    <w:rsid w:val="00BD31D4"/>
    <w:rsid w:val="00BE0F5C"/>
    <w:rsid w:val="00BE4D78"/>
    <w:rsid w:val="00BE70F5"/>
    <w:rsid w:val="00BF338F"/>
    <w:rsid w:val="00C153A6"/>
    <w:rsid w:val="00C24F9C"/>
    <w:rsid w:val="00C45437"/>
    <w:rsid w:val="00C61FE1"/>
    <w:rsid w:val="00C74A27"/>
    <w:rsid w:val="00C94C4F"/>
    <w:rsid w:val="00CA5EA4"/>
    <w:rsid w:val="00CB0786"/>
    <w:rsid w:val="00CC5FB6"/>
    <w:rsid w:val="00CE2190"/>
    <w:rsid w:val="00CE5DF1"/>
    <w:rsid w:val="00CF62DA"/>
    <w:rsid w:val="00D12B0F"/>
    <w:rsid w:val="00D136CA"/>
    <w:rsid w:val="00D3107D"/>
    <w:rsid w:val="00D36801"/>
    <w:rsid w:val="00D45F12"/>
    <w:rsid w:val="00D534AB"/>
    <w:rsid w:val="00D55977"/>
    <w:rsid w:val="00D55BBE"/>
    <w:rsid w:val="00D954BC"/>
    <w:rsid w:val="00DC4242"/>
    <w:rsid w:val="00DC52D8"/>
    <w:rsid w:val="00DD0E28"/>
    <w:rsid w:val="00DE6CBD"/>
    <w:rsid w:val="00E16218"/>
    <w:rsid w:val="00E4148B"/>
    <w:rsid w:val="00E60B28"/>
    <w:rsid w:val="00E95AE8"/>
    <w:rsid w:val="00EF0164"/>
    <w:rsid w:val="00F0161D"/>
    <w:rsid w:val="00F044B3"/>
    <w:rsid w:val="00F14C89"/>
    <w:rsid w:val="00F452F9"/>
    <w:rsid w:val="00F50B62"/>
    <w:rsid w:val="00F5457F"/>
    <w:rsid w:val="00F63C3F"/>
    <w:rsid w:val="00FD0471"/>
    <w:rsid w:val="00FD07DB"/>
    <w:rsid w:val="00FD7CBC"/>
    <w:rsid w:val="00FF11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1968"/>
  <w15:docId w15:val="{5E99CA44-561E-4F98-9EFB-5CF11C17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E7E33"/>
    <w:pPr>
      <w:ind w:left="720"/>
      <w:contextualSpacing/>
    </w:pPr>
  </w:style>
  <w:style w:type="table" w:styleId="Lentelstinklelis">
    <w:name w:val="Table Grid"/>
    <w:basedOn w:val="prastojilentel"/>
    <w:uiPriority w:val="39"/>
    <w:rsid w:val="00601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FD07DB"/>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FD07DB"/>
    <w:rPr>
      <w:rFonts w:ascii="Times New Roman" w:eastAsia="Times New Roman" w:hAnsi="Times New Roman" w:cs="Times New Roman"/>
      <w:sz w:val="24"/>
      <w:szCs w:val="24"/>
      <w:lang w:eastAsia="lt-LT"/>
    </w:rPr>
  </w:style>
  <w:style w:type="paragraph" w:customStyle="1" w:styleId="Default">
    <w:name w:val="Default"/>
    <w:rsid w:val="005A5CE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rastasiniatinklio">
    <w:name w:val="Normal (Web)"/>
    <w:basedOn w:val="prastasis"/>
    <w:uiPriority w:val="99"/>
    <w:unhideWhenUsed/>
    <w:rsid w:val="00626C4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BE70F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BE70F5"/>
  </w:style>
  <w:style w:type="character" w:customStyle="1" w:styleId="eop">
    <w:name w:val="eop"/>
    <w:basedOn w:val="Numatytasispastraiposriftas"/>
    <w:rsid w:val="00BE70F5"/>
  </w:style>
  <w:style w:type="paragraph" w:styleId="Antrats">
    <w:name w:val="header"/>
    <w:basedOn w:val="prastasis"/>
    <w:link w:val="AntratsDiagrama"/>
    <w:uiPriority w:val="99"/>
    <w:unhideWhenUsed/>
    <w:rsid w:val="008765DF"/>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8765DF"/>
  </w:style>
  <w:style w:type="paragraph" w:styleId="Porat">
    <w:name w:val="footer"/>
    <w:basedOn w:val="prastasis"/>
    <w:link w:val="PoratDiagrama"/>
    <w:uiPriority w:val="99"/>
    <w:unhideWhenUsed/>
    <w:rsid w:val="008765D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8765DF"/>
  </w:style>
  <w:style w:type="paragraph" w:customStyle="1" w:styleId="Standard">
    <w:name w:val="Standard"/>
    <w:rsid w:val="00F5457F"/>
    <w:pPr>
      <w:overflowPunct w:val="0"/>
      <w:autoSpaceDN w:val="0"/>
      <w:spacing w:after="0" w:line="240" w:lineRule="auto"/>
      <w:textAlignment w:val="baseline"/>
    </w:pPr>
    <w:rPr>
      <w:rFonts w:ascii="Calibri" w:eastAsia="Calibri" w:hAnsi="Calibri" w:cs="Times New Roman"/>
      <w:sz w:val="20"/>
      <w:szCs w:val="20"/>
      <w:lang w:eastAsia="lt-LT"/>
    </w:rPr>
  </w:style>
  <w:style w:type="paragraph" w:customStyle="1" w:styleId="LO-Normal">
    <w:name w:val="LO-Normal"/>
    <w:rsid w:val="00F5457F"/>
    <w:pPr>
      <w:suppressAutoHyphens/>
      <w:overflowPunct w:val="0"/>
      <w:autoSpaceDN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lo-normal0">
    <w:name w:val="lo-normal"/>
    <w:basedOn w:val="prastasis"/>
    <w:rsid w:val="0046294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andard0">
    <w:name w:val="standard"/>
    <w:basedOn w:val="prastasis"/>
    <w:rsid w:val="0046294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prastasis"/>
    <w:rsid w:val="00F14C8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DD0E28"/>
    <w:rPr>
      <w:sz w:val="16"/>
      <w:szCs w:val="16"/>
    </w:rPr>
  </w:style>
  <w:style w:type="paragraph" w:styleId="Komentarotekstas">
    <w:name w:val="annotation text"/>
    <w:basedOn w:val="prastasis"/>
    <w:link w:val="KomentarotekstasDiagrama"/>
    <w:uiPriority w:val="99"/>
    <w:semiHidden/>
    <w:unhideWhenUsed/>
    <w:rsid w:val="00DD0E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D0E28"/>
    <w:rPr>
      <w:sz w:val="20"/>
      <w:szCs w:val="20"/>
    </w:rPr>
  </w:style>
  <w:style w:type="paragraph" w:styleId="Komentarotema">
    <w:name w:val="annotation subject"/>
    <w:basedOn w:val="Komentarotekstas"/>
    <w:next w:val="Komentarotekstas"/>
    <w:link w:val="KomentarotemaDiagrama"/>
    <w:uiPriority w:val="99"/>
    <w:semiHidden/>
    <w:unhideWhenUsed/>
    <w:rsid w:val="00DD0E28"/>
    <w:rPr>
      <w:b/>
      <w:bCs/>
    </w:rPr>
  </w:style>
  <w:style w:type="character" w:customStyle="1" w:styleId="KomentarotemaDiagrama">
    <w:name w:val="Komentaro tema Diagrama"/>
    <w:basedOn w:val="KomentarotekstasDiagrama"/>
    <w:link w:val="Komentarotema"/>
    <w:uiPriority w:val="99"/>
    <w:semiHidden/>
    <w:rsid w:val="00DD0E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16911">
      <w:bodyDiv w:val="1"/>
      <w:marLeft w:val="0"/>
      <w:marRight w:val="0"/>
      <w:marTop w:val="0"/>
      <w:marBottom w:val="0"/>
      <w:divBdr>
        <w:top w:val="none" w:sz="0" w:space="0" w:color="auto"/>
        <w:left w:val="none" w:sz="0" w:space="0" w:color="auto"/>
        <w:bottom w:val="none" w:sz="0" w:space="0" w:color="auto"/>
        <w:right w:val="none" w:sz="0" w:space="0" w:color="auto"/>
      </w:divBdr>
    </w:div>
    <w:div w:id="373820581">
      <w:bodyDiv w:val="1"/>
      <w:marLeft w:val="0"/>
      <w:marRight w:val="0"/>
      <w:marTop w:val="0"/>
      <w:marBottom w:val="0"/>
      <w:divBdr>
        <w:top w:val="none" w:sz="0" w:space="0" w:color="auto"/>
        <w:left w:val="none" w:sz="0" w:space="0" w:color="auto"/>
        <w:bottom w:val="none" w:sz="0" w:space="0" w:color="auto"/>
        <w:right w:val="none" w:sz="0" w:space="0" w:color="auto"/>
      </w:divBdr>
    </w:div>
    <w:div w:id="820541680">
      <w:bodyDiv w:val="1"/>
      <w:marLeft w:val="0"/>
      <w:marRight w:val="0"/>
      <w:marTop w:val="0"/>
      <w:marBottom w:val="0"/>
      <w:divBdr>
        <w:top w:val="none" w:sz="0" w:space="0" w:color="auto"/>
        <w:left w:val="none" w:sz="0" w:space="0" w:color="auto"/>
        <w:bottom w:val="none" w:sz="0" w:space="0" w:color="auto"/>
        <w:right w:val="none" w:sz="0" w:space="0" w:color="auto"/>
      </w:divBdr>
    </w:div>
    <w:div w:id="891161222">
      <w:bodyDiv w:val="1"/>
      <w:marLeft w:val="0"/>
      <w:marRight w:val="0"/>
      <w:marTop w:val="0"/>
      <w:marBottom w:val="0"/>
      <w:divBdr>
        <w:top w:val="none" w:sz="0" w:space="0" w:color="auto"/>
        <w:left w:val="none" w:sz="0" w:space="0" w:color="auto"/>
        <w:bottom w:val="none" w:sz="0" w:space="0" w:color="auto"/>
        <w:right w:val="none" w:sz="0" w:space="0" w:color="auto"/>
      </w:divBdr>
    </w:div>
    <w:div w:id="1028802090">
      <w:bodyDiv w:val="1"/>
      <w:marLeft w:val="0"/>
      <w:marRight w:val="0"/>
      <w:marTop w:val="0"/>
      <w:marBottom w:val="0"/>
      <w:divBdr>
        <w:top w:val="none" w:sz="0" w:space="0" w:color="auto"/>
        <w:left w:val="none" w:sz="0" w:space="0" w:color="auto"/>
        <w:bottom w:val="none" w:sz="0" w:space="0" w:color="auto"/>
        <w:right w:val="none" w:sz="0" w:space="0" w:color="auto"/>
      </w:divBdr>
    </w:div>
    <w:div w:id="1076168298">
      <w:bodyDiv w:val="1"/>
      <w:marLeft w:val="0"/>
      <w:marRight w:val="0"/>
      <w:marTop w:val="0"/>
      <w:marBottom w:val="0"/>
      <w:divBdr>
        <w:top w:val="none" w:sz="0" w:space="0" w:color="auto"/>
        <w:left w:val="none" w:sz="0" w:space="0" w:color="auto"/>
        <w:bottom w:val="none" w:sz="0" w:space="0" w:color="auto"/>
        <w:right w:val="none" w:sz="0" w:space="0" w:color="auto"/>
      </w:divBdr>
    </w:div>
    <w:div w:id="1210191054">
      <w:bodyDiv w:val="1"/>
      <w:marLeft w:val="0"/>
      <w:marRight w:val="0"/>
      <w:marTop w:val="0"/>
      <w:marBottom w:val="0"/>
      <w:divBdr>
        <w:top w:val="none" w:sz="0" w:space="0" w:color="auto"/>
        <w:left w:val="none" w:sz="0" w:space="0" w:color="auto"/>
        <w:bottom w:val="none" w:sz="0" w:space="0" w:color="auto"/>
        <w:right w:val="none" w:sz="0" w:space="0" w:color="auto"/>
      </w:divBdr>
    </w:div>
    <w:div w:id="1230841478">
      <w:bodyDiv w:val="1"/>
      <w:marLeft w:val="0"/>
      <w:marRight w:val="0"/>
      <w:marTop w:val="0"/>
      <w:marBottom w:val="0"/>
      <w:divBdr>
        <w:top w:val="none" w:sz="0" w:space="0" w:color="auto"/>
        <w:left w:val="none" w:sz="0" w:space="0" w:color="auto"/>
        <w:bottom w:val="none" w:sz="0" w:space="0" w:color="auto"/>
        <w:right w:val="none" w:sz="0" w:space="0" w:color="auto"/>
      </w:divBdr>
      <w:divsChild>
        <w:div w:id="408380616">
          <w:marLeft w:val="0"/>
          <w:marRight w:val="0"/>
          <w:marTop w:val="0"/>
          <w:marBottom w:val="0"/>
          <w:divBdr>
            <w:top w:val="none" w:sz="0" w:space="0" w:color="auto"/>
            <w:left w:val="none" w:sz="0" w:space="0" w:color="auto"/>
            <w:bottom w:val="none" w:sz="0" w:space="0" w:color="auto"/>
            <w:right w:val="none" w:sz="0" w:space="0" w:color="auto"/>
          </w:divBdr>
        </w:div>
        <w:div w:id="90316497">
          <w:marLeft w:val="0"/>
          <w:marRight w:val="0"/>
          <w:marTop w:val="0"/>
          <w:marBottom w:val="0"/>
          <w:divBdr>
            <w:top w:val="none" w:sz="0" w:space="0" w:color="auto"/>
            <w:left w:val="none" w:sz="0" w:space="0" w:color="auto"/>
            <w:bottom w:val="none" w:sz="0" w:space="0" w:color="auto"/>
            <w:right w:val="none" w:sz="0" w:space="0" w:color="auto"/>
          </w:divBdr>
        </w:div>
        <w:div w:id="1446192472">
          <w:marLeft w:val="0"/>
          <w:marRight w:val="0"/>
          <w:marTop w:val="0"/>
          <w:marBottom w:val="0"/>
          <w:divBdr>
            <w:top w:val="none" w:sz="0" w:space="0" w:color="auto"/>
            <w:left w:val="none" w:sz="0" w:space="0" w:color="auto"/>
            <w:bottom w:val="none" w:sz="0" w:space="0" w:color="auto"/>
            <w:right w:val="none" w:sz="0" w:space="0" w:color="auto"/>
          </w:divBdr>
        </w:div>
        <w:div w:id="767313571">
          <w:marLeft w:val="0"/>
          <w:marRight w:val="0"/>
          <w:marTop w:val="0"/>
          <w:marBottom w:val="0"/>
          <w:divBdr>
            <w:top w:val="none" w:sz="0" w:space="0" w:color="auto"/>
            <w:left w:val="none" w:sz="0" w:space="0" w:color="auto"/>
            <w:bottom w:val="none" w:sz="0" w:space="0" w:color="auto"/>
            <w:right w:val="none" w:sz="0" w:space="0" w:color="auto"/>
          </w:divBdr>
        </w:div>
        <w:div w:id="65155945">
          <w:marLeft w:val="0"/>
          <w:marRight w:val="0"/>
          <w:marTop w:val="0"/>
          <w:marBottom w:val="0"/>
          <w:divBdr>
            <w:top w:val="none" w:sz="0" w:space="0" w:color="auto"/>
            <w:left w:val="none" w:sz="0" w:space="0" w:color="auto"/>
            <w:bottom w:val="none" w:sz="0" w:space="0" w:color="auto"/>
            <w:right w:val="none" w:sz="0" w:space="0" w:color="auto"/>
          </w:divBdr>
        </w:div>
      </w:divsChild>
    </w:div>
    <w:div w:id="1235512692">
      <w:bodyDiv w:val="1"/>
      <w:marLeft w:val="0"/>
      <w:marRight w:val="0"/>
      <w:marTop w:val="0"/>
      <w:marBottom w:val="0"/>
      <w:divBdr>
        <w:top w:val="none" w:sz="0" w:space="0" w:color="auto"/>
        <w:left w:val="none" w:sz="0" w:space="0" w:color="auto"/>
        <w:bottom w:val="none" w:sz="0" w:space="0" w:color="auto"/>
        <w:right w:val="none" w:sz="0" w:space="0" w:color="auto"/>
      </w:divBdr>
      <w:divsChild>
        <w:div w:id="1259799651">
          <w:marLeft w:val="0"/>
          <w:marRight w:val="0"/>
          <w:marTop w:val="0"/>
          <w:marBottom w:val="0"/>
          <w:divBdr>
            <w:top w:val="none" w:sz="0" w:space="0" w:color="auto"/>
            <w:left w:val="none" w:sz="0" w:space="0" w:color="auto"/>
            <w:bottom w:val="none" w:sz="0" w:space="0" w:color="auto"/>
            <w:right w:val="none" w:sz="0" w:space="0" w:color="auto"/>
          </w:divBdr>
        </w:div>
        <w:div w:id="1541552496">
          <w:marLeft w:val="0"/>
          <w:marRight w:val="0"/>
          <w:marTop w:val="0"/>
          <w:marBottom w:val="0"/>
          <w:divBdr>
            <w:top w:val="none" w:sz="0" w:space="0" w:color="auto"/>
            <w:left w:val="none" w:sz="0" w:space="0" w:color="auto"/>
            <w:bottom w:val="none" w:sz="0" w:space="0" w:color="auto"/>
            <w:right w:val="none" w:sz="0" w:space="0" w:color="auto"/>
          </w:divBdr>
        </w:div>
        <w:div w:id="349071939">
          <w:marLeft w:val="0"/>
          <w:marRight w:val="0"/>
          <w:marTop w:val="0"/>
          <w:marBottom w:val="0"/>
          <w:divBdr>
            <w:top w:val="none" w:sz="0" w:space="0" w:color="auto"/>
            <w:left w:val="none" w:sz="0" w:space="0" w:color="auto"/>
            <w:bottom w:val="none" w:sz="0" w:space="0" w:color="auto"/>
            <w:right w:val="none" w:sz="0" w:space="0" w:color="auto"/>
          </w:divBdr>
        </w:div>
        <w:div w:id="1026759526">
          <w:marLeft w:val="0"/>
          <w:marRight w:val="0"/>
          <w:marTop w:val="0"/>
          <w:marBottom w:val="0"/>
          <w:divBdr>
            <w:top w:val="none" w:sz="0" w:space="0" w:color="auto"/>
            <w:left w:val="none" w:sz="0" w:space="0" w:color="auto"/>
            <w:bottom w:val="none" w:sz="0" w:space="0" w:color="auto"/>
            <w:right w:val="none" w:sz="0" w:space="0" w:color="auto"/>
          </w:divBdr>
        </w:div>
        <w:div w:id="676926012">
          <w:marLeft w:val="0"/>
          <w:marRight w:val="0"/>
          <w:marTop w:val="0"/>
          <w:marBottom w:val="0"/>
          <w:divBdr>
            <w:top w:val="none" w:sz="0" w:space="0" w:color="auto"/>
            <w:left w:val="none" w:sz="0" w:space="0" w:color="auto"/>
            <w:bottom w:val="none" w:sz="0" w:space="0" w:color="auto"/>
            <w:right w:val="none" w:sz="0" w:space="0" w:color="auto"/>
          </w:divBdr>
        </w:div>
        <w:div w:id="109013105">
          <w:marLeft w:val="0"/>
          <w:marRight w:val="0"/>
          <w:marTop w:val="0"/>
          <w:marBottom w:val="0"/>
          <w:divBdr>
            <w:top w:val="none" w:sz="0" w:space="0" w:color="auto"/>
            <w:left w:val="none" w:sz="0" w:space="0" w:color="auto"/>
            <w:bottom w:val="none" w:sz="0" w:space="0" w:color="auto"/>
            <w:right w:val="none" w:sz="0" w:space="0" w:color="auto"/>
          </w:divBdr>
        </w:div>
        <w:div w:id="1355304149">
          <w:marLeft w:val="0"/>
          <w:marRight w:val="0"/>
          <w:marTop w:val="0"/>
          <w:marBottom w:val="0"/>
          <w:divBdr>
            <w:top w:val="none" w:sz="0" w:space="0" w:color="auto"/>
            <w:left w:val="none" w:sz="0" w:space="0" w:color="auto"/>
            <w:bottom w:val="none" w:sz="0" w:space="0" w:color="auto"/>
            <w:right w:val="none" w:sz="0" w:space="0" w:color="auto"/>
          </w:divBdr>
        </w:div>
        <w:div w:id="593123833">
          <w:marLeft w:val="0"/>
          <w:marRight w:val="0"/>
          <w:marTop w:val="0"/>
          <w:marBottom w:val="0"/>
          <w:divBdr>
            <w:top w:val="none" w:sz="0" w:space="0" w:color="auto"/>
            <w:left w:val="none" w:sz="0" w:space="0" w:color="auto"/>
            <w:bottom w:val="none" w:sz="0" w:space="0" w:color="auto"/>
            <w:right w:val="none" w:sz="0" w:space="0" w:color="auto"/>
          </w:divBdr>
        </w:div>
        <w:div w:id="1338268153">
          <w:marLeft w:val="0"/>
          <w:marRight w:val="0"/>
          <w:marTop w:val="0"/>
          <w:marBottom w:val="0"/>
          <w:divBdr>
            <w:top w:val="none" w:sz="0" w:space="0" w:color="auto"/>
            <w:left w:val="none" w:sz="0" w:space="0" w:color="auto"/>
            <w:bottom w:val="none" w:sz="0" w:space="0" w:color="auto"/>
            <w:right w:val="none" w:sz="0" w:space="0" w:color="auto"/>
          </w:divBdr>
        </w:div>
      </w:divsChild>
    </w:div>
    <w:div w:id="1262449086">
      <w:bodyDiv w:val="1"/>
      <w:marLeft w:val="0"/>
      <w:marRight w:val="0"/>
      <w:marTop w:val="0"/>
      <w:marBottom w:val="0"/>
      <w:divBdr>
        <w:top w:val="none" w:sz="0" w:space="0" w:color="auto"/>
        <w:left w:val="none" w:sz="0" w:space="0" w:color="auto"/>
        <w:bottom w:val="none" w:sz="0" w:space="0" w:color="auto"/>
        <w:right w:val="none" w:sz="0" w:space="0" w:color="auto"/>
      </w:divBdr>
    </w:div>
    <w:div w:id="1393238823">
      <w:bodyDiv w:val="1"/>
      <w:marLeft w:val="0"/>
      <w:marRight w:val="0"/>
      <w:marTop w:val="0"/>
      <w:marBottom w:val="0"/>
      <w:divBdr>
        <w:top w:val="none" w:sz="0" w:space="0" w:color="auto"/>
        <w:left w:val="none" w:sz="0" w:space="0" w:color="auto"/>
        <w:bottom w:val="none" w:sz="0" w:space="0" w:color="auto"/>
        <w:right w:val="none" w:sz="0" w:space="0" w:color="auto"/>
      </w:divBdr>
    </w:div>
    <w:div w:id="1706834160">
      <w:bodyDiv w:val="1"/>
      <w:marLeft w:val="0"/>
      <w:marRight w:val="0"/>
      <w:marTop w:val="0"/>
      <w:marBottom w:val="0"/>
      <w:divBdr>
        <w:top w:val="none" w:sz="0" w:space="0" w:color="auto"/>
        <w:left w:val="none" w:sz="0" w:space="0" w:color="auto"/>
        <w:bottom w:val="none" w:sz="0" w:space="0" w:color="auto"/>
        <w:right w:val="none" w:sz="0" w:space="0" w:color="auto"/>
      </w:divBdr>
    </w:div>
    <w:div w:id="1937445500">
      <w:bodyDiv w:val="1"/>
      <w:marLeft w:val="0"/>
      <w:marRight w:val="0"/>
      <w:marTop w:val="0"/>
      <w:marBottom w:val="0"/>
      <w:divBdr>
        <w:top w:val="none" w:sz="0" w:space="0" w:color="auto"/>
        <w:left w:val="none" w:sz="0" w:space="0" w:color="auto"/>
        <w:bottom w:val="none" w:sz="0" w:space="0" w:color="auto"/>
        <w:right w:val="none" w:sz="0" w:space="0" w:color="auto"/>
      </w:divBdr>
    </w:div>
    <w:div w:id="1979408377">
      <w:bodyDiv w:val="1"/>
      <w:marLeft w:val="0"/>
      <w:marRight w:val="0"/>
      <w:marTop w:val="0"/>
      <w:marBottom w:val="0"/>
      <w:divBdr>
        <w:top w:val="none" w:sz="0" w:space="0" w:color="auto"/>
        <w:left w:val="none" w:sz="0" w:space="0" w:color="auto"/>
        <w:bottom w:val="none" w:sz="0" w:space="0" w:color="auto"/>
        <w:right w:val="none" w:sz="0" w:space="0" w:color="auto"/>
      </w:divBdr>
      <w:divsChild>
        <w:div w:id="1253855764">
          <w:marLeft w:val="0"/>
          <w:marRight w:val="0"/>
          <w:marTop w:val="0"/>
          <w:marBottom w:val="0"/>
          <w:divBdr>
            <w:top w:val="none" w:sz="0" w:space="0" w:color="auto"/>
            <w:left w:val="none" w:sz="0" w:space="0" w:color="auto"/>
            <w:bottom w:val="none" w:sz="0" w:space="0" w:color="auto"/>
            <w:right w:val="none" w:sz="0" w:space="0" w:color="auto"/>
          </w:divBdr>
        </w:div>
      </w:divsChild>
    </w:div>
    <w:div w:id="2063171074">
      <w:bodyDiv w:val="1"/>
      <w:marLeft w:val="0"/>
      <w:marRight w:val="0"/>
      <w:marTop w:val="0"/>
      <w:marBottom w:val="0"/>
      <w:divBdr>
        <w:top w:val="none" w:sz="0" w:space="0" w:color="auto"/>
        <w:left w:val="none" w:sz="0" w:space="0" w:color="auto"/>
        <w:bottom w:val="none" w:sz="0" w:space="0" w:color="auto"/>
        <w:right w:val="none" w:sz="0" w:space="0" w:color="auto"/>
      </w:divBdr>
      <w:divsChild>
        <w:div w:id="1582329426">
          <w:marLeft w:val="0"/>
          <w:marRight w:val="0"/>
          <w:marTop w:val="0"/>
          <w:marBottom w:val="0"/>
          <w:divBdr>
            <w:top w:val="none" w:sz="0" w:space="0" w:color="auto"/>
            <w:left w:val="none" w:sz="0" w:space="0" w:color="auto"/>
            <w:bottom w:val="none" w:sz="0" w:space="0" w:color="auto"/>
            <w:right w:val="none" w:sz="0" w:space="0" w:color="auto"/>
          </w:divBdr>
          <w:divsChild>
            <w:div w:id="1939824632">
              <w:marLeft w:val="0"/>
              <w:marRight w:val="0"/>
              <w:marTop w:val="0"/>
              <w:marBottom w:val="0"/>
              <w:divBdr>
                <w:top w:val="none" w:sz="0" w:space="0" w:color="auto"/>
                <w:left w:val="none" w:sz="0" w:space="0" w:color="auto"/>
                <w:bottom w:val="none" w:sz="0" w:space="0" w:color="auto"/>
                <w:right w:val="none" w:sz="0" w:space="0" w:color="auto"/>
              </w:divBdr>
            </w:div>
            <w:div w:id="1133249453">
              <w:marLeft w:val="0"/>
              <w:marRight w:val="0"/>
              <w:marTop w:val="0"/>
              <w:marBottom w:val="0"/>
              <w:divBdr>
                <w:top w:val="none" w:sz="0" w:space="0" w:color="auto"/>
                <w:left w:val="none" w:sz="0" w:space="0" w:color="auto"/>
                <w:bottom w:val="none" w:sz="0" w:space="0" w:color="auto"/>
                <w:right w:val="none" w:sz="0" w:space="0" w:color="auto"/>
              </w:divBdr>
            </w:div>
            <w:div w:id="90514240">
              <w:marLeft w:val="0"/>
              <w:marRight w:val="0"/>
              <w:marTop w:val="0"/>
              <w:marBottom w:val="0"/>
              <w:divBdr>
                <w:top w:val="none" w:sz="0" w:space="0" w:color="auto"/>
                <w:left w:val="none" w:sz="0" w:space="0" w:color="auto"/>
                <w:bottom w:val="none" w:sz="0" w:space="0" w:color="auto"/>
                <w:right w:val="none" w:sz="0" w:space="0" w:color="auto"/>
              </w:divBdr>
            </w:div>
          </w:divsChild>
        </w:div>
        <w:div w:id="705451692">
          <w:marLeft w:val="0"/>
          <w:marRight w:val="0"/>
          <w:marTop w:val="0"/>
          <w:marBottom w:val="0"/>
          <w:divBdr>
            <w:top w:val="none" w:sz="0" w:space="0" w:color="auto"/>
            <w:left w:val="none" w:sz="0" w:space="0" w:color="auto"/>
            <w:bottom w:val="none" w:sz="0" w:space="0" w:color="auto"/>
            <w:right w:val="none" w:sz="0" w:space="0" w:color="auto"/>
          </w:divBdr>
          <w:divsChild>
            <w:div w:id="1793480705">
              <w:marLeft w:val="0"/>
              <w:marRight w:val="0"/>
              <w:marTop w:val="0"/>
              <w:marBottom w:val="0"/>
              <w:divBdr>
                <w:top w:val="none" w:sz="0" w:space="0" w:color="auto"/>
                <w:left w:val="none" w:sz="0" w:space="0" w:color="auto"/>
                <w:bottom w:val="none" w:sz="0" w:space="0" w:color="auto"/>
                <w:right w:val="none" w:sz="0" w:space="0" w:color="auto"/>
              </w:divBdr>
            </w:div>
            <w:div w:id="1294023643">
              <w:marLeft w:val="0"/>
              <w:marRight w:val="0"/>
              <w:marTop w:val="0"/>
              <w:marBottom w:val="0"/>
              <w:divBdr>
                <w:top w:val="none" w:sz="0" w:space="0" w:color="auto"/>
                <w:left w:val="none" w:sz="0" w:space="0" w:color="auto"/>
                <w:bottom w:val="none" w:sz="0" w:space="0" w:color="auto"/>
                <w:right w:val="none" w:sz="0" w:space="0" w:color="auto"/>
              </w:divBdr>
            </w:div>
            <w:div w:id="1275138870">
              <w:marLeft w:val="0"/>
              <w:marRight w:val="0"/>
              <w:marTop w:val="0"/>
              <w:marBottom w:val="0"/>
              <w:divBdr>
                <w:top w:val="none" w:sz="0" w:space="0" w:color="auto"/>
                <w:left w:val="none" w:sz="0" w:space="0" w:color="auto"/>
                <w:bottom w:val="none" w:sz="0" w:space="0" w:color="auto"/>
                <w:right w:val="none" w:sz="0" w:space="0" w:color="auto"/>
              </w:divBdr>
            </w:div>
            <w:div w:id="297954115">
              <w:marLeft w:val="0"/>
              <w:marRight w:val="0"/>
              <w:marTop w:val="0"/>
              <w:marBottom w:val="0"/>
              <w:divBdr>
                <w:top w:val="none" w:sz="0" w:space="0" w:color="auto"/>
                <w:left w:val="none" w:sz="0" w:space="0" w:color="auto"/>
                <w:bottom w:val="none" w:sz="0" w:space="0" w:color="auto"/>
                <w:right w:val="none" w:sz="0" w:space="0" w:color="auto"/>
              </w:divBdr>
            </w:div>
            <w:div w:id="74010111">
              <w:marLeft w:val="0"/>
              <w:marRight w:val="0"/>
              <w:marTop w:val="0"/>
              <w:marBottom w:val="0"/>
              <w:divBdr>
                <w:top w:val="none" w:sz="0" w:space="0" w:color="auto"/>
                <w:left w:val="none" w:sz="0" w:space="0" w:color="auto"/>
                <w:bottom w:val="none" w:sz="0" w:space="0" w:color="auto"/>
                <w:right w:val="none" w:sz="0" w:space="0" w:color="auto"/>
              </w:divBdr>
            </w:div>
            <w:div w:id="1643731321">
              <w:marLeft w:val="0"/>
              <w:marRight w:val="0"/>
              <w:marTop w:val="0"/>
              <w:marBottom w:val="0"/>
              <w:divBdr>
                <w:top w:val="none" w:sz="0" w:space="0" w:color="auto"/>
                <w:left w:val="none" w:sz="0" w:space="0" w:color="auto"/>
                <w:bottom w:val="none" w:sz="0" w:space="0" w:color="auto"/>
                <w:right w:val="none" w:sz="0" w:space="0" w:color="auto"/>
              </w:divBdr>
            </w:div>
          </w:divsChild>
        </w:div>
        <w:div w:id="803423857">
          <w:marLeft w:val="0"/>
          <w:marRight w:val="0"/>
          <w:marTop w:val="0"/>
          <w:marBottom w:val="0"/>
          <w:divBdr>
            <w:top w:val="none" w:sz="0" w:space="0" w:color="auto"/>
            <w:left w:val="none" w:sz="0" w:space="0" w:color="auto"/>
            <w:bottom w:val="none" w:sz="0" w:space="0" w:color="auto"/>
            <w:right w:val="none" w:sz="0" w:space="0" w:color="auto"/>
          </w:divBdr>
        </w:div>
      </w:divsChild>
    </w:div>
    <w:div w:id="211138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84D4A-46BB-4E81-ADD4-369C479BA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7620</Words>
  <Characters>43440</Characters>
  <Application>Microsoft Office Word</Application>
  <DocSecurity>4</DocSecurity>
  <Lines>362</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2021-09-15T12:28:00Z</dcterms:created>
  <dc:creator>Tomas Pilukas</dc:creator>
  <cp:lastModifiedBy>Sergėjus Volkovas</cp:lastModifiedBy>
  <dcterms:modified xsi:type="dcterms:W3CDTF">2021-09-15T12:28:00Z</dcterms:modified>
  <cp:revision>2</cp:revision>
</cp:coreProperties>
</file>