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17F" w:rsidRPr="00E47362" w:rsidRDefault="004B217F" w:rsidP="002F39D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Bold" w:eastAsia="Times New Roman Bold" w:hAnsi="Times New Roman Bold" w:cs="Times New Roman Bold"/>
          <w:lang w:val="lt-LT"/>
        </w:rPr>
      </w:pPr>
    </w:p>
    <w:p w:rsidR="0032625D" w:rsidRPr="00E47362" w:rsidRDefault="002677AA" w:rsidP="0032625D">
      <w:pPr>
        <w:jc w:val="center"/>
        <w:rPr>
          <w:rFonts w:eastAsia="Calibri"/>
          <w:b/>
          <w:lang w:val="lt-LT"/>
        </w:rPr>
      </w:pPr>
      <w:r w:rsidRPr="00E47362">
        <w:rPr>
          <w:rFonts w:eastAsia="Calibri"/>
          <w:b/>
          <w:lang w:val="lt-LT"/>
        </w:rPr>
        <w:t>2021</w:t>
      </w:r>
      <w:r w:rsidR="0032625D" w:rsidRPr="00E47362">
        <w:rPr>
          <w:rFonts w:eastAsia="Calibri"/>
          <w:b/>
          <w:lang w:val="lt-LT"/>
        </w:rPr>
        <w:t xml:space="preserve"> M. </w:t>
      </w:r>
      <w:r w:rsidR="00AF1B36">
        <w:rPr>
          <w:rFonts w:eastAsia="Calibri"/>
          <w:b/>
          <w:lang w:val="lt-LT"/>
        </w:rPr>
        <w:t>KOVO</w:t>
      </w:r>
      <w:r w:rsidR="006E6FE9" w:rsidRPr="00E47362">
        <w:rPr>
          <w:rFonts w:eastAsia="Calibri"/>
          <w:b/>
          <w:lang w:val="lt-LT"/>
        </w:rPr>
        <w:t xml:space="preserve"> 16</w:t>
      </w:r>
      <w:r w:rsidRPr="00E47362">
        <w:rPr>
          <w:rFonts w:eastAsia="Calibri"/>
          <w:b/>
          <w:lang w:val="lt-LT"/>
        </w:rPr>
        <w:t xml:space="preserve"> D. </w:t>
      </w:r>
      <w:r w:rsidR="0032625D" w:rsidRPr="00E47362">
        <w:rPr>
          <w:rFonts w:eastAsia="Calibri"/>
          <w:b/>
          <w:lang w:val="lt-LT"/>
        </w:rPr>
        <w:t>EUROPOS SĄJUNGOS EKONOMIKOS IR FINANSŲ REIKALŲ TARYBOS (ECOFIN) VAIZDO KONFER</w:t>
      </w:r>
      <w:r w:rsidR="00790FF5" w:rsidRPr="00E47362">
        <w:rPr>
          <w:rFonts w:eastAsia="Calibri"/>
          <w:b/>
          <w:lang w:val="lt-LT"/>
        </w:rPr>
        <w:t>ENCIJA</w:t>
      </w:r>
    </w:p>
    <w:p w:rsidR="004B217F" w:rsidRPr="00E47362" w:rsidRDefault="004B217F">
      <w:pPr>
        <w:pStyle w:val="BodyA"/>
        <w:rPr>
          <w:rFonts w:ascii="Times New Roman Bold" w:eastAsia="Times New Roman Bold" w:hAnsi="Times New Roman Bold" w:cs="Times New Roman Bold"/>
          <w:lang w:val="lt-LT"/>
        </w:rPr>
      </w:pPr>
    </w:p>
    <w:p w:rsidR="004B217F" w:rsidRPr="00E47362" w:rsidRDefault="004B217F" w:rsidP="00BA186A">
      <w:pPr>
        <w:pStyle w:val="BodyA"/>
        <w:jc w:val="center"/>
        <w:rPr>
          <w:rFonts w:ascii="Times New Roman Bold"/>
          <w:caps/>
          <w:lang w:val="lt-LT"/>
        </w:rPr>
      </w:pPr>
    </w:p>
    <w:tbl>
      <w:tblPr>
        <w:tblW w:w="947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470"/>
      </w:tblGrid>
      <w:tr w:rsidR="004B217F" w:rsidRPr="005D3625" w:rsidTr="003A3602">
        <w:trPr>
          <w:trHeight w:val="1475"/>
        </w:trPr>
        <w:tc>
          <w:tcPr>
            <w:tcW w:w="947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6E6FE9" w:rsidRPr="00E47362" w:rsidRDefault="0032625D">
            <w:pPr>
              <w:pStyle w:val="BodyA"/>
              <w:jc w:val="both"/>
              <w:rPr>
                <w:rFonts w:hAnsi="Times New Roman" w:cs="Times New Roman"/>
                <w:lang w:val="lt-LT"/>
              </w:rPr>
            </w:pPr>
            <w:r w:rsidRPr="00E47362">
              <w:rPr>
                <w:rFonts w:hAnsi="Times New Roman" w:cs="Times New Roman"/>
                <w:b/>
                <w:lang w:val="lt-LT"/>
              </w:rPr>
              <w:t>1.</w:t>
            </w:r>
            <w:r w:rsidRPr="00E47362">
              <w:rPr>
                <w:rFonts w:hAnsi="Times New Roman" w:cs="Times New Roman"/>
                <w:lang w:val="lt-LT"/>
              </w:rPr>
              <w:t xml:space="preserve"> </w:t>
            </w:r>
            <w:r w:rsidR="00AF1B36">
              <w:rPr>
                <w:rFonts w:hAnsi="Times New Roman" w:cs="Times New Roman"/>
                <w:lang w:val="lt-LT"/>
              </w:rPr>
              <w:t>Tarybos išvados</w:t>
            </w:r>
            <w:r w:rsidR="00AF1B36" w:rsidRPr="00AF1B36">
              <w:rPr>
                <w:rFonts w:hAnsi="Times New Roman" w:cs="Times New Roman"/>
                <w:lang w:val="lt-LT"/>
              </w:rPr>
              <w:t xml:space="preserve"> dėl ES mažmeninių mokėjimų strategijos</w:t>
            </w:r>
          </w:p>
          <w:p w:rsidR="004B217F" w:rsidRPr="00AF1B36" w:rsidRDefault="00FD34ED" w:rsidP="00AF1B36">
            <w:pPr>
              <w:pStyle w:val="BodyA"/>
              <w:jc w:val="both"/>
              <w:rPr>
                <w:rFonts w:hAnsi="Times New Roman" w:cs="Times New Roman"/>
                <w:lang w:val="lt-LT"/>
              </w:rPr>
            </w:pPr>
            <w:r w:rsidRPr="00A600FE">
              <w:rPr>
                <w:rFonts w:hAnsi="Times New Roman" w:cs="Times New Roman"/>
                <w:b/>
                <w:u w:val="single"/>
                <w:lang w:val="lt-LT"/>
              </w:rPr>
              <w:t>Klausimo esmė:</w:t>
            </w:r>
            <w:r w:rsidR="00EE1216" w:rsidRPr="00A600FE">
              <w:rPr>
                <w:rFonts w:hAnsi="Times New Roman" w:cs="Times New Roman"/>
                <w:lang w:val="lt-LT"/>
              </w:rPr>
              <w:t xml:space="preserve"> </w:t>
            </w:r>
            <w:r w:rsidR="00AF1B36" w:rsidRPr="00AF1B36">
              <w:rPr>
                <w:rFonts w:hAnsi="Times New Roman" w:cs="Times New Roman"/>
                <w:lang w:val="lt-LT"/>
              </w:rPr>
              <w:t>Kovo 16 d. ECOFIN posėdyje Pirmininkaujanti valstybė narė pristatys Eur</w:t>
            </w:r>
            <w:r w:rsidR="00AF1B36" w:rsidRPr="00AF1B36">
              <w:rPr>
                <w:rFonts w:hAnsi="Times New Roman" w:cs="Times New Roman"/>
                <w:lang w:val="lt-LT"/>
              </w:rPr>
              <w:t>o</w:t>
            </w:r>
            <w:r w:rsidR="00AF1B36" w:rsidRPr="00AF1B36">
              <w:rPr>
                <w:rFonts w:hAnsi="Times New Roman" w:cs="Times New Roman"/>
                <w:lang w:val="lt-LT"/>
              </w:rPr>
              <w:t>pos Tarybos išvadų dėl ES mažmeninių mokėjimų strategijos (toliau – Strategija), kurią 2020 m. rugsėjo 24 d. paske</w:t>
            </w:r>
            <w:r w:rsidR="00AF1B36">
              <w:rPr>
                <w:rFonts w:hAnsi="Times New Roman" w:cs="Times New Roman"/>
                <w:lang w:val="lt-LT"/>
              </w:rPr>
              <w:t>lbė Europos Komisija</w:t>
            </w:r>
            <w:r w:rsidR="00836630">
              <w:rPr>
                <w:rFonts w:hAnsi="Times New Roman" w:cs="Times New Roman"/>
                <w:lang w:val="lt-LT"/>
              </w:rPr>
              <w:t xml:space="preserve"> (EK)</w:t>
            </w:r>
            <w:r w:rsidR="00AF1B36">
              <w:rPr>
                <w:rFonts w:hAnsi="Times New Roman" w:cs="Times New Roman"/>
                <w:lang w:val="lt-LT"/>
              </w:rPr>
              <w:t xml:space="preserve">, projektą. </w:t>
            </w:r>
            <w:r w:rsidR="00D07E6A" w:rsidRPr="00AF1B36">
              <w:rPr>
                <w:rFonts w:hAnsi="Times New Roman" w:cs="Times New Roman"/>
                <w:lang w:val="lt-LT"/>
              </w:rPr>
              <w:t>P</w:t>
            </w:r>
            <w:r w:rsidR="00D07E6A">
              <w:rPr>
                <w:rFonts w:hAnsi="Times New Roman" w:cs="Times New Roman"/>
                <w:lang w:val="lt-LT"/>
              </w:rPr>
              <w:t>rojekte</w:t>
            </w:r>
            <w:r w:rsidR="00D07E6A" w:rsidRPr="00AF1B36">
              <w:rPr>
                <w:rFonts w:hAnsi="Times New Roman" w:cs="Times New Roman"/>
                <w:lang w:val="lt-LT"/>
              </w:rPr>
              <w:t xml:space="preserve"> </w:t>
            </w:r>
            <w:r w:rsidR="00AF1B36" w:rsidRPr="00AF1B36">
              <w:rPr>
                <w:rFonts w:hAnsi="Times New Roman" w:cs="Times New Roman"/>
                <w:lang w:val="lt-LT"/>
              </w:rPr>
              <w:t>palankiai vertinama Komis</w:t>
            </w:r>
            <w:r w:rsidR="00AF1B36" w:rsidRPr="00AF1B36">
              <w:rPr>
                <w:rFonts w:hAnsi="Times New Roman" w:cs="Times New Roman"/>
                <w:lang w:val="lt-LT"/>
              </w:rPr>
              <w:t>i</w:t>
            </w:r>
            <w:r w:rsidR="00AF1B36" w:rsidRPr="00AF1B36">
              <w:rPr>
                <w:rFonts w:hAnsi="Times New Roman" w:cs="Times New Roman"/>
                <w:lang w:val="lt-LT"/>
              </w:rPr>
              <w:t>jos paskelbta Strategija, atsižvelgiant į mokėjimų rinkos fragmentaciją bei tai, kad nauji mok</w:t>
            </w:r>
            <w:r w:rsidR="00AF1B36" w:rsidRPr="00AF1B36">
              <w:rPr>
                <w:rFonts w:hAnsi="Times New Roman" w:cs="Times New Roman"/>
                <w:lang w:val="lt-LT"/>
              </w:rPr>
              <w:t>ė</w:t>
            </w:r>
            <w:r w:rsidR="00AF1B36" w:rsidRPr="00AF1B36">
              <w:rPr>
                <w:rFonts w:hAnsi="Times New Roman" w:cs="Times New Roman"/>
                <w:lang w:val="lt-LT"/>
              </w:rPr>
              <w:t>jimų sprendimai kelia daugybę problemų, susijusių su reguliavimu ir priežiūra, ypač saugumo, vartotojų apsaugos, konkurencijos, duomenų apsaugos, kovos su pinigų plovimu ir kovos su te</w:t>
            </w:r>
            <w:r w:rsidR="00AF1B36" w:rsidRPr="00AF1B36">
              <w:rPr>
                <w:rFonts w:hAnsi="Times New Roman" w:cs="Times New Roman"/>
                <w:lang w:val="lt-LT"/>
              </w:rPr>
              <w:t>r</w:t>
            </w:r>
            <w:r w:rsidR="00AF1B36" w:rsidRPr="00AF1B36">
              <w:rPr>
                <w:rFonts w:hAnsi="Times New Roman" w:cs="Times New Roman"/>
                <w:lang w:val="lt-LT"/>
              </w:rPr>
              <w:t xml:space="preserve">orizmo finansavimu srityse. Sutinkama su </w:t>
            </w:r>
            <w:r w:rsidR="00836630">
              <w:rPr>
                <w:rFonts w:hAnsi="Times New Roman" w:cs="Times New Roman"/>
                <w:lang w:val="lt-LT"/>
              </w:rPr>
              <w:t>EK</w:t>
            </w:r>
            <w:r w:rsidR="000573E9">
              <w:rPr>
                <w:rFonts w:hAnsi="Times New Roman" w:cs="Times New Roman"/>
                <w:lang w:val="lt-LT"/>
              </w:rPr>
              <w:t xml:space="preserve"> siūlomais</w:t>
            </w:r>
            <w:r w:rsidR="00AF1B36" w:rsidRPr="00AF1B36">
              <w:rPr>
                <w:rFonts w:hAnsi="Times New Roman" w:cs="Times New Roman"/>
                <w:lang w:val="lt-LT"/>
              </w:rPr>
              <w:t xml:space="preserve"> strateginių veik</w:t>
            </w:r>
            <w:r w:rsidR="00AF1B36">
              <w:rPr>
                <w:rFonts w:hAnsi="Times New Roman" w:cs="Times New Roman"/>
                <w:lang w:val="lt-LT"/>
              </w:rPr>
              <w:t>smų „ramsčiais“ ir p</w:t>
            </w:r>
            <w:r w:rsidR="00AF1B36">
              <w:rPr>
                <w:rFonts w:hAnsi="Times New Roman" w:cs="Times New Roman"/>
                <w:lang w:val="lt-LT"/>
              </w:rPr>
              <w:t>a</w:t>
            </w:r>
            <w:r w:rsidR="00AF1B36">
              <w:rPr>
                <w:rFonts w:hAnsi="Times New Roman" w:cs="Times New Roman"/>
                <w:lang w:val="lt-LT"/>
              </w:rPr>
              <w:t xml:space="preserve">brėžiamas </w:t>
            </w:r>
            <w:r w:rsidR="00AF1B36" w:rsidRPr="00AF1B36">
              <w:rPr>
                <w:rFonts w:hAnsi="Times New Roman" w:cs="Times New Roman"/>
                <w:lang w:val="lt-LT"/>
              </w:rPr>
              <w:t xml:space="preserve">tikslas </w:t>
            </w:r>
            <w:r w:rsidR="00AF1B36">
              <w:rPr>
                <w:rFonts w:hAnsi="Times New Roman" w:cs="Times New Roman"/>
                <w:lang w:val="lt-LT"/>
              </w:rPr>
              <w:t xml:space="preserve">visų pirma </w:t>
            </w:r>
            <w:r w:rsidR="00AF1B36" w:rsidRPr="00AF1B36">
              <w:rPr>
                <w:rFonts w:hAnsi="Times New Roman" w:cs="Times New Roman"/>
                <w:lang w:val="lt-LT"/>
              </w:rPr>
              <w:t>skatinti momentinių mokėjimų ir kitų mokėjimo sprendimų naud</w:t>
            </w:r>
            <w:r w:rsidR="00AF1B36" w:rsidRPr="00AF1B36">
              <w:rPr>
                <w:rFonts w:hAnsi="Times New Roman" w:cs="Times New Roman"/>
                <w:lang w:val="lt-LT"/>
              </w:rPr>
              <w:t>o</w:t>
            </w:r>
            <w:r w:rsidR="00AF1B36" w:rsidRPr="00AF1B36">
              <w:rPr>
                <w:rFonts w:hAnsi="Times New Roman" w:cs="Times New Roman"/>
                <w:lang w:val="lt-LT"/>
              </w:rPr>
              <w:t xml:space="preserve">jimą, </w:t>
            </w:r>
            <w:r w:rsidR="00D07E6A">
              <w:rPr>
                <w:rFonts w:hAnsi="Times New Roman" w:cs="Times New Roman"/>
                <w:lang w:val="lt-LT"/>
              </w:rPr>
              <w:t>imtis</w:t>
            </w:r>
            <w:r w:rsidR="00D07E6A" w:rsidRPr="00AF1B36">
              <w:rPr>
                <w:rFonts w:hAnsi="Times New Roman" w:cs="Times New Roman"/>
                <w:lang w:val="lt-LT"/>
              </w:rPr>
              <w:t xml:space="preserve"> </w:t>
            </w:r>
            <w:r w:rsidR="00AF1B36" w:rsidRPr="00AF1B36">
              <w:rPr>
                <w:rFonts w:hAnsi="Times New Roman" w:cs="Times New Roman"/>
                <w:lang w:val="lt-LT"/>
              </w:rPr>
              <w:t>teisėkūros priemon</w:t>
            </w:r>
            <w:r w:rsidR="00D07E6A">
              <w:rPr>
                <w:rFonts w:hAnsi="Times New Roman" w:cs="Times New Roman"/>
                <w:lang w:val="lt-LT"/>
              </w:rPr>
              <w:t>ių</w:t>
            </w:r>
            <w:r w:rsidR="00AF1B36" w:rsidRPr="00AF1B36">
              <w:rPr>
                <w:rFonts w:hAnsi="Times New Roman" w:cs="Times New Roman"/>
                <w:lang w:val="lt-LT"/>
              </w:rPr>
              <w:t>, kurios galėtų spręsti iššūkius, atsiradusius dėl skaitmenizac</w:t>
            </w:r>
            <w:r w:rsidR="00AF1B36" w:rsidRPr="00AF1B36">
              <w:rPr>
                <w:rFonts w:hAnsi="Times New Roman" w:cs="Times New Roman"/>
                <w:lang w:val="lt-LT"/>
              </w:rPr>
              <w:t>i</w:t>
            </w:r>
            <w:r w:rsidR="00AF1B36" w:rsidRPr="00AF1B36">
              <w:rPr>
                <w:rFonts w:hAnsi="Times New Roman" w:cs="Times New Roman"/>
                <w:lang w:val="lt-LT"/>
              </w:rPr>
              <w:t>jos, ir skatintų novatorišką, atvirą, atsparią, saugią mokėjimų ekosistemą</w:t>
            </w:r>
            <w:r w:rsidR="000573E9">
              <w:rPr>
                <w:rFonts w:hAnsi="Times New Roman" w:cs="Times New Roman"/>
                <w:lang w:val="lt-LT"/>
              </w:rPr>
              <w:t>.</w:t>
            </w:r>
          </w:p>
          <w:p w:rsidR="00406FB1" w:rsidRPr="00A600FE" w:rsidRDefault="00406FB1">
            <w:pPr>
              <w:pStyle w:val="BodyA"/>
              <w:jc w:val="both"/>
              <w:rPr>
                <w:rFonts w:eastAsia="Times New Roman Bold" w:hAnsi="Times New Roman" w:cs="Times New Roman"/>
                <w:u w:val="single"/>
                <w:lang w:val="lt-LT"/>
              </w:rPr>
            </w:pPr>
          </w:p>
          <w:p w:rsidR="004B217F" w:rsidRPr="00A600FE" w:rsidRDefault="00EE1216" w:rsidP="006E6FE9">
            <w:pPr>
              <w:pStyle w:val="BodyA"/>
              <w:jc w:val="both"/>
              <w:rPr>
                <w:rFonts w:hAnsi="Times New Roman" w:cs="Times New Roman"/>
                <w:lang w:val="lt-LT"/>
              </w:rPr>
            </w:pPr>
            <w:r w:rsidRPr="00A600FE">
              <w:rPr>
                <w:rFonts w:hAnsi="Times New Roman" w:cs="Times New Roman"/>
                <w:b/>
                <w:u w:val="single"/>
                <w:lang w:val="lt-LT"/>
              </w:rPr>
              <w:t>Lietuvos pozicija.</w:t>
            </w:r>
            <w:r w:rsidRPr="00A600FE">
              <w:rPr>
                <w:rFonts w:hAnsi="Times New Roman" w:cs="Times New Roman"/>
                <w:lang w:val="lt-LT"/>
              </w:rPr>
              <w:t xml:space="preserve"> </w:t>
            </w:r>
            <w:r w:rsidR="00AF1B36" w:rsidRPr="00AF1B36">
              <w:rPr>
                <w:rFonts w:hAnsi="Times New Roman" w:cs="Times New Roman"/>
                <w:lang w:val="lt-LT"/>
              </w:rPr>
              <w:t>Pritariame ES Tarybos išvadų projektui. Manome, kad Projekte yra nurodyti svarbūs akcentai dėl Komisijos strategijos įgyvendinimo. Visų pirma, pritariame, kad būtina skatinti momentinių mokėjimų ir kitų mokėjimų sprendimų naudojimą, tuo pat metu didinant vartotojų ir įmonių pasitikėjimą šiomis priemonėmis. Sutinkame, kad bet kokios naujos Komis</w:t>
            </w:r>
            <w:r w:rsidR="00AF1B36" w:rsidRPr="00AF1B36">
              <w:rPr>
                <w:rFonts w:hAnsi="Times New Roman" w:cs="Times New Roman"/>
                <w:lang w:val="lt-LT"/>
              </w:rPr>
              <w:t>i</w:t>
            </w:r>
            <w:r w:rsidR="00AF1B36" w:rsidRPr="00AF1B36">
              <w:rPr>
                <w:rFonts w:hAnsi="Times New Roman" w:cs="Times New Roman"/>
                <w:lang w:val="lt-LT"/>
              </w:rPr>
              <w:t xml:space="preserve">jos teisėkūros priemonės turi būti pradėtos tik atlikus išsamius vertinimus. Džiaugiamės, kad projekte yra atkreiptas dėmesys </w:t>
            </w:r>
            <w:r w:rsidR="00AF1B36">
              <w:rPr>
                <w:rFonts w:hAnsi="Times New Roman" w:cs="Times New Roman"/>
                <w:lang w:val="lt-LT"/>
              </w:rPr>
              <w:t>į grynųjų pinigų svarbą</w:t>
            </w:r>
            <w:r w:rsidR="00AF1B36" w:rsidRPr="00AF1B36">
              <w:rPr>
                <w:rFonts w:hAnsi="Times New Roman" w:cs="Times New Roman"/>
                <w:lang w:val="lt-LT"/>
              </w:rPr>
              <w:t xml:space="preserve"> mažmeniniuose mokėjimuose ir būtin</w:t>
            </w:r>
            <w:r w:rsidR="00AF1B36" w:rsidRPr="00AF1B36">
              <w:rPr>
                <w:rFonts w:hAnsi="Times New Roman" w:cs="Times New Roman"/>
                <w:lang w:val="lt-LT"/>
              </w:rPr>
              <w:t>y</w:t>
            </w:r>
            <w:r w:rsidR="00AF1B36" w:rsidRPr="00AF1B36">
              <w:rPr>
                <w:rFonts w:hAnsi="Times New Roman" w:cs="Times New Roman"/>
                <w:lang w:val="lt-LT"/>
              </w:rPr>
              <w:t>b</w:t>
            </w:r>
            <w:r w:rsidR="00D07E6A">
              <w:rPr>
                <w:rFonts w:hAnsi="Times New Roman" w:cs="Times New Roman"/>
                <w:lang w:val="lt-LT"/>
              </w:rPr>
              <w:t>ę</w:t>
            </w:r>
            <w:r w:rsidR="00AF1B36" w:rsidRPr="00AF1B36">
              <w:rPr>
                <w:rFonts w:hAnsi="Times New Roman" w:cs="Times New Roman"/>
                <w:lang w:val="lt-LT"/>
              </w:rPr>
              <w:t xml:space="preserve"> užtikrinti, kad tiek grynieji pinigai, tiek skaitmeniniai mokėjimai turi būti visuotinai priimtini ir priimami, taip pat, kad raginama skatinti skaitmeninį ir finansinį raštingumą, siekiant išvengti finansinės atskirties rizikos.</w:t>
            </w:r>
            <w:r w:rsidR="004A0199">
              <w:t xml:space="preserve"> </w:t>
            </w:r>
            <w:proofErr w:type="spellStart"/>
            <w:r w:rsidR="004A0199" w:rsidRPr="0044636B">
              <w:rPr>
                <w:rFonts w:hAnsi="Times New Roman" w:cs="Times New Roman"/>
              </w:rPr>
              <w:t>Remiame</w:t>
            </w:r>
            <w:proofErr w:type="spellEnd"/>
            <w:r w:rsidR="004A0199" w:rsidRPr="0044636B">
              <w:rPr>
                <w:rFonts w:hAnsi="Times New Roman" w:cs="Times New Roman"/>
              </w:rPr>
              <w:t xml:space="preserve"> </w:t>
            </w:r>
            <w:proofErr w:type="spellStart"/>
            <w:r w:rsidR="004A0199" w:rsidRPr="0044636B">
              <w:rPr>
                <w:rFonts w:hAnsi="Times New Roman" w:cs="Times New Roman"/>
              </w:rPr>
              <w:t>Europos</w:t>
            </w:r>
            <w:proofErr w:type="spellEnd"/>
            <w:r w:rsidR="004A0199" w:rsidRPr="0044636B">
              <w:rPr>
                <w:rFonts w:hAnsi="Times New Roman" w:cs="Times New Roman"/>
              </w:rPr>
              <w:t xml:space="preserve"> </w:t>
            </w:r>
            <w:proofErr w:type="spellStart"/>
            <w:r w:rsidR="004A0199" w:rsidRPr="0044636B">
              <w:rPr>
                <w:rFonts w:hAnsi="Times New Roman" w:cs="Times New Roman"/>
              </w:rPr>
              <w:t>centrinio</w:t>
            </w:r>
            <w:proofErr w:type="spellEnd"/>
            <w:r w:rsidR="004A0199" w:rsidRPr="0044636B">
              <w:rPr>
                <w:rFonts w:hAnsi="Times New Roman" w:cs="Times New Roman"/>
              </w:rPr>
              <w:t xml:space="preserve"> </w:t>
            </w:r>
            <w:proofErr w:type="spellStart"/>
            <w:r w:rsidR="004A0199" w:rsidRPr="0044636B">
              <w:rPr>
                <w:rFonts w:hAnsi="Times New Roman" w:cs="Times New Roman"/>
              </w:rPr>
              <w:t>banko</w:t>
            </w:r>
            <w:proofErr w:type="spellEnd"/>
            <w:r w:rsidR="004A0199" w:rsidRPr="0044636B">
              <w:rPr>
                <w:rFonts w:hAnsi="Times New Roman" w:cs="Times New Roman"/>
              </w:rPr>
              <w:t xml:space="preserve"> </w:t>
            </w:r>
            <w:proofErr w:type="spellStart"/>
            <w:r w:rsidR="004A0199" w:rsidRPr="0044636B">
              <w:rPr>
                <w:rFonts w:hAnsi="Times New Roman" w:cs="Times New Roman"/>
              </w:rPr>
              <w:t>darbą</w:t>
            </w:r>
            <w:proofErr w:type="spellEnd"/>
            <w:r w:rsidR="004A0199" w:rsidRPr="0044636B">
              <w:rPr>
                <w:rFonts w:hAnsi="Times New Roman" w:cs="Times New Roman"/>
              </w:rPr>
              <w:t xml:space="preserve"> </w:t>
            </w:r>
            <w:proofErr w:type="spellStart"/>
            <w:r w:rsidR="004A0199" w:rsidRPr="0044636B">
              <w:rPr>
                <w:rFonts w:hAnsi="Times New Roman" w:cs="Times New Roman"/>
              </w:rPr>
              <w:t>dėl</w:t>
            </w:r>
            <w:proofErr w:type="spellEnd"/>
            <w:r w:rsidR="004A0199" w:rsidRPr="0044636B">
              <w:rPr>
                <w:rFonts w:hAnsi="Times New Roman" w:cs="Times New Roman"/>
              </w:rPr>
              <w:t xml:space="preserve"> </w:t>
            </w:r>
            <w:proofErr w:type="spellStart"/>
            <w:r w:rsidR="004A0199" w:rsidRPr="0044636B">
              <w:rPr>
                <w:rFonts w:hAnsi="Times New Roman" w:cs="Times New Roman"/>
              </w:rPr>
              <w:t>skaitmeninio</w:t>
            </w:r>
            <w:proofErr w:type="spellEnd"/>
            <w:r w:rsidR="004A0199" w:rsidRPr="0044636B">
              <w:rPr>
                <w:rFonts w:hAnsi="Times New Roman" w:cs="Times New Roman"/>
              </w:rPr>
              <w:t xml:space="preserve"> euro</w:t>
            </w:r>
            <w:r w:rsidR="004A0199" w:rsidRPr="004A0199">
              <w:rPr>
                <w:rFonts w:hAnsi="Times New Roman" w:cs="Times New Roman"/>
                <w:lang w:val="lt-LT"/>
              </w:rPr>
              <w:t>,</w:t>
            </w:r>
            <w:r w:rsidR="004A0199" w:rsidRPr="0044636B">
              <w:rPr>
                <w:rFonts w:hAnsi="Times New Roman" w:cs="Times New Roman"/>
                <w:lang w:val="lt-LT"/>
              </w:rPr>
              <w:t xml:space="preserve"> atsakingai įvertinant ir susijusias </w:t>
            </w:r>
            <w:proofErr w:type="spellStart"/>
            <w:r w:rsidR="004A0199" w:rsidRPr="0044636B">
              <w:rPr>
                <w:rFonts w:hAnsi="Times New Roman" w:cs="Times New Roman"/>
                <w:lang w:val="lt-LT"/>
              </w:rPr>
              <w:t>rizikas</w:t>
            </w:r>
            <w:proofErr w:type="spellEnd"/>
            <w:r w:rsidR="0044636B">
              <w:rPr>
                <w:rFonts w:hAnsi="Times New Roman" w:cs="Times New Roman"/>
                <w:lang w:val="lt-LT"/>
              </w:rPr>
              <w:t>.</w:t>
            </w:r>
            <w:r w:rsidR="004A0199" w:rsidRPr="0044636B">
              <w:rPr>
                <w:rFonts w:hAnsi="Times New Roman" w:cs="Times New Roman"/>
                <w:lang w:val="lt-LT"/>
              </w:rPr>
              <w:t xml:space="preserve"> </w:t>
            </w:r>
          </w:p>
          <w:p w:rsidR="00D65D3A" w:rsidRPr="00E47362" w:rsidRDefault="00D65D3A" w:rsidP="0032625D">
            <w:pPr>
              <w:pStyle w:val="BodyA"/>
              <w:jc w:val="both"/>
              <w:rPr>
                <w:rFonts w:hAnsi="Times New Roman" w:cs="Times New Roman"/>
                <w:lang w:val="lt-LT"/>
              </w:rPr>
            </w:pPr>
          </w:p>
          <w:p w:rsidR="0032625D" w:rsidRPr="00E47362" w:rsidRDefault="0032625D" w:rsidP="0032625D">
            <w:pPr>
              <w:pStyle w:val="BodyA"/>
              <w:jc w:val="both"/>
              <w:rPr>
                <w:rFonts w:hAnsi="Times New Roman" w:cs="Times New Roman"/>
                <w:lang w:val="lt-LT"/>
              </w:rPr>
            </w:pPr>
            <w:r w:rsidRPr="00E47362">
              <w:rPr>
                <w:rFonts w:hAnsi="Times New Roman" w:cs="Times New Roman"/>
                <w:b/>
                <w:lang w:val="lt-LT"/>
              </w:rPr>
              <w:t>2.</w:t>
            </w:r>
            <w:r w:rsidRPr="00E47362">
              <w:rPr>
                <w:rFonts w:hAnsi="Times New Roman" w:cs="Times New Roman"/>
                <w:lang w:val="lt-LT"/>
              </w:rPr>
              <w:t xml:space="preserve"> </w:t>
            </w:r>
            <w:r w:rsidR="00AF1B36">
              <w:rPr>
                <w:rFonts w:hAnsi="Times New Roman" w:cs="Times New Roman"/>
                <w:b/>
                <w:lang w:val="lt-LT"/>
              </w:rPr>
              <w:t>E</w:t>
            </w:r>
            <w:r w:rsidR="00AF1B36" w:rsidRPr="00AF1B36">
              <w:rPr>
                <w:rFonts w:hAnsi="Times New Roman" w:cs="Times New Roman"/>
                <w:b/>
                <w:lang w:val="lt-LT"/>
              </w:rPr>
              <w:t>konomikos skaitm</w:t>
            </w:r>
            <w:r w:rsidR="00AF1B36">
              <w:rPr>
                <w:rFonts w:hAnsi="Times New Roman" w:cs="Times New Roman"/>
                <w:b/>
                <w:lang w:val="lt-LT"/>
              </w:rPr>
              <w:t>enizacijos apmokestinimo iššūkiai</w:t>
            </w:r>
            <w:r w:rsidR="00085F32" w:rsidRPr="00E47362">
              <w:rPr>
                <w:rFonts w:hAnsi="Times New Roman" w:cs="Times New Roman"/>
                <w:b/>
                <w:lang w:val="lt-LT"/>
              </w:rPr>
              <w:t xml:space="preserve"> </w:t>
            </w:r>
            <w:r w:rsidR="00085F32" w:rsidRPr="00E47362">
              <w:rPr>
                <w:rFonts w:hAnsi="Times New Roman" w:cs="Times New Roman"/>
                <w:i/>
                <w:lang w:val="lt-LT"/>
              </w:rPr>
              <w:t>(</w:t>
            </w:r>
            <w:r w:rsidR="00AF1B36">
              <w:rPr>
                <w:rFonts w:hAnsi="Times New Roman" w:cs="Times New Roman"/>
                <w:i/>
                <w:lang w:val="lt-LT"/>
              </w:rPr>
              <w:t>Esama situacija</w:t>
            </w:r>
            <w:r w:rsidR="00085F32" w:rsidRPr="00E47362">
              <w:rPr>
                <w:rFonts w:hAnsi="Times New Roman" w:cs="Times New Roman"/>
                <w:i/>
                <w:lang w:val="lt-LT"/>
              </w:rPr>
              <w:t>)</w:t>
            </w:r>
          </w:p>
          <w:p w:rsidR="0032625D" w:rsidRPr="00E47362" w:rsidRDefault="0032625D" w:rsidP="002C15B7">
            <w:pPr>
              <w:pStyle w:val="BodyA"/>
              <w:jc w:val="both"/>
              <w:rPr>
                <w:rFonts w:hAnsi="Times New Roman" w:cs="Times New Roman"/>
                <w:highlight w:val="yellow"/>
                <w:lang w:val="lt-LT"/>
              </w:rPr>
            </w:pPr>
          </w:p>
          <w:p w:rsidR="00AF1B36" w:rsidRPr="00AF1B36" w:rsidRDefault="00816959" w:rsidP="00AF1B36">
            <w:pPr>
              <w:pStyle w:val="BodyA"/>
              <w:jc w:val="both"/>
              <w:rPr>
                <w:rFonts w:hAnsi="Times New Roman" w:cs="Times New Roman"/>
                <w:lang w:val="lt-LT"/>
              </w:rPr>
            </w:pPr>
            <w:r w:rsidRPr="00E47362">
              <w:rPr>
                <w:rFonts w:hAnsi="Times New Roman" w:cs="Times New Roman"/>
                <w:b/>
                <w:u w:val="single"/>
                <w:lang w:val="lt-LT"/>
              </w:rPr>
              <w:t>Klausimo esmė.</w:t>
            </w:r>
            <w:r w:rsidRPr="00E47362">
              <w:rPr>
                <w:rFonts w:hAnsi="Times New Roman" w:cs="Times New Roman"/>
                <w:lang w:val="lt-LT"/>
              </w:rPr>
              <w:t xml:space="preserve"> </w:t>
            </w:r>
            <w:r w:rsidR="00AF1B36" w:rsidRPr="00AF1B36">
              <w:rPr>
                <w:rFonts w:hAnsi="Times New Roman" w:cs="Times New Roman"/>
                <w:lang w:val="lt-LT"/>
              </w:rPr>
              <w:t>Numatoma, kad ECOFIN posėdyje bus pristatoma esama padėtis dėl ekonom</w:t>
            </w:r>
            <w:r w:rsidR="00AF1B36" w:rsidRPr="00AF1B36">
              <w:rPr>
                <w:rFonts w:hAnsi="Times New Roman" w:cs="Times New Roman"/>
                <w:lang w:val="lt-LT"/>
              </w:rPr>
              <w:t>i</w:t>
            </w:r>
            <w:r w:rsidR="00AF1B36" w:rsidRPr="00AF1B36">
              <w:rPr>
                <w:rFonts w:hAnsi="Times New Roman" w:cs="Times New Roman"/>
                <w:lang w:val="lt-LT"/>
              </w:rPr>
              <w:t>kos sk</w:t>
            </w:r>
            <w:r w:rsidR="00AF1B36">
              <w:rPr>
                <w:rFonts w:hAnsi="Times New Roman" w:cs="Times New Roman"/>
                <w:lang w:val="lt-LT"/>
              </w:rPr>
              <w:t xml:space="preserve">aitmenizacijos keliamų iššūkių. </w:t>
            </w:r>
            <w:r w:rsidR="00AF1B36" w:rsidRPr="00AF1B36">
              <w:rPr>
                <w:rFonts w:hAnsi="Times New Roman" w:cs="Times New Roman"/>
                <w:lang w:val="lt-LT"/>
              </w:rPr>
              <w:t>Tikėtina, kad ECOFIN posėdžiui bus išplatintas Pirmini</w:t>
            </w:r>
            <w:r w:rsidR="00AF1B36" w:rsidRPr="00AF1B36">
              <w:rPr>
                <w:rFonts w:hAnsi="Times New Roman" w:cs="Times New Roman"/>
                <w:lang w:val="lt-LT"/>
              </w:rPr>
              <w:t>n</w:t>
            </w:r>
            <w:r w:rsidR="00AF1B36" w:rsidRPr="00AF1B36">
              <w:rPr>
                <w:rFonts w:hAnsi="Times New Roman" w:cs="Times New Roman"/>
                <w:lang w:val="lt-LT"/>
              </w:rPr>
              <w:t>kaujančios šalies dokumentas, įvertinus ir Auk</w:t>
            </w:r>
            <w:r w:rsidR="00AF1B36">
              <w:rPr>
                <w:rFonts w:hAnsi="Times New Roman" w:cs="Times New Roman"/>
                <w:lang w:val="lt-LT"/>
              </w:rPr>
              <w:t xml:space="preserve">što lygio mokesčių darbo grupės </w:t>
            </w:r>
            <w:r w:rsidR="00AF1B36" w:rsidRPr="00AF1B36">
              <w:rPr>
                <w:rFonts w:hAnsi="Times New Roman" w:cs="Times New Roman"/>
                <w:lang w:val="lt-LT"/>
              </w:rPr>
              <w:t>š.</w:t>
            </w:r>
            <w:r w:rsidR="00AF1B36">
              <w:rPr>
                <w:rFonts w:hAnsi="Times New Roman" w:cs="Times New Roman"/>
                <w:lang w:val="lt-LT"/>
              </w:rPr>
              <w:t xml:space="preserve"> </w:t>
            </w:r>
            <w:r w:rsidR="00AF1B36" w:rsidRPr="00AF1B36">
              <w:rPr>
                <w:rFonts w:hAnsi="Times New Roman" w:cs="Times New Roman"/>
                <w:lang w:val="lt-LT"/>
              </w:rPr>
              <w:t xml:space="preserve">m. kovo 2 d. </w:t>
            </w:r>
            <w:r w:rsidR="00AF1B36">
              <w:rPr>
                <w:rFonts w:hAnsi="Times New Roman" w:cs="Times New Roman"/>
                <w:lang w:val="lt-LT"/>
              </w:rPr>
              <w:t>posėdyje vykusias</w:t>
            </w:r>
            <w:r w:rsidR="00AF1B36" w:rsidRPr="00AF1B36">
              <w:rPr>
                <w:rFonts w:hAnsi="Times New Roman" w:cs="Times New Roman"/>
                <w:lang w:val="lt-LT"/>
              </w:rPr>
              <w:t xml:space="preserve"> diskusijas. Šios grupės susitikimui buvo parengtas dokumentas, kuriame pr</w:t>
            </w:r>
            <w:r w:rsidR="00AF1B36" w:rsidRPr="00AF1B36">
              <w:rPr>
                <w:rFonts w:hAnsi="Times New Roman" w:cs="Times New Roman"/>
                <w:lang w:val="lt-LT"/>
              </w:rPr>
              <w:t>i</w:t>
            </w:r>
            <w:r w:rsidR="00AF1B36" w:rsidRPr="00AF1B36">
              <w:rPr>
                <w:rFonts w:hAnsi="Times New Roman" w:cs="Times New Roman"/>
                <w:lang w:val="lt-LT"/>
              </w:rPr>
              <w:t>menama, kad tikimasi surasti globalų sprendimą dėl ekonomikos skaitmenizacijos apmokestin</w:t>
            </w:r>
            <w:r w:rsidR="00AF1B36" w:rsidRPr="00AF1B36">
              <w:rPr>
                <w:rFonts w:hAnsi="Times New Roman" w:cs="Times New Roman"/>
                <w:lang w:val="lt-LT"/>
              </w:rPr>
              <w:t>i</w:t>
            </w:r>
            <w:r w:rsidR="00225CBA">
              <w:rPr>
                <w:rFonts w:hAnsi="Times New Roman" w:cs="Times New Roman"/>
                <w:lang w:val="lt-LT"/>
              </w:rPr>
              <w:t xml:space="preserve">mo iki š. m. vidurio. </w:t>
            </w:r>
          </w:p>
          <w:p w:rsidR="00AF1B36" w:rsidRPr="00AF1B36" w:rsidRDefault="00AF1B36" w:rsidP="00AF1B36">
            <w:pPr>
              <w:pStyle w:val="BodyA"/>
              <w:jc w:val="both"/>
              <w:rPr>
                <w:rFonts w:hAnsi="Times New Roman" w:cs="Times New Roman"/>
                <w:lang w:val="lt-LT"/>
              </w:rPr>
            </w:pPr>
            <w:r w:rsidRPr="00AF1B36">
              <w:rPr>
                <w:rFonts w:hAnsi="Times New Roman" w:cs="Times New Roman"/>
                <w:lang w:val="lt-LT"/>
              </w:rPr>
              <w:t>Kartu minėtame dokumente akcentuojama, kad ES, nacionaliniu lygiu vis dar reikia išsiaiškinti, kokių galiojančių teisės aktų pakeitimų ar naujų teisėkūros iniciatyvų gali reikėti, siekiant įg</w:t>
            </w:r>
            <w:r w:rsidRPr="00AF1B36">
              <w:rPr>
                <w:rFonts w:hAnsi="Times New Roman" w:cs="Times New Roman"/>
                <w:lang w:val="lt-LT"/>
              </w:rPr>
              <w:t>y</w:t>
            </w:r>
            <w:r w:rsidRPr="00AF1B36">
              <w:rPr>
                <w:rFonts w:hAnsi="Times New Roman" w:cs="Times New Roman"/>
                <w:lang w:val="lt-LT"/>
              </w:rPr>
              <w:t>vendinti galimus sprendimus. Be to, vykstančios globalios diskusijos dėl tarptautinių pelno a</w:t>
            </w:r>
            <w:r w:rsidRPr="00AF1B36">
              <w:rPr>
                <w:rFonts w:hAnsi="Times New Roman" w:cs="Times New Roman"/>
                <w:lang w:val="lt-LT"/>
              </w:rPr>
              <w:t>p</w:t>
            </w:r>
            <w:r w:rsidRPr="00AF1B36">
              <w:rPr>
                <w:rFonts w:hAnsi="Times New Roman" w:cs="Times New Roman"/>
                <w:lang w:val="lt-LT"/>
              </w:rPr>
              <w:t xml:space="preserve">mokestinimo taisyklių atnaujinimo turėjo įtakos svarstymams dėl pasiūlymo dėl skaitmeninių paslaugų mokesčio (DST) ir iš dalies svarstymams dėl pasiūlymo dėl </w:t>
            </w:r>
            <w:r w:rsidR="00225CBA" w:rsidRPr="00225CBA">
              <w:rPr>
                <w:rFonts w:hAnsi="Times New Roman" w:cs="Times New Roman"/>
                <w:lang w:val="lt-LT"/>
              </w:rPr>
              <w:t>įmonių reikšmingos skai</w:t>
            </w:r>
            <w:r w:rsidR="00225CBA" w:rsidRPr="00225CBA">
              <w:rPr>
                <w:rFonts w:hAnsi="Times New Roman" w:cs="Times New Roman"/>
                <w:lang w:val="lt-LT"/>
              </w:rPr>
              <w:t>t</w:t>
            </w:r>
            <w:r w:rsidR="00225CBA" w:rsidRPr="00225CBA">
              <w:rPr>
                <w:rFonts w:hAnsi="Times New Roman" w:cs="Times New Roman"/>
                <w:lang w:val="lt-LT"/>
              </w:rPr>
              <w:t xml:space="preserve">meninės </w:t>
            </w:r>
            <w:proofErr w:type="spellStart"/>
            <w:r w:rsidR="00225CBA" w:rsidRPr="00225CBA">
              <w:rPr>
                <w:rFonts w:hAnsi="Times New Roman" w:cs="Times New Roman"/>
                <w:lang w:val="lt-LT"/>
              </w:rPr>
              <w:t>vei</w:t>
            </w:r>
            <w:r w:rsidR="00675DEA">
              <w:rPr>
                <w:rFonts w:hAnsi="Times New Roman" w:cs="Times New Roman"/>
                <w:lang w:val="lt-LT"/>
              </w:rPr>
              <w:t>klavietės</w:t>
            </w:r>
            <w:proofErr w:type="spellEnd"/>
            <w:r w:rsidR="00675DEA">
              <w:rPr>
                <w:rFonts w:hAnsi="Times New Roman" w:cs="Times New Roman"/>
                <w:lang w:val="lt-LT"/>
              </w:rPr>
              <w:t xml:space="preserve"> apmokestinimo</w:t>
            </w:r>
            <w:r w:rsidR="00225CBA">
              <w:rPr>
                <w:rFonts w:hAnsi="Times New Roman" w:cs="Times New Roman"/>
                <w:lang w:val="lt-LT"/>
              </w:rPr>
              <w:t xml:space="preserve"> </w:t>
            </w:r>
            <w:r w:rsidR="00675DEA">
              <w:rPr>
                <w:rFonts w:hAnsi="Times New Roman" w:cs="Times New Roman"/>
                <w:lang w:val="lt-LT"/>
              </w:rPr>
              <w:t>(</w:t>
            </w:r>
            <w:proofErr w:type="spellStart"/>
            <w:r w:rsidRPr="00675DEA">
              <w:rPr>
                <w:rFonts w:hAnsi="Times New Roman" w:cs="Times New Roman"/>
                <w:i/>
                <w:lang w:val="lt-LT"/>
              </w:rPr>
              <w:t>significant</w:t>
            </w:r>
            <w:proofErr w:type="spellEnd"/>
            <w:r w:rsidRPr="00675DEA">
              <w:rPr>
                <w:rFonts w:hAnsi="Times New Roman" w:cs="Times New Roman"/>
                <w:i/>
                <w:lang w:val="lt-LT"/>
              </w:rPr>
              <w:t xml:space="preserve"> </w:t>
            </w:r>
            <w:proofErr w:type="spellStart"/>
            <w:r w:rsidRPr="00675DEA">
              <w:rPr>
                <w:rFonts w:hAnsi="Times New Roman" w:cs="Times New Roman"/>
                <w:i/>
                <w:lang w:val="lt-LT"/>
              </w:rPr>
              <w:t>digital</w:t>
            </w:r>
            <w:proofErr w:type="spellEnd"/>
            <w:r w:rsidRPr="00675DEA">
              <w:rPr>
                <w:rFonts w:hAnsi="Times New Roman" w:cs="Times New Roman"/>
                <w:i/>
                <w:lang w:val="lt-LT"/>
              </w:rPr>
              <w:t xml:space="preserve"> </w:t>
            </w:r>
            <w:proofErr w:type="spellStart"/>
            <w:r w:rsidRPr="00675DEA">
              <w:rPr>
                <w:rFonts w:hAnsi="Times New Roman" w:cs="Times New Roman"/>
                <w:i/>
                <w:lang w:val="lt-LT"/>
              </w:rPr>
              <w:t>pres</w:t>
            </w:r>
            <w:r w:rsidR="00675DEA" w:rsidRPr="00675DEA">
              <w:rPr>
                <w:rFonts w:hAnsi="Times New Roman" w:cs="Times New Roman"/>
                <w:i/>
                <w:lang w:val="lt-LT"/>
              </w:rPr>
              <w:t>ence</w:t>
            </w:r>
            <w:proofErr w:type="spellEnd"/>
            <w:r w:rsidR="00675DEA">
              <w:rPr>
                <w:rFonts w:hAnsi="Times New Roman" w:cs="Times New Roman"/>
                <w:lang w:val="lt-LT"/>
              </w:rPr>
              <w:t xml:space="preserve"> ,</w:t>
            </w:r>
            <w:r w:rsidR="00225CBA">
              <w:rPr>
                <w:rFonts w:hAnsi="Times New Roman" w:cs="Times New Roman"/>
                <w:lang w:val="lt-LT"/>
              </w:rPr>
              <w:t xml:space="preserve">SDP) ir </w:t>
            </w:r>
            <w:r w:rsidR="00675DEA">
              <w:rPr>
                <w:rFonts w:hAnsi="Times New Roman" w:cs="Times New Roman"/>
                <w:lang w:val="lt-LT"/>
              </w:rPr>
              <w:t>bendros konsolidu</w:t>
            </w:r>
            <w:r w:rsidR="00675DEA">
              <w:rPr>
                <w:rFonts w:hAnsi="Times New Roman" w:cs="Times New Roman"/>
                <w:lang w:val="lt-LT"/>
              </w:rPr>
              <w:t>o</w:t>
            </w:r>
            <w:r w:rsidR="00675DEA">
              <w:rPr>
                <w:rFonts w:hAnsi="Times New Roman" w:cs="Times New Roman"/>
                <w:lang w:val="lt-LT"/>
              </w:rPr>
              <w:t>tos pelno mokesčio bazės (</w:t>
            </w:r>
            <w:r w:rsidR="00225CBA">
              <w:rPr>
                <w:rFonts w:hAnsi="Times New Roman" w:cs="Times New Roman"/>
                <w:lang w:val="lt-LT"/>
              </w:rPr>
              <w:t xml:space="preserve">CC(C)TB </w:t>
            </w:r>
            <w:r w:rsidR="00675DEA">
              <w:rPr>
                <w:rFonts w:hAnsi="Times New Roman" w:cs="Times New Roman"/>
                <w:lang w:val="lt-LT"/>
              </w:rPr>
              <w:t xml:space="preserve">) </w:t>
            </w:r>
            <w:r w:rsidR="00225CBA">
              <w:rPr>
                <w:rFonts w:hAnsi="Times New Roman" w:cs="Times New Roman"/>
                <w:lang w:val="lt-LT"/>
              </w:rPr>
              <w:t>projekto.</w:t>
            </w:r>
          </w:p>
          <w:p w:rsidR="00AF1B36" w:rsidRPr="00AF1B36" w:rsidRDefault="00AF1B36" w:rsidP="00AF1B36">
            <w:pPr>
              <w:pStyle w:val="BodyA"/>
              <w:jc w:val="both"/>
              <w:rPr>
                <w:rFonts w:hAnsi="Times New Roman" w:cs="Times New Roman"/>
                <w:lang w:val="lt-LT"/>
              </w:rPr>
            </w:pPr>
            <w:r w:rsidRPr="00AF1B36">
              <w:rPr>
                <w:rFonts w:hAnsi="Times New Roman" w:cs="Times New Roman"/>
                <w:lang w:val="lt-LT"/>
              </w:rPr>
              <w:t>Kartu dokumente pažymima, kad kelios valstybės narės ir toliau laikosi nuomonės, kad šie a</w:t>
            </w:r>
            <w:r w:rsidRPr="00AF1B36">
              <w:rPr>
                <w:rFonts w:hAnsi="Times New Roman" w:cs="Times New Roman"/>
                <w:lang w:val="lt-LT"/>
              </w:rPr>
              <w:t>s</w:t>
            </w:r>
            <w:r w:rsidRPr="00AF1B36">
              <w:rPr>
                <w:rFonts w:hAnsi="Times New Roman" w:cs="Times New Roman"/>
                <w:lang w:val="lt-LT"/>
              </w:rPr>
              <w:t>pektai turėtų būti analizuojami lygiagrečiai vykstančioms deryboms EBPO išplėstini</w:t>
            </w:r>
            <w:r w:rsidR="00252CC5">
              <w:rPr>
                <w:rFonts w:hAnsi="Times New Roman" w:cs="Times New Roman"/>
                <w:lang w:val="lt-LT"/>
              </w:rPr>
              <w:t>ame</w:t>
            </w:r>
            <w:r w:rsidRPr="00AF1B36">
              <w:rPr>
                <w:rFonts w:hAnsi="Times New Roman" w:cs="Times New Roman"/>
                <w:lang w:val="lt-LT"/>
              </w:rPr>
              <w:t xml:space="preserve"> form</w:t>
            </w:r>
            <w:r w:rsidRPr="00AF1B36">
              <w:rPr>
                <w:rFonts w:hAnsi="Times New Roman" w:cs="Times New Roman"/>
                <w:lang w:val="lt-LT"/>
              </w:rPr>
              <w:t>a</w:t>
            </w:r>
            <w:r w:rsidRPr="00AF1B36">
              <w:rPr>
                <w:rFonts w:hAnsi="Times New Roman" w:cs="Times New Roman"/>
                <w:lang w:val="lt-LT"/>
              </w:rPr>
              <w:t>t</w:t>
            </w:r>
            <w:r w:rsidR="00252CC5">
              <w:rPr>
                <w:rFonts w:hAnsi="Times New Roman" w:cs="Times New Roman"/>
                <w:lang w:val="lt-LT"/>
              </w:rPr>
              <w:t>e</w:t>
            </w:r>
            <w:r w:rsidRPr="00AF1B36">
              <w:rPr>
                <w:rFonts w:hAnsi="Times New Roman" w:cs="Times New Roman"/>
                <w:lang w:val="lt-LT"/>
              </w:rPr>
              <w:t>, skirt</w:t>
            </w:r>
            <w:r w:rsidR="00252CC5">
              <w:rPr>
                <w:rFonts w:hAnsi="Times New Roman" w:cs="Times New Roman"/>
                <w:lang w:val="lt-LT"/>
              </w:rPr>
              <w:t>ame</w:t>
            </w:r>
            <w:r w:rsidRPr="00AF1B36">
              <w:rPr>
                <w:rFonts w:hAnsi="Times New Roman" w:cs="Times New Roman"/>
                <w:lang w:val="lt-LT"/>
              </w:rPr>
              <w:t xml:space="preserve"> kovai su mokesčių bazės erozija ir pelno perkėlimu (</w:t>
            </w:r>
            <w:proofErr w:type="spellStart"/>
            <w:r w:rsidRPr="00675DEA">
              <w:rPr>
                <w:rFonts w:hAnsi="Times New Roman" w:cs="Times New Roman"/>
                <w:i/>
                <w:lang w:val="lt-LT"/>
              </w:rPr>
              <w:t>Inclusive</w:t>
            </w:r>
            <w:proofErr w:type="spellEnd"/>
            <w:r w:rsidRPr="00675DEA">
              <w:rPr>
                <w:rFonts w:hAnsi="Times New Roman" w:cs="Times New Roman"/>
                <w:i/>
                <w:lang w:val="lt-LT"/>
              </w:rPr>
              <w:t xml:space="preserve"> </w:t>
            </w:r>
            <w:proofErr w:type="spellStart"/>
            <w:r w:rsidRPr="00675DEA">
              <w:rPr>
                <w:rFonts w:hAnsi="Times New Roman" w:cs="Times New Roman"/>
                <w:i/>
                <w:lang w:val="lt-LT"/>
              </w:rPr>
              <w:t>framework</w:t>
            </w:r>
            <w:proofErr w:type="spellEnd"/>
            <w:r w:rsidRPr="00675DEA">
              <w:rPr>
                <w:rFonts w:hAnsi="Times New Roman" w:cs="Times New Roman"/>
                <w:i/>
                <w:lang w:val="lt-LT"/>
              </w:rPr>
              <w:t xml:space="preserve"> </w:t>
            </w:r>
            <w:proofErr w:type="spellStart"/>
            <w:r w:rsidRPr="00675DEA">
              <w:rPr>
                <w:rFonts w:hAnsi="Times New Roman" w:cs="Times New Roman"/>
                <w:i/>
                <w:lang w:val="lt-LT"/>
              </w:rPr>
              <w:t>on</w:t>
            </w:r>
            <w:proofErr w:type="spellEnd"/>
            <w:r w:rsidRPr="00675DEA">
              <w:rPr>
                <w:rFonts w:hAnsi="Times New Roman" w:cs="Times New Roman"/>
                <w:i/>
                <w:lang w:val="lt-LT"/>
              </w:rPr>
              <w:t xml:space="preserve"> BEPS</w:t>
            </w:r>
            <w:r w:rsidRPr="00AF1B36">
              <w:rPr>
                <w:rFonts w:hAnsi="Times New Roman" w:cs="Times New Roman"/>
                <w:lang w:val="lt-LT"/>
              </w:rPr>
              <w:t>, toliau -IF), siekiant užtikrinti, kad visi tarptautiniai sutarimai atitik</w:t>
            </w:r>
            <w:r w:rsidR="00225CBA">
              <w:rPr>
                <w:rFonts w:hAnsi="Times New Roman" w:cs="Times New Roman"/>
                <w:lang w:val="lt-LT"/>
              </w:rPr>
              <w:t>tų ir ES teisę.</w:t>
            </w:r>
          </w:p>
          <w:p w:rsidR="00AF1B36" w:rsidRPr="00AF1B36" w:rsidRDefault="00AF1B36" w:rsidP="00AF1B36">
            <w:pPr>
              <w:pStyle w:val="BodyA"/>
              <w:jc w:val="both"/>
              <w:rPr>
                <w:rFonts w:hAnsi="Times New Roman" w:cs="Times New Roman"/>
                <w:lang w:val="lt-LT"/>
              </w:rPr>
            </w:pPr>
            <w:r w:rsidRPr="00AF1B36">
              <w:rPr>
                <w:rFonts w:hAnsi="Times New Roman" w:cs="Times New Roman"/>
                <w:lang w:val="lt-LT"/>
              </w:rPr>
              <w:t>Kalbant apie derybas dėl ekonomikos skaitmenizacijos keliamų iššūkių pasauliniu lygiu, disk</w:t>
            </w:r>
            <w:r w:rsidRPr="00AF1B36">
              <w:rPr>
                <w:rFonts w:hAnsi="Times New Roman" w:cs="Times New Roman"/>
                <w:lang w:val="lt-LT"/>
              </w:rPr>
              <w:t>u</w:t>
            </w:r>
            <w:r w:rsidRPr="00AF1B36">
              <w:rPr>
                <w:rFonts w:hAnsi="Times New Roman" w:cs="Times New Roman"/>
                <w:lang w:val="lt-LT"/>
              </w:rPr>
              <w:t xml:space="preserve">sijos EBPO vyksta 2019 m. gegužės mėn. IF patvirtintos ir birželio mėn. G20 finansų ministrų paremtos darbų programos rėmuose, pagal kurią darbas, siekiant išspręsti </w:t>
            </w:r>
            <w:proofErr w:type="spellStart"/>
            <w:r w:rsidRPr="00AF1B36">
              <w:rPr>
                <w:rFonts w:hAnsi="Times New Roman" w:cs="Times New Roman"/>
                <w:lang w:val="lt-LT"/>
              </w:rPr>
              <w:t>skaitmenėjančios</w:t>
            </w:r>
            <w:proofErr w:type="spellEnd"/>
            <w:r w:rsidRPr="00AF1B36">
              <w:rPr>
                <w:rFonts w:hAnsi="Times New Roman" w:cs="Times New Roman"/>
                <w:lang w:val="lt-LT"/>
              </w:rPr>
              <w:t xml:space="preserve"> ek</w:t>
            </w:r>
            <w:r w:rsidRPr="00AF1B36">
              <w:rPr>
                <w:rFonts w:hAnsi="Times New Roman" w:cs="Times New Roman"/>
                <w:lang w:val="lt-LT"/>
              </w:rPr>
              <w:t>o</w:t>
            </w:r>
            <w:r w:rsidRPr="00AF1B36">
              <w:rPr>
                <w:rFonts w:hAnsi="Times New Roman" w:cs="Times New Roman"/>
                <w:lang w:val="lt-LT"/>
              </w:rPr>
              <w:t>nomikos keliamus apmokestinimo i</w:t>
            </w:r>
            <w:r w:rsidR="0058519B">
              <w:rPr>
                <w:rFonts w:hAnsi="Times New Roman" w:cs="Times New Roman"/>
                <w:lang w:val="lt-LT"/>
              </w:rPr>
              <w:t>ššūkius, pagrįstas šiais dviem</w:t>
            </w:r>
            <w:r w:rsidRPr="00AF1B36">
              <w:rPr>
                <w:rFonts w:hAnsi="Times New Roman" w:cs="Times New Roman"/>
                <w:lang w:val="lt-LT"/>
              </w:rPr>
              <w:t xml:space="preserve"> paraleliniais ramsčiais:</w:t>
            </w:r>
          </w:p>
          <w:p w:rsidR="00AF1B36" w:rsidRPr="00AF1B36" w:rsidRDefault="00AF1B36" w:rsidP="00675DEA">
            <w:pPr>
              <w:pStyle w:val="BodyA"/>
              <w:tabs>
                <w:tab w:val="left" w:pos="318"/>
              </w:tabs>
              <w:jc w:val="both"/>
              <w:rPr>
                <w:rFonts w:hAnsi="Times New Roman" w:cs="Times New Roman"/>
                <w:lang w:val="lt-LT"/>
              </w:rPr>
            </w:pPr>
            <w:r w:rsidRPr="00AF1B36">
              <w:rPr>
                <w:rFonts w:hAnsi="Times New Roman" w:cs="Times New Roman"/>
                <w:lang w:val="lt-LT"/>
              </w:rPr>
              <w:t>I.</w:t>
            </w:r>
            <w:r w:rsidRPr="00AF1B36">
              <w:rPr>
                <w:rFonts w:hAnsi="Times New Roman" w:cs="Times New Roman"/>
                <w:lang w:val="lt-LT"/>
              </w:rPr>
              <w:tab/>
              <w:t>Tarptautiniu mastu uždirbamo pelno apmokestinimo teisių pasidalijimo principų peržiūra, įvertinant vartotojų vaidmenį verslo vertės kūrimo procese;</w:t>
            </w:r>
          </w:p>
          <w:p w:rsidR="00AF1B36" w:rsidRPr="00AF1B36" w:rsidRDefault="00AF1B36" w:rsidP="00675DEA">
            <w:pPr>
              <w:pStyle w:val="BodyA"/>
              <w:tabs>
                <w:tab w:val="left" w:pos="318"/>
              </w:tabs>
              <w:jc w:val="both"/>
              <w:rPr>
                <w:rFonts w:hAnsi="Times New Roman" w:cs="Times New Roman"/>
                <w:lang w:val="lt-LT"/>
              </w:rPr>
            </w:pPr>
            <w:r w:rsidRPr="00AF1B36">
              <w:rPr>
                <w:rFonts w:hAnsi="Times New Roman" w:cs="Times New Roman"/>
                <w:lang w:val="lt-LT"/>
              </w:rPr>
              <w:lastRenderedPageBreak/>
              <w:t xml:space="preserve">II. </w:t>
            </w:r>
            <w:r w:rsidRPr="00AF1B36">
              <w:rPr>
                <w:rFonts w:hAnsi="Times New Roman" w:cs="Times New Roman"/>
                <w:lang w:val="lt-LT"/>
              </w:rPr>
              <w:tab/>
              <w:t>Užsienyje neapmokestinto ar mažai efektyviai apmokestinto pelno apmokestinimo teisių sti</w:t>
            </w:r>
            <w:r w:rsidRPr="00AF1B36">
              <w:rPr>
                <w:rFonts w:hAnsi="Times New Roman" w:cs="Times New Roman"/>
                <w:lang w:val="lt-LT"/>
              </w:rPr>
              <w:t>p</w:t>
            </w:r>
            <w:r w:rsidRPr="00AF1B36">
              <w:rPr>
                <w:rFonts w:hAnsi="Times New Roman" w:cs="Times New Roman"/>
                <w:lang w:val="lt-LT"/>
              </w:rPr>
              <w:t>rinimas, sprendžiant likusius neišspręstus BEPS klausimus (</w:t>
            </w:r>
            <w:proofErr w:type="spellStart"/>
            <w:r w:rsidRPr="00675DEA">
              <w:rPr>
                <w:rFonts w:hAnsi="Times New Roman" w:cs="Times New Roman"/>
                <w:i/>
                <w:lang w:val="lt-LT"/>
              </w:rPr>
              <w:t>Global</w:t>
            </w:r>
            <w:proofErr w:type="spellEnd"/>
            <w:r w:rsidRPr="00675DEA">
              <w:rPr>
                <w:rFonts w:hAnsi="Times New Roman" w:cs="Times New Roman"/>
                <w:i/>
                <w:lang w:val="lt-LT"/>
              </w:rPr>
              <w:t xml:space="preserve"> </w:t>
            </w:r>
            <w:proofErr w:type="spellStart"/>
            <w:r w:rsidRPr="00675DEA">
              <w:rPr>
                <w:rFonts w:hAnsi="Times New Roman" w:cs="Times New Roman"/>
                <w:i/>
                <w:lang w:val="lt-LT"/>
              </w:rPr>
              <w:t>Ant</w:t>
            </w:r>
            <w:r w:rsidR="00675DEA" w:rsidRPr="00675DEA">
              <w:rPr>
                <w:rFonts w:hAnsi="Times New Roman" w:cs="Times New Roman"/>
                <w:i/>
                <w:lang w:val="lt-LT"/>
              </w:rPr>
              <w:t>i-Base</w:t>
            </w:r>
            <w:proofErr w:type="spellEnd"/>
            <w:r w:rsidR="00675DEA" w:rsidRPr="00675DEA">
              <w:rPr>
                <w:rFonts w:hAnsi="Times New Roman" w:cs="Times New Roman"/>
                <w:i/>
                <w:lang w:val="lt-LT"/>
              </w:rPr>
              <w:t xml:space="preserve"> </w:t>
            </w:r>
            <w:proofErr w:type="spellStart"/>
            <w:r w:rsidR="00675DEA" w:rsidRPr="00675DEA">
              <w:rPr>
                <w:rFonts w:hAnsi="Times New Roman" w:cs="Times New Roman"/>
                <w:i/>
                <w:lang w:val="lt-LT"/>
              </w:rPr>
              <w:t>Erosion</w:t>
            </w:r>
            <w:proofErr w:type="spellEnd"/>
            <w:r w:rsidR="00675DEA">
              <w:rPr>
                <w:rFonts w:hAnsi="Times New Roman" w:cs="Times New Roman"/>
                <w:lang w:val="lt-LT"/>
              </w:rPr>
              <w:t xml:space="preserve"> </w:t>
            </w:r>
            <w:r w:rsidRPr="00AF1B36">
              <w:rPr>
                <w:rFonts w:hAnsi="Times New Roman" w:cs="Times New Roman"/>
                <w:lang w:val="lt-LT"/>
              </w:rPr>
              <w:t>arba „</w:t>
            </w:r>
            <w:proofErr w:type="spellStart"/>
            <w:r w:rsidRPr="00AF1B36">
              <w:rPr>
                <w:rFonts w:hAnsi="Times New Roman" w:cs="Times New Roman"/>
                <w:lang w:val="lt-LT"/>
              </w:rPr>
              <w:t>GloBE</w:t>
            </w:r>
            <w:proofErr w:type="spellEnd"/>
            <w:r w:rsidRPr="00AF1B36">
              <w:rPr>
                <w:rFonts w:hAnsi="Times New Roman" w:cs="Times New Roman"/>
                <w:lang w:val="lt-LT"/>
              </w:rPr>
              <w:t>“).</w:t>
            </w:r>
          </w:p>
          <w:p w:rsidR="00AF1B36" w:rsidRPr="00AF1B36" w:rsidRDefault="00AF1B36" w:rsidP="00AF1B36">
            <w:pPr>
              <w:pStyle w:val="BodyA"/>
              <w:jc w:val="both"/>
              <w:rPr>
                <w:rFonts w:hAnsi="Times New Roman" w:cs="Times New Roman"/>
                <w:lang w:val="lt-LT"/>
              </w:rPr>
            </w:pPr>
            <w:r w:rsidRPr="00AF1B36">
              <w:rPr>
                <w:rFonts w:hAnsi="Times New Roman" w:cs="Times New Roman"/>
                <w:lang w:val="lt-LT"/>
              </w:rPr>
              <w:t xml:space="preserve">2020 m. spalio 8-9 d. IF patvirtino, o vėliau G20 finansų ministrai parėmė ataskaitas dėl abiejų ramsčių </w:t>
            </w:r>
            <w:r w:rsidR="00252CC5">
              <w:rPr>
                <w:rFonts w:hAnsi="Times New Roman" w:cs="Times New Roman"/>
                <w:lang w:val="lt-LT"/>
              </w:rPr>
              <w:t>pažangos</w:t>
            </w:r>
            <w:r w:rsidR="00252CC5" w:rsidRPr="00AF1B36">
              <w:rPr>
                <w:rFonts w:hAnsi="Times New Roman" w:cs="Times New Roman"/>
                <w:lang w:val="lt-LT"/>
              </w:rPr>
              <w:t xml:space="preserve"> </w:t>
            </w:r>
            <w:r w:rsidRPr="00AF1B36">
              <w:rPr>
                <w:rFonts w:hAnsi="Times New Roman" w:cs="Times New Roman"/>
                <w:lang w:val="lt-LT"/>
              </w:rPr>
              <w:t>(</w:t>
            </w:r>
            <w:proofErr w:type="spellStart"/>
            <w:r w:rsidRPr="00675DEA">
              <w:rPr>
                <w:rFonts w:hAnsi="Times New Roman" w:cs="Times New Roman"/>
                <w:i/>
                <w:lang w:val="lt-LT"/>
              </w:rPr>
              <w:t>Report</w:t>
            </w:r>
            <w:proofErr w:type="spellEnd"/>
            <w:r w:rsidRPr="00675DEA">
              <w:rPr>
                <w:rFonts w:hAnsi="Times New Roman" w:cs="Times New Roman"/>
                <w:i/>
                <w:lang w:val="lt-LT"/>
              </w:rPr>
              <w:t xml:space="preserve"> </w:t>
            </w:r>
            <w:proofErr w:type="spellStart"/>
            <w:r w:rsidRPr="00675DEA">
              <w:rPr>
                <w:rFonts w:hAnsi="Times New Roman" w:cs="Times New Roman"/>
                <w:i/>
                <w:lang w:val="lt-LT"/>
              </w:rPr>
              <w:t>on</w:t>
            </w:r>
            <w:proofErr w:type="spellEnd"/>
            <w:r w:rsidRPr="00675DEA">
              <w:rPr>
                <w:rFonts w:hAnsi="Times New Roman" w:cs="Times New Roman"/>
                <w:i/>
                <w:lang w:val="lt-LT"/>
              </w:rPr>
              <w:t xml:space="preserve"> </w:t>
            </w:r>
            <w:proofErr w:type="spellStart"/>
            <w:r w:rsidRPr="00675DEA">
              <w:rPr>
                <w:rFonts w:hAnsi="Times New Roman" w:cs="Times New Roman"/>
                <w:i/>
                <w:lang w:val="lt-LT"/>
              </w:rPr>
              <w:t>Pillar</w:t>
            </w:r>
            <w:proofErr w:type="spellEnd"/>
            <w:r w:rsidRPr="00675DEA">
              <w:rPr>
                <w:rFonts w:hAnsi="Times New Roman" w:cs="Times New Roman"/>
                <w:i/>
                <w:lang w:val="lt-LT"/>
              </w:rPr>
              <w:t xml:space="preserve"> I </w:t>
            </w:r>
            <w:proofErr w:type="spellStart"/>
            <w:r w:rsidRPr="00675DEA">
              <w:rPr>
                <w:rFonts w:hAnsi="Times New Roman" w:cs="Times New Roman"/>
                <w:i/>
                <w:lang w:val="lt-LT"/>
              </w:rPr>
              <w:t>Blueprint</w:t>
            </w:r>
            <w:proofErr w:type="spellEnd"/>
            <w:r w:rsidRPr="00675DEA">
              <w:rPr>
                <w:rFonts w:hAnsi="Times New Roman" w:cs="Times New Roman"/>
                <w:i/>
                <w:lang w:val="lt-LT"/>
              </w:rPr>
              <w:t xml:space="preserve">, </w:t>
            </w:r>
            <w:proofErr w:type="spellStart"/>
            <w:r w:rsidRPr="00675DEA">
              <w:rPr>
                <w:rFonts w:hAnsi="Times New Roman" w:cs="Times New Roman"/>
                <w:i/>
                <w:lang w:val="lt-LT"/>
              </w:rPr>
              <w:t>Report</w:t>
            </w:r>
            <w:proofErr w:type="spellEnd"/>
            <w:r w:rsidRPr="00675DEA">
              <w:rPr>
                <w:rFonts w:hAnsi="Times New Roman" w:cs="Times New Roman"/>
                <w:i/>
                <w:lang w:val="lt-LT"/>
              </w:rPr>
              <w:t xml:space="preserve"> </w:t>
            </w:r>
            <w:proofErr w:type="spellStart"/>
            <w:r w:rsidRPr="00675DEA">
              <w:rPr>
                <w:rFonts w:hAnsi="Times New Roman" w:cs="Times New Roman"/>
                <w:i/>
                <w:lang w:val="lt-LT"/>
              </w:rPr>
              <w:t>on</w:t>
            </w:r>
            <w:proofErr w:type="spellEnd"/>
            <w:r w:rsidRPr="00675DEA">
              <w:rPr>
                <w:rFonts w:hAnsi="Times New Roman" w:cs="Times New Roman"/>
                <w:i/>
                <w:lang w:val="lt-LT"/>
              </w:rPr>
              <w:t xml:space="preserve"> </w:t>
            </w:r>
            <w:proofErr w:type="spellStart"/>
            <w:r w:rsidRPr="00675DEA">
              <w:rPr>
                <w:rFonts w:hAnsi="Times New Roman" w:cs="Times New Roman"/>
                <w:i/>
                <w:lang w:val="lt-LT"/>
              </w:rPr>
              <w:t>Pillar</w:t>
            </w:r>
            <w:proofErr w:type="spellEnd"/>
            <w:r w:rsidRPr="00675DEA">
              <w:rPr>
                <w:rFonts w:hAnsi="Times New Roman" w:cs="Times New Roman"/>
                <w:i/>
                <w:lang w:val="lt-LT"/>
              </w:rPr>
              <w:t xml:space="preserve"> II </w:t>
            </w:r>
            <w:proofErr w:type="spellStart"/>
            <w:r w:rsidRPr="00675DEA">
              <w:rPr>
                <w:rFonts w:hAnsi="Times New Roman" w:cs="Times New Roman"/>
                <w:i/>
                <w:lang w:val="lt-LT"/>
              </w:rPr>
              <w:t>Blueprint</w:t>
            </w:r>
            <w:proofErr w:type="spellEnd"/>
            <w:r w:rsidRPr="00AF1B36">
              <w:rPr>
                <w:rFonts w:hAnsi="Times New Roman" w:cs="Times New Roman"/>
                <w:lang w:val="lt-LT"/>
              </w:rPr>
              <w:t>), įvadinį pareišk</w:t>
            </w:r>
            <w:r w:rsidRPr="00AF1B36">
              <w:rPr>
                <w:rFonts w:hAnsi="Times New Roman" w:cs="Times New Roman"/>
                <w:lang w:val="lt-LT"/>
              </w:rPr>
              <w:t>i</w:t>
            </w:r>
            <w:r w:rsidRPr="00AF1B36">
              <w:rPr>
                <w:rFonts w:hAnsi="Times New Roman" w:cs="Times New Roman"/>
                <w:lang w:val="lt-LT"/>
              </w:rPr>
              <w:t>mą dėl abiejų ataskaitų, kuriame akcentuojami globalaus sprendimo, susidedančio iš dviejų ramsčių, svarba bei pasiekta</w:t>
            </w:r>
            <w:r w:rsidR="00675DEA">
              <w:rPr>
                <w:rFonts w:hAnsi="Times New Roman" w:cs="Times New Roman"/>
                <w:lang w:val="lt-LT"/>
              </w:rPr>
              <w:t>s progresas dėl abiejų ramsčių.  Taip pat pažymima,</w:t>
            </w:r>
            <w:r w:rsidRPr="00AF1B36">
              <w:rPr>
                <w:rFonts w:hAnsi="Times New Roman" w:cs="Times New Roman"/>
                <w:lang w:val="lt-LT"/>
              </w:rPr>
              <w:t xml:space="preserve"> kad be </w:t>
            </w:r>
            <w:r w:rsidR="00675DEA">
              <w:rPr>
                <w:rFonts w:hAnsi="Times New Roman" w:cs="Times New Roman"/>
                <w:lang w:val="lt-LT"/>
              </w:rPr>
              <w:t>nesuta</w:t>
            </w:r>
            <w:r w:rsidR="00675DEA">
              <w:rPr>
                <w:rFonts w:hAnsi="Times New Roman" w:cs="Times New Roman"/>
                <w:lang w:val="lt-LT"/>
              </w:rPr>
              <w:t>r</w:t>
            </w:r>
            <w:r w:rsidR="00675DEA">
              <w:rPr>
                <w:rFonts w:hAnsi="Times New Roman" w:cs="Times New Roman"/>
                <w:lang w:val="lt-LT"/>
              </w:rPr>
              <w:t>tų techninių detalių yra</w:t>
            </w:r>
            <w:r w:rsidRPr="00AF1B36">
              <w:rPr>
                <w:rFonts w:hAnsi="Times New Roman" w:cs="Times New Roman"/>
                <w:lang w:val="lt-LT"/>
              </w:rPr>
              <w:t xml:space="preserve"> likę ir </w:t>
            </w:r>
            <w:r w:rsidR="00675DEA">
              <w:rPr>
                <w:rFonts w:hAnsi="Times New Roman" w:cs="Times New Roman"/>
                <w:lang w:val="lt-LT"/>
              </w:rPr>
              <w:t xml:space="preserve">daug </w:t>
            </w:r>
            <w:r w:rsidRPr="00AF1B36">
              <w:rPr>
                <w:rFonts w:hAnsi="Times New Roman" w:cs="Times New Roman"/>
                <w:lang w:val="lt-LT"/>
              </w:rPr>
              <w:t>politinio</w:t>
            </w:r>
            <w:r w:rsidR="00675DEA">
              <w:rPr>
                <w:rFonts w:hAnsi="Times New Roman" w:cs="Times New Roman"/>
                <w:lang w:val="lt-LT"/>
              </w:rPr>
              <w:t xml:space="preserve"> lygmens sprendimų bei numatoma</w:t>
            </w:r>
            <w:r w:rsidRPr="00AF1B36">
              <w:rPr>
                <w:rFonts w:hAnsi="Times New Roman" w:cs="Times New Roman"/>
                <w:lang w:val="lt-LT"/>
              </w:rPr>
              <w:t xml:space="preserve"> sutari</w:t>
            </w:r>
            <w:r w:rsidR="00675DEA">
              <w:rPr>
                <w:rFonts w:hAnsi="Times New Roman" w:cs="Times New Roman"/>
                <w:lang w:val="lt-LT"/>
              </w:rPr>
              <w:t>mo/išvadų</w:t>
            </w:r>
            <w:r w:rsidRPr="00AF1B36">
              <w:rPr>
                <w:rFonts w:hAnsi="Times New Roman" w:cs="Times New Roman"/>
                <w:lang w:val="lt-LT"/>
              </w:rPr>
              <w:t xml:space="preserve"> siekti iki 2021 m. vidurio. </w:t>
            </w:r>
            <w:r w:rsidR="00675DEA">
              <w:rPr>
                <w:rFonts w:hAnsi="Times New Roman" w:cs="Times New Roman"/>
                <w:lang w:val="lt-LT"/>
              </w:rPr>
              <w:t>T</w:t>
            </w:r>
            <w:r w:rsidRPr="00AF1B36">
              <w:rPr>
                <w:rFonts w:hAnsi="Times New Roman" w:cs="Times New Roman"/>
                <w:lang w:val="lt-LT"/>
              </w:rPr>
              <w:t>uo pat metu buvo patvirtintas viešųjų konsultacijų dokumentas, k</w:t>
            </w:r>
            <w:r w:rsidRPr="00AF1B36">
              <w:rPr>
                <w:rFonts w:hAnsi="Times New Roman" w:cs="Times New Roman"/>
                <w:lang w:val="lt-LT"/>
              </w:rPr>
              <w:t>u</w:t>
            </w:r>
            <w:r w:rsidRPr="00AF1B36">
              <w:rPr>
                <w:rFonts w:hAnsi="Times New Roman" w:cs="Times New Roman"/>
                <w:lang w:val="lt-LT"/>
              </w:rPr>
              <w:t>riuo buvo teikiami konsultacijoms pagrindiniai diskusiniai klausimai dėl Ataskaitų bei jo p</w:t>
            </w:r>
            <w:r w:rsidRPr="00AF1B36">
              <w:rPr>
                <w:rFonts w:hAnsi="Times New Roman" w:cs="Times New Roman"/>
                <w:lang w:val="lt-LT"/>
              </w:rPr>
              <w:t>a</w:t>
            </w:r>
            <w:r w:rsidRPr="00AF1B36">
              <w:rPr>
                <w:rFonts w:hAnsi="Times New Roman" w:cs="Times New Roman"/>
                <w:lang w:val="lt-LT"/>
              </w:rPr>
              <w:t>grindu 2021 m.</w:t>
            </w:r>
            <w:r w:rsidR="00675DEA">
              <w:rPr>
                <w:rFonts w:hAnsi="Times New Roman" w:cs="Times New Roman"/>
                <w:lang w:val="lt-LT"/>
              </w:rPr>
              <w:t xml:space="preserve"> </w:t>
            </w:r>
            <w:r w:rsidRPr="00AF1B36">
              <w:rPr>
                <w:rFonts w:hAnsi="Times New Roman" w:cs="Times New Roman"/>
                <w:lang w:val="lt-LT"/>
              </w:rPr>
              <w:t xml:space="preserve">sausio  mėn. </w:t>
            </w:r>
            <w:r w:rsidR="00675DEA" w:rsidRPr="00675DEA">
              <w:rPr>
                <w:rFonts w:hAnsi="Times New Roman" w:cs="Times New Roman"/>
                <w:lang w:val="lt-LT"/>
              </w:rPr>
              <w:t xml:space="preserve">vyko </w:t>
            </w:r>
            <w:r w:rsidRPr="00AF1B36">
              <w:rPr>
                <w:rFonts w:hAnsi="Times New Roman" w:cs="Times New Roman"/>
                <w:lang w:val="lt-LT"/>
              </w:rPr>
              <w:t>virtualus</w:t>
            </w:r>
            <w:r w:rsidR="00675DEA">
              <w:rPr>
                <w:rFonts w:hAnsi="Times New Roman" w:cs="Times New Roman"/>
                <w:lang w:val="lt-LT"/>
              </w:rPr>
              <w:t xml:space="preserve"> viešųjų konsultacijų renginys.</w:t>
            </w:r>
          </w:p>
          <w:p w:rsidR="00AF1B36" w:rsidRPr="00E47362" w:rsidRDefault="00AF1B36" w:rsidP="00AF1B36">
            <w:pPr>
              <w:pStyle w:val="BodyA"/>
              <w:jc w:val="both"/>
              <w:rPr>
                <w:rFonts w:hAnsi="Times New Roman" w:cs="Times New Roman"/>
                <w:lang w:val="lt-LT"/>
              </w:rPr>
            </w:pPr>
            <w:r w:rsidRPr="00AF1B36">
              <w:rPr>
                <w:rFonts w:hAnsi="Times New Roman" w:cs="Times New Roman"/>
                <w:lang w:val="lt-LT"/>
              </w:rPr>
              <w:t>Kalbant apie globalaus sprendimo šioje srityje  priėmimo pažangą, svarbu tai, kad G20 finansų ministrų ir centrinių bankų valdytojų susitikime, vykusiame š.</w:t>
            </w:r>
            <w:r w:rsidR="00675DEA">
              <w:rPr>
                <w:rFonts w:hAnsi="Times New Roman" w:cs="Times New Roman"/>
                <w:lang w:val="lt-LT"/>
              </w:rPr>
              <w:t xml:space="preserve"> </w:t>
            </w:r>
            <w:r w:rsidRPr="00AF1B36">
              <w:rPr>
                <w:rFonts w:hAnsi="Times New Roman" w:cs="Times New Roman"/>
                <w:lang w:val="lt-LT"/>
              </w:rPr>
              <w:t>m. vasario 26 d., JAV paskelbė, kad atsisako savo pozicijos siekti, kad I ramsčio priemonės būtų taikomos/įgyvendinamos nepr</w:t>
            </w:r>
            <w:r w:rsidRPr="00AF1B36">
              <w:rPr>
                <w:rFonts w:hAnsi="Times New Roman" w:cs="Times New Roman"/>
                <w:lang w:val="lt-LT"/>
              </w:rPr>
              <w:t>i</w:t>
            </w:r>
            <w:r w:rsidRPr="00AF1B36">
              <w:rPr>
                <w:rFonts w:hAnsi="Times New Roman" w:cs="Times New Roman"/>
                <w:lang w:val="lt-LT"/>
              </w:rPr>
              <w:t>valomai ("</w:t>
            </w:r>
            <w:proofErr w:type="spellStart"/>
            <w:r w:rsidRPr="00675DEA">
              <w:rPr>
                <w:rFonts w:hAnsi="Times New Roman" w:cs="Times New Roman"/>
                <w:i/>
                <w:lang w:val="lt-LT"/>
              </w:rPr>
              <w:t>safe</w:t>
            </w:r>
            <w:proofErr w:type="spellEnd"/>
            <w:r w:rsidRPr="00675DEA">
              <w:rPr>
                <w:rFonts w:hAnsi="Times New Roman" w:cs="Times New Roman"/>
                <w:i/>
                <w:lang w:val="lt-LT"/>
              </w:rPr>
              <w:t xml:space="preserve"> </w:t>
            </w:r>
            <w:proofErr w:type="spellStart"/>
            <w:r w:rsidRPr="00675DEA">
              <w:rPr>
                <w:rFonts w:hAnsi="Times New Roman" w:cs="Times New Roman"/>
                <w:i/>
                <w:lang w:val="lt-LT"/>
              </w:rPr>
              <w:t>harbour</w:t>
            </w:r>
            <w:proofErr w:type="spellEnd"/>
            <w:r w:rsidRPr="00AF1B36">
              <w:rPr>
                <w:rFonts w:hAnsi="Times New Roman" w:cs="Times New Roman"/>
                <w:lang w:val="lt-LT"/>
              </w:rPr>
              <w:t xml:space="preserve">“), kas vertinama </w:t>
            </w:r>
            <w:r w:rsidR="00675DEA">
              <w:rPr>
                <w:rFonts w:hAnsi="Times New Roman" w:cs="Times New Roman"/>
                <w:lang w:val="lt-LT"/>
              </w:rPr>
              <w:t xml:space="preserve">kaip </w:t>
            </w:r>
            <w:r w:rsidRPr="00AF1B36">
              <w:rPr>
                <w:rFonts w:hAnsi="Times New Roman" w:cs="Times New Roman"/>
                <w:lang w:val="lt-LT"/>
              </w:rPr>
              <w:t>reikšmingas postūmis pasiekti susitarimą dėl gl</w:t>
            </w:r>
            <w:r w:rsidRPr="00AF1B36">
              <w:rPr>
                <w:rFonts w:hAnsi="Times New Roman" w:cs="Times New Roman"/>
                <w:lang w:val="lt-LT"/>
              </w:rPr>
              <w:t>o</w:t>
            </w:r>
            <w:r w:rsidRPr="00AF1B36">
              <w:rPr>
                <w:rFonts w:hAnsi="Times New Roman" w:cs="Times New Roman"/>
                <w:lang w:val="lt-LT"/>
              </w:rPr>
              <w:t>balaus sprendimo  iki 2021 m. vidurio.</w:t>
            </w:r>
          </w:p>
          <w:p w:rsidR="00816959" w:rsidRPr="00E47362" w:rsidRDefault="00816959" w:rsidP="00816959">
            <w:pPr>
              <w:pStyle w:val="BodyA"/>
              <w:jc w:val="both"/>
              <w:rPr>
                <w:rFonts w:hAnsi="Times New Roman" w:cs="Times New Roman"/>
                <w:lang w:val="lt-LT"/>
              </w:rPr>
            </w:pPr>
          </w:p>
          <w:p w:rsidR="00225CBA" w:rsidRPr="00225CBA" w:rsidRDefault="00816959" w:rsidP="00225CBA">
            <w:pPr>
              <w:pStyle w:val="BodyA"/>
              <w:jc w:val="both"/>
              <w:rPr>
                <w:rFonts w:hAnsi="Times New Roman" w:cs="Times New Roman"/>
                <w:lang w:val="lt-LT"/>
              </w:rPr>
            </w:pPr>
            <w:r w:rsidRPr="00E47362">
              <w:rPr>
                <w:rFonts w:hAnsi="Times New Roman" w:cs="Times New Roman"/>
                <w:b/>
                <w:u w:val="single"/>
                <w:lang w:val="lt-LT"/>
              </w:rPr>
              <w:t>Lietuvos pozicija</w:t>
            </w:r>
            <w:r w:rsidRPr="00E47362">
              <w:rPr>
                <w:rFonts w:hAnsi="Times New Roman" w:cs="Times New Roman"/>
                <w:u w:val="single"/>
                <w:lang w:val="lt-LT"/>
              </w:rPr>
              <w:t>.</w:t>
            </w:r>
            <w:r w:rsidRPr="00E47362">
              <w:rPr>
                <w:rFonts w:hAnsi="Times New Roman" w:cs="Times New Roman"/>
                <w:lang w:val="lt-LT"/>
              </w:rPr>
              <w:t xml:space="preserve"> </w:t>
            </w:r>
            <w:r w:rsidR="00225CBA" w:rsidRPr="00225CBA">
              <w:rPr>
                <w:rFonts w:hAnsi="Times New Roman" w:cs="Times New Roman"/>
                <w:lang w:val="lt-LT"/>
              </w:rPr>
              <w:t>Tarptautinės mokesčių sistemos reforma, siekiant išspręsti mokesčių išš</w:t>
            </w:r>
            <w:r w:rsidR="00225CBA" w:rsidRPr="00225CBA">
              <w:rPr>
                <w:rFonts w:hAnsi="Times New Roman" w:cs="Times New Roman"/>
                <w:lang w:val="lt-LT"/>
              </w:rPr>
              <w:t>ū</w:t>
            </w:r>
            <w:r w:rsidR="00225CBA" w:rsidRPr="00225CBA">
              <w:rPr>
                <w:rFonts w:hAnsi="Times New Roman" w:cs="Times New Roman"/>
                <w:lang w:val="lt-LT"/>
              </w:rPr>
              <w:t xml:space="preserve">kius, kylančius dėl </w:t>
            </w:r>
            <w:proofErr w:type="spellStart"/>
            <w:r w:rsidR="00225CBA" w:rsidRPr="00225CBA">
              <w:rPr>
                <w:rFonts w:hAnsi="Times New Roman" w:cs="Times New Roman"/>
                <w:lang w:val="lt-LT"/>
              </w:rPr>
              <w:t>skaitmenėjančios</w:t>
            </w:r>
            <w:proofErr w:type="spellEnd"/>
            <w:r w:rsidR="00225CBA" w:rsidRPr="00225CBA">
              <w:rPr>
                <w:rFonts w:hAnsi="Times New Roman" w:cs="Times New Roman"/>
                <w:lang w:val="lt-LT"/>
              </w:rPr>
              <w:t xml:space="preserve"> ekonomikos yra prioritetas. Manome, kad sprendimai dėl principų, kuriais vadovaujantis pasidalijamos pelno apmokestinimo teisės, peržiūros turėtų būti globalūs. Suprasdami šių galimų sprendimų suderinamumo su ES teise svarbą, manytume, kad detalesnė šio klausimo analizė dėl globalių sprendimų atitikties ES teisei ES darbo f</w:t>
            </w:r>
            <w:r w:rsidR="00225CBA">
              <w:rPr>
                <w:rFonts w:hAnsi="Times New Roman" w:cs="Times New Roman"/>
                <w:lang w:val="lt-LT"/>
              </w:rPr>
              <w:t>ormatuose galėtų būti naudinga.</w:t>
            </w:r>
          </w:p>
          <w:p w:rsidR="00816959" w:rsidRPr="00675DEA" w:rsidRDefault="00225CBA" w:rsidP="00225CBA">
            <w:pPr>
              <w:pStyle w:val="BodyA"/>
              <w:jc w:val="both"/>
              <w:rPr>
                <w:rFonts w:hAnsi="Times New Roman" w:cs="Times New Roman"/>
                <w:i/>
                <w:lang w:val="lt-LT"/>
              </w:rPr>
            </w:pPr>
            <w:r w:rsidRPr="00675DEA">
              <w:rPr>
                <w:rFonts w:hAnsi="Times New Roman" w:cs="Times New Roman"/>
                <w:i/>
                <w:lang w:val="lt-LT"/>
              </w:rPr>
              <w:t>Pozicija gali būti tikslinama gavus su klausimu susijusius dokumentus.</w:t>
            </w:r>
          </w:p>
          <w:p w:rsidR="00E1240D" w:rsidRPr="00E47362" w:rsidRDefault="00E1240D" w:rsidP="0032625D">
            <w:pPr>
              <w:pStyle w:val="BodyA"/>
              <w:jc w:val="both"/>
              <w:rPr>
                <w:lang w:val="lt-LT"/>
              </w:rPr>
            </w:pPr>
          </w:p>
          <w:p w:rsidR="00E24F35" w:rsidRPr="0058519B" w:rsidRDefault="00E1240D" w:rsidP="00E1240D">
            <w:pPr>
              <w:pStyle w:val="BodyA"/>
              <w:jc w:val="both"/>
              <w:rPr>
                <w:rFonts w:hAnsi="Times New Roman" w:cs="Times New Roman"/>
                <w:b/>
                <w:lang w:val="lt-LT"/>
              </w:rPr>
            </w:pPr>
            <w:r w:rsidRPr="0058519B">
              <w:rPr>
                <w:rFonts w:hAnsi="Times New Roman" w:cs="Times New Roman"/>
                <w:b/>
                <w:lang w:val="lt-LT"/>
              </w:rPr>
              <w:t xml:space="preserve">3. </w:t>
            </w:r>
            <w:r w:rsidR="00E24F35" w:rsidRPr="0058519B">
              <w:rPr>
                <w:rFonts w:hAnsi="Times New Roman" w:cs="Times New Roman"/>
                <w:b/>
                <w:lang w:val="lt-LT"/>
              </w:rPr>
              <w:t xml:space="preserve">Europos </w:t>
            </w:r>
            <w:r w:rsidR="00252CC5" w:rsidRPr="0058519B">
              <w:rPr>
                <w:rFonts w:hAnsi="Times New Roman" w:cs="Times New Roman"/>
                <w:b/>
                <w:lang w:val="lt-LT"/>
              </w:rPr>
              <w:t>e</w:t>
            </w:r>
            <w:r w:rsidR="00E24F35" w:rsidRPr="0058519B">
              <w:rPr>
                <w:rFonts w:hAnsi="Times New Roman" w:cs="Times New Roman"/>
                <w:b/>
                <w:lang w:val="lt-LT"/>
              </w:rPr>
              <w:t>konomikos atsigavimas</w:t>
            </w:r>
          </w:p>
          <w:p w:rsidR="004226F1" w:rsidRPr="00752F42" w:rsidRDefault="00E24F35" w:rsidP="00E1240D">
            <w:pPr>
              <w:pStyle w:val="BodyA"/>
              <w:jc w:val="both"/>
              <w:rPr>
                <w:rFonts w:hAnsi="Times New Roman" w:cs="Times New Roman"/>
                <w:b/>
                <w:lang w:val="lt-LT"/>
              </w:rPr>
            </w:pPr>
            <w:r w:rsidRPr="0058519B">
              <w:rPr>
                <w:rFonts w:hAnsi="Times New Roman" w:cs="Times New Roman"/>
                <w:b/>
                <w:lang w:val="lt-LT"/>
              </w:rPr>
              <w:t>a) Ekonominė situacija ir perspektyvos</w:t>
            </w:r>
            <w:r w:rsidRPr="00752F42">
              <w:rPr>
                <w:rFonts w:hAnsi="Times New Roman" w:cs="Times New Roman"/>
                <w:i/>
                <w:lang w:val="lt-LT"/>
              </w:rPr>
              <w:t xml:space="preserve"> </w:t>
            </w:r>
            <w:r w:rsidR="004226F1" w:rsidRPr="00752F42">
              <w:rPr>
                <w:rFonts w:hAnsi="Times New Roman" w:cs="Times New Roman"/>
                <w:i/>
                <w:lang w:val="lt-LT"/>
              </w:rPr>
              <w:t>(</w:t>
            </w:r>
            <w:r w:rsidRPr="00752F42">
              <w:rPr>
                <w:rFonts w:hAnsi="Times New Roman" w:cs="Times New Roman"/>
                <w:i/>
                <w:lang w:val="lt-LT"/>
              </w:rPr>
              <w:t>Apsikeitimas nuomonėmis</w:t>
            </w:r>
            <w:r w:rsidR="004226F1" w:rsidRPr="00752F42">
              <w:rPr>
                <w:rFonts w:hAnsi="Times New Roman" w:cs="Times New Roman"/>
                <w:i/>
                <w:lang w:val="lt-LT"/>
              </w:rPr>
              <w:t>)</w:t>
            </w:r>
          </w:p>
          <w:p w:rsidR="00555975" w:rsidRPr="00752F42" w:rsidRDefault="00752F42" w:rsidP="0055597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Calibri"/>
                <w:bdr w:val="none" w:sz="0" w:space="0" w:color="auto"/>
                <w:lang w:val="lt-LT"/>
              </w:rPr>
            </w:pPr>
            <w:r w:rsidRPr="00752F42">
              <w:rPr>
                <w:rFonts w:eastAsia="Calibri"/>
                <w:b/>
                <w:u w:val="single"/>
                <w:bdr w:val="none" w:sz="0" w:space="0" w:color="auto"/>
                <w:lang w:val="lt-LT"/>
              </w:rPr>
              <w:t xml:space="preserve">Klausimo esmė. </w:t>
            </w:r>
            <w:r w:rsidR="007B0CBF" w:rsidRPr="00752F42">
              <w:rPr>
                <w:rFonts w:eastAsia="Calibri"/>
                <w:bdr w:val="none" w:sz="0" w:space="0" w:color="auto"/>
                <w:lang w:val="lt-LT"/>
              </w:rPr>
              <w:t>Remiantis</w:t>
            </w:r>
            <w:r w:rsidR="00555975" w:rsidRPr="00752F42">
              <w:rPr>
                <w:rFonts w:eastAsia="Calibri"/>
                <w:bdr w:val="none" w:sz="0" w:space="0" w:color="auto"/>
                <w:lang w:val="lt-LT"/>
              </w:rPr>
              <w:t xml:space="preserve"> vasario 11 d.</w:t>
            </w:r>
            <w:r w:rsidR="007B0CBF" w:rsidRPr="00752F42">
              <w:rPr>
                <w:rFonts w:eastAsia="Calibri"/>
                <w:bdr w:val="none" w:sz="0" w:space="0" w:color="auto"/>
                <w:lang w:val="lt-LT"/>
              </w:rPr>
              <w:t xml:space="preserve"> tarpinėmis (atnaujinti tik BVP ir infliacijos rodikliai) EK prognozėmis, artimiausia ES ekonomikos ateitis atrodo prastesnė nei tikėtasi rudenį dėl an</w:t>
            </w:r>
            <w:r w:rsidR="007B0CBF" w:rsidRPr="00752F42">
              <w:rPr>
                <w:rFonts w:eastAsia="Calibri"/>
                <w:bdr w:val="none" w:sz="0" w:space="0" w:color="auto"/>
                <w:lang w:val="lt-LT"/>
              </w:rPr>
              <w:t>t</w:t>
            </w:r>
            <w:r w:rsidR="007B0CBF" w:rsidRPr="00752F42">
              <w:rPr>
                <w:rFonts w:eastAsia="Calibri"/>
                <w:bdr w:val="none" w:sz="0" w:space="0" w:color="auto"/>
                <w:lang w:val="lt-LT"/>
              </w:rPr>
              <w:t>ros pandemijos bangos. Nepaisant to, prasidėjęs vakcinavimas, Brexit susitarimas ir spartus bei sėkmingas Next Generation EU įgyvendinimas gali paspartinti atsigavimą, bet neapibrėžtumas išlieka didelis.</w:t>
            </w:r>
            <w:r w:rsidR="00C94C3C" w:rsidRPr="00752F42">
              <w:rPr>
                <w:rFonts w:eastAsia="Calibri"/>
                <w:bdr w:val="none" w:sz="0" w:space="0" w:color="auto"/>
                <w:lang w:val="lt-LT"/>
              </w:rPr>
              <w:t xml:space="preserve"> </w:t>
            </w:r>
            <w:r w:rsidR="007B0CBF" w:rsidRPr="00752F42">
              <w:rPr>
                <w:rFonts w:eastAsia="Calibri"/>
                <w:bdr w:val="none" w:sz="0" w:space="0" w:color="auto"/>
                <w:lang w:val="lt-LT"/>
              </w:rPr>
              <w:t xml:space="preserve">2020 m. BVP ES krito 6,3 proc. EZ 6,8 proc. </w:t>
            </w:r>
            <w:r w:rsidR="00BF1071">
              <w:rPr>
                <w:rFonts w:eastAsia="Calibri"/>
                <w:bdr w:val="none" w:sz="0" w:space="0" w:color="auto"/>
                <w:lang w:val="lt-LT"/>
              </w:rPr>
              <w:t>T</w:t>
            </w:r>
            <w:r w:rsidR="007B0CBF" w:rsidRPr="00752F42">
              <w:rPr>
                <w:rFonts w:eastAsia="Calibri"/>
                <w:bdr w:val="none" w:sz="0" w:space="0" w:color="auto"/>
                <w:lang w:val="lt-LT"/>
              </w:rPr>
              <w:t xml:space="preserve">ikimasi, kad 2021 m. ES BVP augs 3,7 proc., o EZ BVP </w:t>
            </w:r>
            <w:r w:rsidR="00C94C3C" w:rsidRPr="00752F42">
              <w:rPr>
                <w:rFonts w:eastAsia="Calibri"/>
                <w:bdr w:val="none" w:sz="0" w:space="0" w:color="auto"/>
                <w:lang w:val="lt-LT"/>
              </w:rPr>
              <w:t>3,8 proc. 2022 m. tikimasi, kad ES BVP augs 3,9 proc., o EZ BVP 3,8 proc.</w:t>
            </w:r>
            <w:r w:rsidR="007B0CBF" w:rsidRPr="00752F42">
              <w:rPr>
                <w:rFonts w:eastAsia="Calibri"/>
                <w:bdr w:val="none" w:sz="0" w:space="0" w:color="auto"/>
                <w:lang w:val="lt-LT"/>
              </w:rPr>
              <w:t xml:space="preserve"> Infliacijos lygis kils, bet išliks nedidelis</w:t>
            </w:r>
            <w:r w:rsidR="00252CC5">
              <w:rPr>
                <w:rFonts w:eastAsia="Calibri"/>
                <w:bdr w:val="none" w:sz="0" w:space="0" w:color="auto"/>
                <w:lang w:val="lt-LT"/>
              </w:rPr>
              <w:t xml:space="preserve"> </w:t>
            </w:r>
            <w:r w:rsidR="007B0CBF" w:rsidRPr="00752F42">
              <w:rPr>
                <w:rFonts w:eastAsia="Calibri"/>
                <w:bdr w:val="none" w:sz="0" w:space="0" w:color="auto"/>
                <w:lang w:val="lt-LT"/>
              </w:rPr>
              <w:t>- euro zonoje 2020 m. infliacijos lygis buvo 0,3 proc., prognozuojama, kad 2021 m. jis bus 1,4 proc.</w:t>
            </w:r>
          </w:p>
          <w:p w:rsidR="00C94C3C" w:rsidRPr="00752F42" w:rsidRDefault="00C94C3C" w:rsidP="00C94C3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Calibri"/>
                <w:b/>
                <w:bdr w:val="none" w:sz="0" w:space="0" w:color="auto"/>
                <w:lang w:val="lt-LT"/>
              </w:rPr>
            </w:pPr>
            <w:r w:rsidRPr="00752F42">
              <w:rPr>
                <w:rFonts w:eastAsia="Calibri"/>
                <w:b/>
                <w:bdr w:val="none" w:sz="0" w:space="0" w:color="auto"/>
                <w:lang w:val="lt-LT"/>
              </w:rPr>
              <w:t xml:space="preserve">Ekonominė padėtis Lietuvoje. </w:t>
            </w:r>
            <w:r w:rsidR="00FD20F3" w:rsidRPr="00752F42">
              <w:rPr>
                <w:rFonts w:eastAsia="Calibri"/>
                <w:bdr w:val="none" w:sz="0" w:space="0" w:color="auto"/>
                <w:lang w:val="lt-LT"/>
              </w:rPr>
              <w:t xml:space="preserve">Lietuvos BVP 2020 m. smuko </w:t>
            </w:r>
            <w:r w:rsidRPr="00752F42">
              <w:rPr>
                <w:rFonts w:eastAsia="Calibri"/>
                <w:bdr w:val="none" w:sz="0" w:space="0" w:color="auto"/>
                <w:lang w:val="lt-LT"/>
              </w:rPr>
              <w:t>0,8 proc., geriau pandemijos i</w:t>
            </w:r>
            <w:r w:rsidRPr="00752F42">
              <w:rPr>
                <w:rFonts w:eastAsia="Calibri"/>
                <w:bdr w:val="none" w:sz="0" w:space="0" w:color="auto"/>
                <w:lang w:val="lt-LT"/>
              </w:rPr>
              <w:t>š</w:t>
            </w:r>
            <w:r w:rsidRPr="00752F42">
              <w:rPr>
                <w:rFonts w:eastAsia="Calibri"/>
                <w:bdr w:val="none" w:sz="0" w:space="0" w:color="auto"/>
                <w:lang w:val="lt-LT"/>
              </w:rPr>
              <w:t>šūkį ES atlaikė tik Airijos ekonomika, kuri paaugo 3 proc. Duomenys rodo, kad sumažėjusią paklausą iš dalies kompensavo atsparus eksporto sektorius ir žemės ūkio sektorius, kurie buvo nežymiai paveikti pandemijos. Nepaisant to, paskutinį metų ketvirtį infekcijų kiekis padidėjo ir buvo vėl įvestas griežtas karantinas. EK prognozuoja, kad 2021 m. BVP augs 2,2 proc., o 2022 m. 3,1 proc.</w:t>
            </w:r>
            <w:r w:rsidRPr="00752F42">
              <w:rPr>
                <w:rFonts w:eastAsia="Calibri"/>
                <w:b/>
                <w:bdr w:val="none" w:sz="0" w:space="0" w:color="auto"/>
                <w:lang w:val="lt-LT"/>
              </w:rPr>
              <w:t xml:space="preserve"> </w:t>
            </w:r>
            <w:r w:rsidRPr="00752F42">
              <w:rPr>
                <w:rFonts w:eastAsia="Calibri"/>
                <w:bdr w:val="none" w:sz="0" w:space="0" w:color="auto"/>
                <w:lang w:val="lt-LT"/>
              </w:rPr>
              <w:t>Prognozėse nėra atsižvelgta į RRF poveikį.  Infliacija 2020 m. buvo 1,1 proc., ene</w:t>
            </w:r>
            <w:r w:rsidRPr="00752F42">
              <w:rPr>
                <w:rFonts w:eastAsia="Calibri"/>
                <w:bdr w:val="none" w:sz="0" w:space="0" w:color="auto"/>
                <w:lang w:val="lt-LT"/>
              </w:rPr>
              <w:t>r</w:t>
            </w:r>
            <w:r w:rsidRPr="00752F42">
              <w:rPr>
                <w:rFonts w:eastAsia="Calibri"/>
                <w:bdr w:val="none" w:sz="0" w:space="0" w:color="auto"/>
                <w:lang w:val="lt-LT"/>
              </w:rPr>
              <w:t>gijos kainų kritimas buvo iš dalies atsvertas augančių paslaugų, maisto ir industrinių prekių ka</w:t>
            </w:r>
            <w:r w:rsidRPr="00752F42">
              <w:rPr>
                <w:rFonts w:eastAsia="Calibri"/>
                <w:bdr w:val="none" w:sz="0" w:space="0" w:color="auto"/>
                <w:lang w:val="lt-LT"/>
              </w:rPr>
              <w:t>i</w:t>
            </w:r>
            <w:r w:rsidRPr="00752F42">
              <w:rPr>
                <w:rFonts w:eastAsia="Calibri"/>
                <w:bdr w:val="none" w:sz="0" w:space="0" w:color="auto"/>
                <w:lang w:val="lt-LT"/>
              </w:rPr>
              <w:t>nų. 2021 m. augančios energijos kainos, didėjantys atlyginimai ir atsigaunanti paklausa turėtų pakelti infliacijos lygį iki 1,7 proc., o 2022 m. iki 1,8 proc.</w:t>
            </w:r>
          </w:p>
          <w:p w:rsidR="00816959" w:rsidRPr="00752F42" w:rsidRDefault="00555975" w:rsidP="0055597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Calibri"/>
                <w:bdr w:val="none" w:sz="0" w:space="0" w:color="auto"/>
                <w:lang w:val="lt-LT"/>
              </w:rPr>
            </w:pPr>
            <w:r w:rsidRPr="00752F42">
              <w:rPr>
                <w:rFonts w:eastAsia="Calibri"/>
                <w:b/>
                <w:bdr w:val="none" w:sz="0" w:space="0" w:color="auto"/>
                <w:lang w:val="lt-LT"/>
              </w:rPr>
              <w:t>Pasak Finansų ministerijos parengto 2020 m. gruodžio 14 d. Ekonominės raidos scenar</w:t>
            </w:r>
            <w:r w:rsidRPr="00752F42">
              <w:rPr>
                <w:rFonts w:eastAsia="Calibri"/>
                <w:b/>
                <w:bdr w:val="none" w:sz="0" w:space="0" w:color="auto"/>
                <w:lang w:val="lt-LT"/>
              </w:rPr>
              <w:t>i</w:t>
            </w:r>
            <w:r w:rsidRPr="00752F42">
              <w:rPr>
                <w:rFonts w:eastAsia="Calibri"/>
                <w:b/>
                <w:bdr w:val="none" w:sz="0" w:space="0" w:color="auto"/>
                <w:lang w:val="lt-LT"/>
              </w:rPr>
              <w:t>jaus</w:t>
            </w:r>
            <w:r w:rsidRPr="00752F42">
              <w:rPr>
                <w:rFonts w:eastAsia="Calibri"/>
                <w:bdr w:val="none" w:sz="0" w:space="0" w:color="auto"/>
                <w:lang w:val="lt-LT"/>
              </w:rPr>
              <w:t>, per visus 2021 metus Lietuvos ekonomika galėtų augti 2,8 procento, o vėlesniais vidutinio laikotarpio metais – vidutiniškai po 3,1 proc. per metus. COVID-19 pandemija reikšmingai p</w:t>
            </w:r>
            <w:r w:rsidRPr="00752F42">
              <w:rPr>
                <w:rFonts w:eastAsia="Calibri"/>
                <w:bdr w:val="none" w:sz="0" w:space="0" w:color="auto"/>
                <w:lang w:val="lt-LT"/>
              </w:rPr>
              <w:t>a</w:t>
            </w:r>
            <w:r w:rsidRPr="00752F42">
              <w:rPr>
                <w:rFonts w:eastAsia="Calibri"/>
                <w:bdr w:val="none" w:sz="0" w:space="0" w:color="auto"/>
                <w:lang w:val="lt-LT"/>
              </w:rPr>
              <w:t xml:space="preserve">blogino darbo rinkos situaciją šalyje. Pandemijos sukeltas poveikis darbo rinkai prislopins darbo užmokesčio augimo tempą. </w:t>
            </w:r>
            <w:r w:rsidR="005E025B">
              <w:rPr>
                <w:rFonts w:eastAsia="Calibri"/>
                <w:b/>
                <w:bdr w:val="none" w:sz="0" w:space="0" w:color="auto"/>
                <w:lang w:val="lt-LT"/>
              </w:rPr>
              <w:t>Po ekonominės rai</w:t>
            </w:r>
            <w:bookmarkStart w:id="0" w:name="_GoBack"/>
            <w:bookmarkEnd w:id="0"/>
            <w:r w:rsidRPr="00752F42">
              <w:rPr>
                <w:rFonts w:eastAsia="Calibri"/>
                <w:b/>
                <w:bdr w:val="none" w:sz="0" w:space="0" w:color="auto"/>
                <w:lang w:val="lt-LT"/>
              </w:rPr>
              <w:t>dos scenarijaus parengimo prasidėjęs pop</w:t>
            </w:r>
            <w:r w:rsidRPr="00752F42">
              <w:rPr>
                <w:rFonts w:eastAsia="Calibri"/>
                <w:b/>
                <w:bdr w:val="none" w:sz="0" w:space="0" w:color="auto"/>
                <w:lang w:val="lt-LT"/>
              </w:rPr>
              <w:t>u</w:t>
            </w:r>
            <w:r w:rsidRPr="00752F42">
              <w:rPr>
                <w:rFonts w:eastAsia="Calibri"/>
                <w:b/>
                <w:bdr w:val="none" w:sz="0" w:space="0" w:color="auto"/>
                <w:lang w:val="lt-LT"/>
              </w:rPr>
              <w:t>liacijos vakcinavimas bei pasiektas susitarimas dėl Brexit turėtų turėti teigiamą poveikį Li</w:t>
            </w:r>
            <w:r w:rsidRPr="00752F42">
              <w:rPr>
                <w:rFonts w:eastAsia="Calibri"/>
                <w:b/>
                <w:bdr w:val="none" w:sz="0" w:space="0" w:color="auto"/>
                <w:lang w:val="lt-LT"/>
              </w:rPr>
              <w:t>e</w:t>
            </w:r>
            <w:r w:rsidRPr="00752F42">
              <w:rPr>
                <w:rFonts w:eastAsia="Calibri"/>
                <w:b/>
                <w:bdr w:val="none" w:sz="0" w:space="0" w:color="auto"/>
                <w:lang w:val="lt-LT"/>
              </w:rPr>
              <w:t>tuvos ekonomikai, o besitęsiantis karantinas neigiamą.</w:t>
            </w:r>
          </w:p>
          <w:p w:rsidR="00816959" w:rsidRPr="00752F42" w:rsidRDefault="00816959" w:rsidP="00816959">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color w:val="000000"/>
                <w:bdr w:val="none" w:sz="0" w:space="0" w:color="auto"/>
                <w:lang w:val="lt-LT" w:eastAsia="lt-LT" w:bidi="lt-LT"/>
              </w:rPr>
            </w:pPr>
          </w:p>
          <w:p w:rsidR="00E1240D" w:rsidRPr="00E24F35" w:rsidRDefault="00816959" w:rsidP="00225CB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lang w:val="lt-LT"/>
              </w:rPr>
            </w:pPr>
            <w:r w:rsidRPr="00752F42">
              <w:rPr>
                <w:rFonts w:eastAsia="Calibri"/>
                <w:b/>
                <w:u w:val="single"/>
                <w:bdr w:val="none" w:sz="0" w:space="0" w:color="auto"/>
                <w:lang w:val="lt-LT"/>
              </w:rPr>
              <w:lastRenderedPageBreak/>
              <w:t>Lietuvos pozicija</w:t>
            </w:r>
            <w:r w:rsidRPr="00752F42">
              <w:rPr>
                <w:rFonts w:eastAsia="Calibri"/>
                <w:bdr w:val="none" w:sz="0" w:space="0" w:color="auto"/>
                <w:lang w:val="lt-LT"/>
              </w:rPr>
              <w:t xml:space="preserve">: </w:t>
            </w:r>
            <w:r w:rsidR="00752F42">
              <w:rPr>
                <w:rFonts w:eastAsia="Calibri"/>
                <w:bdr w:val="none" w:sz="0" w:space="0" w:color="auto"/>
                <w:lang w:val="lt-LT"/>
              </w:rPr>
              <w:t>Išklausyti informaciją.</w:t>
            </w:r>
          </w:p>
          <w:p w:rsidR="00E1240D" w:rsidRPr="00E24F35" w:rsidRDefault="00E1240D" w:rsidP="00E1240D">
            <w:pPr>
              <w:pStyle w:val="BodyA"/>
              <w:jc w:val="both"/>
              <w:rPr>
                <w:rFonts w:hAnsi="Times New Roman" w:cs="Times New Roman"/>
                <w:lang w:val="lt-LT"/>
              </w:rPr>
            </w:pPr>
          </w:p>
          <w:p w:rsidR="00E24F35" w:rsidRDefault="00E24F35" w:rsidP="00E1240D">
            <w:pPr>
              <w:pStyle w:val="BodyA"/>
              <w:jc w:val="both"/>
              <w:rPr>
                <w:rFonts w:hAnsi="Times New Roman" w:cs="Times New Roman"/>
                <w:lang w:val="lt-LT"/>
              </w:rPr>
            </w:pPr>
            <w:r w:rsidRPr="008C41CD">
              <w:rPr>
                <w:rFonts w:hAnsi="Times New Roman" w:cs="Times New Roman"/>
                <w:b/>
                <w:lang w:val="lt-LT"/>
              </w:rPr>
              <w:t>b) Komisijos komunikatas „Vieneri metai po COVID-19: fiskalinės politikos atsakas“</w:t>
            </w:r>
            <w:r w:rsidRPr="008C41CD">
              <w:rPr>
                <w:rFonts w:hAnsi="Times New Roman" w:cs="Times New Roman"/>
                <w:lang w:val="lt-LT"/>
              </w:rPr>
              <w:t xml:space="preserve"> (</w:t>
            </w:r>
            <w:r w:rsidRPr="008C41CD">
              <w:rPr>
                <w:rFonts w:hAnsi="Times New Roman" w:cs="Times New Roman"/>
                <w:i/>
                <w:lang w:val="lt-LT"/>
              </w:rPr>
              <w:t>Komisijos pristatymas ir apsikeitimas nuomonėmis</w:t>
            </w:r>
            <w:r w:rsidRPr="008C41CD">
              <w:rPr>
                <w:rFonts w:hAnsi="Times New Roman" w:cs="Times New Roman"/>
                <w:lang w:val="lt-LT"/>
              </w:rPr>
              <w:t>)</w:t>
            </w:r>
          </w:p>
          <w:p w:rsidR="008C41CD" w:rsidRDefault="008C41CD" w:rsidP="00E1240D">
            <w:pPr>
              <w:pStyle w:val="BodyA"/>
              <w:jc w:val="both"/>
              <w:rPr>
                <w:rFonts w:hAnsi="Times New Roman" w:cs="Times New Roman"/>
                <w:lang w:val="lt-LT"/>
              </w:rPr>
            </w:pPr>
          </w:p>
          <w:p w:rsidR="008C41CD" w:rsidRPr="008C41CD" w:rsidRDefault="00E24F35" w:rsidP="008C41C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Calibri"/>
                <w:bdr w:val="none" w:sz="0" w:space="0" w:color="auto"/>
                <w:lang w:val="lt-LT"/>
              </w:rPr>
            </w:pPr>
            <w:r w:rsidRPr="008C41CD">
              <w:rPr>
                <w:rFonts w:eastAsia="Calibri"/>
                <w:b/>
                <w:u w:val="single"/>
                <w:bdr w:val="none" w:sz="0" w:space="0" w:color="auto"/>
                <w:lang w:val="lt-LT"/>
              </w:rPr>
              <w:t>Klausimo esmė:</w:t>
            </w:r>
            <w:r w:rsidRPr="008C41CD">
              <w:rPr>
                <w:rFonts w:eastAsia="Calibri"/>
                <w:bdr w:val="none" w:sz="0" w:space="0" w:color="auto"/>
                <w:lang w:val="lt-LT"/>
              </w:rPr>
              <w:t xml:space="preserve"> </w:t>
            </w:r>
            <w:r w:rsidR="008C41CD" w:rsidRPr="008C41CD">
              <w:rPr>
                <w:rFonts w:eastAsia="Calibri"/>
                <w:bdr w:val="none" w:sz="0" w:space="0" w:color="auto"/>
                <w:lang w:val="lt-LT"/>
              </w:rPr>
              <w:t xml:space="preserve">2021 kovo 3 d. </w:t>
            </w:r>
            <w:r w:rsidR="0058519B">
              <w:rPr>
                <w:rFonts w:eastAsia="Calibri"/>
                <w:bdr w:val="none" w:sz="0" w:space="0" w:color="auto"/>
                <w:lang w:val="lt-LT"/>
              </w:rPr>
              <w:t>EK</w:t>
            </w:r>
            <w:r w:rsidR="008C41CD" w:rsidRPr="008C41CD">
              <w:rPr>
                <w:rFonts w:eastAsia="Calibri"/>
                <w:bdr w:val="none" w:sz="0" w:space="0" w:color="auto"/>
                <w:lang w:val="lt-LT"/>
              </w:rPr>
              <w:t xml:space="preserve"> paskelbė komunikatą, kuriame ES šalims pateikiamos </w:t>
            </w:r>
            <w:r w:rsidR="004A0199">
              <w:rPr>
                <w:rFonts w:eastAsia="Calibri"/>
                <w:bdr w:val="none" w:sz="0" w:space="0" w:color="auto"/>
                <w:lang w:val="lt-LT"/>
              </w:rPr>
              <w:t xml:space="preserve">trumpojo ir </w:t>
            </w:r>
            <w:r w:rsidR="008C41CD" w:rsidRPr="008C41CD">
              <w:rPr>
                <w:rFonts w:eastAsia="Calibri"/>
                <w:bdr w:val="none" w:sz="0" w:space="0" w:color="auto"/>
                <w:lang w:val="lt-LT"/>
              </w:rPr>
              <w:t>vidutinio laikotarpio fiskalinės politikos gairės, atsižvelgiant į COVID-19 pandem</w:t>
            </w:r>
            <w:r w:rsidR="008C41CD" w:rsidRPr="008C41CD">
              <w:rPr>
                <w:rFonts w:eastAsia="Calibri"/>
                <w:bdr w:val="none" w:sz="0" w:space="0" w:color="auto"/>
                <w:lang w:val="lt-LT"/>
              </w:rPr>
              <w:t>i</w:t>
            </w:r>
            <w:r w:rsidR="008C41CD" w:rsidRPr="008C41CD">
              <w:rPr>
                <w:rFonts w:eastAsia="Calibri"/>
                <w:bdr w:val="none" w:sz="0" w:space="0" w:color="auto"/>
                <w:lang w:val="lt-LT"/>
              </w:rPr>
              <w:t>jos galimą raidą, poreikį padėti ekonomikoms išgyventi krizę ir sugrįžti į tvaraus augimo kelią  (</w:t>
            </w:r>
            <w:r w:rsidR="0058519B">
              <w:rPr>
                <w:rFonts w:eastAsia="Calibri"/>
                <w:bdr w:val="none" w:sz="0" w:space="0" w:color="auto"/>
                <w:lang w:val="lt-LT"/>
              </w:rPr>
              <w:t xml:space="preserve">taip pat ir </w:t>
            </w:r>
            <w:r w:rsidR="008C41CD" w:rsidRPr="008C41CD">
              <w:rPr>
                <w:rFonts w:eastAsia="Calibri"/>
                <w:bdr w:val="none" w:sz="0" w:space="0" w:color="auto"/>
                <w:lang w:val="lt-LT"/>
              </w:rPr>
              <w:t xml:space="preserve">pasinaudojant RRF investicijų finansavimo galimybe) ir, tuo pačiu, išlaikyti fiskalinį tvarumą. Komunikate pateiktos gairės skirtos </w:t>
            </w:r>
            <w:r w:rsidR="000573E9">
              <w:rPr>
                <w:rFonts w:eastAsia="Calibri"/>
                <w:bdr w:val="none" w:sz="0" w:space="0" w:color="auto"/>
                <w:lang w:val="lt-LT"/>
              </w:rPr>
              <w:t xml:space="preserve">padėti </w:t>
            </w:r>
            <w:r w:rsidR="0058519B">
              <w:rPr>
                <w:rFonts w:eastAsia="Calibri"/>
                <w:bdr w:val="none" w:sz="0" w:space="0" w:color="auto"/>
                <w:lang w:val="lt-LT"/>
              </w:rPr>
              <w:t xml:space="preserve">ES šalims rengiant savo </w:t>
            </w:r>
            <w:r w:rsidR="008C41CD" w:rsidRPr="008C41CD">
              <w:rPr>
                <w:rFonts w:eastAsia="Calibri"/>
                <w:bdr w:val="none" w:sz="0" w:space="0" w:color="auto"/>
                <w:lang w:val="lt-LT"/>
              </w:rPr>
              <w:t xml:space="preserve">2021 m. Stabilumo (Konvergencijos) programas. </w:t>
            </w:r>
          </w:p>
          <w:p w:rsidR="008C41CD" w:rsidRPr="008C41CD" w:rsidRDefault="008C41CD" w:rsidP="008C41C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Calibri"/>
                <w:bdr w:val="none" w:sz="0" w:space="0" w:color="auto"/>
                <w:lang w:val="lt-LT"/>
              </w:rPr>
            </w:pPr>
            <w:r w:rsidRPr="008C41CD">
              <w:rPr>
                <w:rFonts w:eastAsia="Calibri"/>
                <w:bdr w:val="none" w:sz="0" w:space="0" w:color="auto"/>
                <w:lang w:val="lt-LT"/>
              </w:rPr>
              <w:t xml:space="preserve">Sprendimas dėl </w:t>
            </w:r>
            <w:r w:rsidR="00252CC5" w:rsidRPr="008C41CD">
              <w:rPr>
                <w:rFonts w:eastAsia="Calibri"/>
                <w:bdr w:val="none" w:sz="0" w:space="0" w:color="auto"/>
                <w:lang w:val="lt-LT"/>
              </w:rPr>
              <w:t xml:space="preserve">Stabilumo ir augimo pakto (SAP) bendrosios išimties taikymo (angl. </w:t>
            </w:r>
            <w:proofErr w:type="spellStart"/>
            <w:r w:rsidR="00252CC5" w:rsidRPr="008C41CD">
              <w:rPr>
                <w:rFonts w:eastAsia="Calibri"/>
                <w:bdr w:val="none" w:sz="0" w:space="0" w:color="auto"/>
                <w:lang w:val="lt-LT"/>
              </w:rPr>
              <w:t>General</w:t>
            </w:r>
            <w:proofErr w:type="spellEnd"/>
            <w:r w:rsidR="00252CC5" w:rsidRPr="008C41CD">
              <w:rPr>
                <w:rFonts w:eastAsia="Calibri"/>
                <w:bdr w:val="none" w:sz="0" w:space="0" w:color="auto"/>
                <w:lang w:val="lt-LT"/>
              </w:rPr>
              <w:t xml:space="preserve"> </w:t>
            </w:r>
            <w:proofErr w:type="spellStart"/>
            <w:r w:rsidR="00252CC5" w:rsidRPr="008C41CD">
              <w:rPr>
                <w:rFonts w:eastAsia="Calibri"/>
                <w:bdr w:val="none" w:sz="0" w:space="0" w:color="auto"/>
                <w:lang w:val="lt-LT"/>
              </w:rPr>
              <w:t>Escape</w:t>
            </w:r>
            <w:proofErr w:type="spellEnd"/>
            <w:r w:rsidR="00252CC5" w:rsidRPr="008C41CD">
              <w:rPr>
                <w:rFonts w:eastAsia="Calibri"/>
                <w:bdr w:val="none" w:sz="0" w:space="0" w:color="auto"/>
                <w:lang w:val="lt-LT"/>
              </w:rPr>
              <w:t xml:space="preserve"> </w:t>
            </w:r>
            <w:proofErr w:type="spellStart"/>
            <w:r w:rsidR="00252CC5" w:rsidRPr="008C41CD">
              <w:rPr>
                <w:rFonts w:eastAsia="Calibri"/>
                <w:bdr w:val="none" w:sz="0" w:space="0" w:color="auto"/>
                <w:lang w:val="lt-LT"/>
              </w:rPr>
              <w:t>Clau</w:t>
            </w:r>
            <w:r w:rsidR="00E70A31">
              <w:rPr>
                <w:rFonts w:eastAsia="Calibri"/>
                <w:bdr w:val="none" w:sz="0" w:space="0" w:color="auto"/>
                <w:lang w:val="lt-LT"/>
              </w:rPr>
              <w:t>se</w:t>
            </w:r>
            <w:proofErr w:type="spellEnd"/>
            <w:r w:rsidR="00E70A31">
              <w:rPr>
                <w:rFonts w:eastAsia="Calibri"/>
                <w:bdr w:val="none" w:sz="0" w:space="0" w:color="auto"/>
                <w:lang w:val="lt-LT"/>
              </w:rPr>
              <w:t>, GEC)</w:t>
            </w:r>
            <w:r w:rsidRPr="008C41CD">
              <w:rPr>
                <w:rFonts w:eastAsia="Calibri"/>
                <w:bdr w:val="none" w:sz="0" w:space="0" w:color="auto"/>
                <w:lang w:val="lt-LT"/>
              </w:rPr>
              <w:t xml:space="preserve"> </w:t>
            </w:r>
            <w:r w:rsidR="00E70A31">
              <w:rPr>
                <w:rFonts w:eastAsia="Calibri"/>
                <w:bdr w:val="none" w:sz="0" w:space="0" w:color="auto"/>
                <w:lang w:val="lt-LT"/>
              </w:rPr>
              <w:t>pra</w:t>
            </w:r>
            <w:r w:rsidRPr="008C41CD">
              <w:rPr>
                <w:rFonts w:eastAsia="Calibri"/>
                <w:bdr w:val="none" w:sz="0" w:space="0" w:color="auto"/>
                <w:lang w:val="lt-LT"/>
              </w:rPr>
              <w:t>tęsimo ar išjungimo, EK nuomone, priklausys nuo visuotinio euro z</w:t>
            </w:r>
            <w:r w:rsidRPr="008C41CD">
              <w:rPr>
                <w:rFonts w:eastAsia="Calibri"/>
                <w:bdr w:val="none" w:sz="0" w:space="0" w:color="auto"/>
                <w:lang w:val="lt-LT"/>
              </w:rPr>
              <w:t>o</w:t>
            </w:r>
            <w:r w:rsidRPr="008C41CD">
              <w:rPr>
                <w:rFonts w:eastAsia="Calibri"/>
                <w:bdr w:val="none" w:sz="0" w:space="0" w:color="auto"/>
                <w:lang w:val="lt-LT"/>
              </w:rPr>
              <w:t>nos, ES ekonominės padėties vertinimo, kuris bus paremtas kiekybiniais vertinimo parametrais. Euro zonos ir ES BVP lygis</w:t>
            </w:r>
            <w:r w:rsidR="00E70A31">
              <w:rPr>
                <w:rFonts w:eastAsia="Calibri"/>
                <w:bdr w:val="none" w:sz="0" w:space="0" w:color="auto"/>
                <w:lang w:val="lt-LT"/>
              </w:rPr>
              <w:t xml:space="preserve">, </w:t>
            </w:r>
            <w:r w:rsidR="00E70A31" w:rsidRPr="008C41CD">
              <w:rPr>
                <w:rFonts w:eastAsia="Calibri"/>
                <w:bdr w:val="none" w:sz="0" w:space="0" w:color="auto"/>
                <w:lang w:val="lt-LT"/>
              </w:rPr>
              <w:t>lyginant su prieš</w:t>
            </w:r>
            <w:r w:rsidR="000573E9">
              <w:rPr>
                <w:rFonts w:eastAsia="Calibri"/>
                <w:bdr w:val="none" w:sz="0" w:space="0" w:color="auto"/>
                <w:lang w:val="lt-LT"/>
              </w:rPr>
              <w:t xml:space="preserve"> </w:t>
            </w:r>
            <w:r w:rsidR="00E70A31" w:rsidRPr="008C41CD">
              <w:rPr>
                <w:rFonts w:eastAsia="Calibri"/>
                <w:bdr w:val="none" w:sz="0" w:space="0" w:color="auto"/>
                <w:lang w:val="lt-LT"/>
              </w:rPr>
              <w:t>kriziniu</w:t>
            </w:r>
            <w:r w:rsidR="00E70A31">
              <w:rPr>
                <w:rFonts w:eastAsia="Calibri"/>
                <w:bdr w:val="none" w:sz="0" w:space="0" w:color="auto"/>
                <w:lang w:val="lt-LT"/>
              </w:rPr>
              <w:t xml:space="preserve"> lygiu,</w:t>
            </w:r>
            <w:r w:rsidRPr="008C41CD">
              <w:rPr>
                <w:rFonts w:eastAsia="Calibri"/>
                <w:bdr w:val="none" w:sz="0" w:space="0" w:color="auto"/>
                <w:lang w:val="lt-LT"/>
              </w:rPr>
              <w:t xml:space="preserve"> bus pagrindinis</w:t>
            </w:r>
            <w:r w:rsidR="00E70A31">
              <w:rPr>
                <w:rFonts w:eastAsia="Calibri"/>
                <w:bdr w:val="none" w:sz="0" w:space="0" w:color="auto"/>
                <w:lang w:val="lt-LT"/>
              </w:rPr>
              <w:t xml:space="preserve"> rodiklis</w:t>
            </w:r>
            <w:r w:rsidRPr="008C41CD">
              <w:rPr>
                <w:rFonts w:eastAsia="Calibri"/>
                <w:bdr w:val="none" w:sz="0" w:space="0" w:color="auto"/>
                <w:lang w:val="lt-LT"/>
              </w:rPr>
              <w:t xml:space="preserve">, kurį EK naudos vertindama, ar išjungti GEC. Pagal EK žiemos prognozes, BVP pasieks 2019 m. lygį 2022 m. viduryje. Todėl GEC taikymas preliminariai numatomas ir 2022 m., o 2023 – GEC būtų „išjungiamas“. </w:t>
            </w:r>
            <w:r w:rsidR="00E70A31">
              <w:rPr>
                <w:rFonts w:eastAsia="Calibri"/>
                <w:bdr w:val="none" w:sz="0" w:space="0" w:color="auto"/>
                <w:lang w:val="lt-LT"/>
              </w:rPr>
              <w:t>Kadangi pandemija atskiras šalis ir sektorius paveikė skirtingai, i</w:t>
            </w:r>
            <w:r w:rsidRPr="008C41CD">
              <w:rPr>
                <w:rFonts w:eastAsia="Calibri"/>
                <w:bdr w:val="none" w:sz="0" w:space="0" w:color="auto"/>
                <w:lang w:val="lt-LT"/>
              </w:rPr>
              <w:t>šjungus GEC, atskiroms šalims gali būt</w:t>
            </w:r>
            <w:r w:rsidR="00E70A31">
              <w:rPr>
                <w:rFonts w:eastAsia="Calibri"/>
                <w:bdr w:val="none" w:sz="0" w:space="0" w:color="auto"/>
                <w:lang w:val="lt-LT"/>
              </w:rPr>
              <w:t>i taikomos SAP</w:t>
            </w:r>
            <w:r w:rsidR="000573E9">
              <w:rPr>
                <w:rFonts w:eastAsia="Calibri"/>
                <w:bdr w:val="none" w:sz="0" w:space="0" w:color="auto"/>
                <w:lang w:val="lt-LT"/>
              </w:rPr>
              <w:t xml:space="preserve"> numatytos lankstumo priemonės</w:t>
            </w:r>
            <w:r w:rsidRPr="008C41CD">
              <w:rPr>
                <w:rFonts w:eastAsia="Calibri"/>
                <w:bdr w:val="none" w:sz="0" w:space="0" w:color="auto"/>
                <w:lang w:val="lt-LT"/>
              </w:rPr>
              <w:t>.</w:t>
            </w:r>
          </w:p>
          <w:p w:rsidR="008C41CD" w:rsidRPr="008C41CD" w:rsidRDefault="00E70A31" w:rsidP="008C41C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Calibri"/>
                <w:bdr w:val="none" w:sz="0" w:space="0" w:color="auto"/>
                <w:lang w:val="lt-LT"/>
              </w:rPr>
            </w:pPr>
            <w:r w:rsidRPr="00E70A31">
              <w:rPr>
                <w:rFonts w:eastAsia="Calibri"/>
                <w:bdr w:val="none" w:sz="0" w:space="0" w:color="auto"/>
                <w:lang w:val="lt-LT"/>
              </w:rPr>
              <w:t xml:space="preserve">Detalesnės ir atnaujintos gairės bus pateiktos 2021m. gegužės mėnesį kartu su </w:t>
            </w:r>
            <w:r w:rsidR="0058519B">
              <w:rPr>
                <w:rFonts w:eastAsia="Calibri"/>
                <w:bdr w:val="none" w:sz="0" w:space="0" w:color="auto"/>
                <w:lang w:val="lt-LT"/>
              </w:rPr>
              <w:t xml:space="preserve">Europos semestro </w:t>
            </w:r>
            <w:r w:rsidRPr="00E70A31">
              <w:rPr>
                <w:rFonts w:eastAsia="Calibri"/>
                <w:bdr w:val="none" w:sz="0" w:space="0" w:color="auto"/>
                <w:lang w:val="lt-LT"/>
              </w:rPr>
              <w:t>„Pavasario pake</w:t>
            </w:r>
            <w:r w:rsidR="0058519B">
              <w:rPr>
                <w:rFonts w:eastAsia="Calibri"/>
                <w:bdr w:val="none" w:sz="0" w:space="0" w:color="auto"/>
                <w:lang w:val="lt-LT"/>
              </w:rPr>
              <w:t xml:space="preserve">tu“ </w:t>
            </w:r>
            <w:r w:rsidRPr="00E70A31">
              <w:rPr>
                <w:rFonts w:eastAsia="Calibri"/>
                <w:bdr w:val="none" w:sz="0" w:space="0" w:color="auto"/>
                <w:lang w:val="lt-LT"/>
              </w:rPr>
              <w:t xml:space="preserve">- </w:t>
            </w:r>
            <w:r>
              <w:rPr>
                <w:rFonts w:eastAsia="Calibri"/>
                <w:bdr w:val="none" w:sz="0" w:space="0" w:color="auto"/>
                <w:lang w:val="lt-LT"/>
              </w:rPr>
              <w:t xml:space="preserve">pavasario prognozėmis, šalių pateiktų </w:t>
            </w:r>
            <w:r w:rsidRPr="00E70A31">
              <w:rPr>
                <w:rFonts w:eastAsia="Calibri"/>
                <w:bdr w:val="none" w:sz="0" w:space="0" w:color="auto"/>
                <w:lang w:val="lt-LT"/>
              </w:rPr>
              <w:t>Stabilumo/Konvergencijos programų vertinimu</w:t>
            </w:r>
            <w:r>
              <w:rPr>
                <w:rFonts w:eastAsia="Calibri"/>
                <w:bdr w:val="none" w:sz="0" w:space="0" w:color="auto"/>
                <w:lang w:val="lt-LT"/>
              </w:rPr>
              <w:t>, fiskalinėmis rekomendacijomis šalims</w:t>
            </w:r>
            <w:r w:rsidRPr="00E70A31">
              <w:rPr>
                <w:rFonts w:eastAsia="Calibri"/>
                <w:bdr w:val="none" w:sz="0" w:space="0" w:color="auto"/>
                <w:lang w:val="lt-LT"/>
              </w:rPr>
              <w:t>.</w:t>
            </w:r>
          </w:p>
          <w:p w:rsidR="008C41CD" w:rsidRPr="008C41CD" w:rsidRDefault="00E70A31" w:rsidP="008C41C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Calibri"/>
                <w:bdr w:val="none" w:sz="0" w:space="0" w:color="auto"/>
                <w:lang w:val="lt-LT"/>
              </w:rPr>
            </w:pPr>
            <w:r>
              <w:rPr>
                <w:rFonts w:eastAsia="Calibri"/>
                <w:bdr w:val="none" w:sz="0" w:space="0" w:color="auto"/>
                <w:lang w:val="lt-LT"/>
              </w:rPr>
              <w:t xml:space="preserve">Komunikate akcentuojama </w:t>
            </w:r>
            <w:r w:rsidR="008C41CD" w:rsidRPr="008C41CD">
              <w:rPr>
                <w:rFonts w:eastAsia="Calibri"/>
                <w:bdr w:val="none" w:sz="0" w:space="0" w:color="auto"/>
                <w:lang w:val="lt-LT"/>
              </w:rPr>
              <w:t>RRF</w:t>
            </w:r>
            <w:r>
              <w:rPr>
                <w:rFonts w:eastAsia="Calibri"/>
                <w:bdr w:val="none" w:sz="0" w:space="0" w:color="auto"/>
                <w:lang w:val="lt-LT"/>
              </w:rPr>
              <w:t xml:space="preserve"> reikšmė.</w:t>
            </w:r>
            <w:r w:rsidR="008C41CD" w:rsidRPr="008C41CD">
              <w:rPr>
                <w:rFonts w:eastAsia="Calibri"/>
                <w:bdr w:val="none" w:sz="0" w:space="0" w:color="auto"/>
                <w:lang w:val="lt-LT"/>
              </w:rPr>
              <w:t xml:space="preserve"> </w:t>
            </w:r>
            <w:r>
              <w:rPr>
                <w:rFonts w:eastAsia="Calibri"/>
                <w:bdr w:val="none" w:sz="0" w:space="0" w:color="auto"/>
                <w:lang w:val="lt-LT"/>
              </w:rPr>
              <w:t>Š</w:t>
            </w:r>
            <w:r w:rsidR="008C41CD" w:rsidRPr="008C41CD">
              <w:rPr>
                <w:rFonts w:eastAsia="Calibri"/>
                <w:bdr w:val="none" w:sz="0" w:space="0" w:color="auto"/>
                <w:lang w:val="lt-LT"/>
              </w:rPr>
              <w:t xml:space="preserve">alys </w:t>
            </w:r>
            <w:r>
              <w:rPr>
                <w:rFonts w:eastAsia="Calibri"/>
                <w:bdr w:val="none" w:sz="0" w:space="0" w:color="auto"/>
                <w:lang w:val="lt-LT"/>
              </w:rPr>
              <w:t xml:space="preserve">skatinamos </w:t>
            </w:r>
            <w:r w:rsidR="008C41CD" w:rsidRPr="008C41CD">
              <w:rPr>
                <w:rFonts w:eastAsia="Calibri"/>
                <w:bdr w:val="none" w:sz="0" w:space="0" w:color="auto"/>
                <w:lang w:val="lt-LT"/>
              </w:rPr>
              <w:t>pasinaudoti „galimybių langu“, kurį suteikia RRF instrumentas: nedidinant valdžios sektoriaus deficito įgyvendinti produktyvias i</w:t>
            </w:r>
            <w:r w:rsidR="008C41CD" w:rsidRPr="008C41CD">
              <w:rPr>
                <w:rFonts w:eastAsia="Calibri"/>
                <w:bdr w:val="none" w:sz="0" w:space="0" w:color="auto"/>
                <w:lang w:val="lt-LT"/>
              </w:rPr>
              <w:t>n</w:t>
            </w:r>
            <w:r w:rsidR="008C41CD" w:rsidRPr="008C41CD">
              <w:rPr>
                <w:rFonts w:eastAsia="Calibri"/>
                <w:bdr w:val="none" w:sz="0" w:space="0" w:color="auto"/>
                <w:lang w:val="lt-LT"/>
              </w:rPr>
              <w:t>vesticijas, kurios sustiprintų vidutinio laikotarpio ekonomikos potencialą. RRF lėšos neskirtos einamosioms nuolatinio pobūdžio išlaidoms finansuoti. Nauji ilgalaikiai įsipareigojimai, reik</w:t>
            </w:r>
            <w:r w:rsidR="008C41CD" w:rsidRPr="008C41CD">
              <w:rPr>
                <w:rFonts w:eastAsia="Calibri"/>
                <w:bdr w:val="none" w:sz="0" w:space="0" w:color="auto"/>
                <w:lang w:val="lt-LT"/>
              </w:rPr>
              <w:t>a</w:t>
            </w:r>
            <w:r w:rsidR="008C41CD" w:rsidRPr="008C41CD">
              <w:rPr>
                <w:rFonts w:eastAsia="Calibri"/>
                <w:bdr w:val="none" w:sz="0" w:space="0" w:color="auto"/>
                <w:lang w:val="lt-LT"/>
              </w:rPr>
              <w:t>laujantys papildomų išlaidų, turi būti padengti nacionalinėmis ilgalaikes ir tvarias pajamas gen</w:t>
            </w:r>
            <w:r w:rsidR="008C41CD" w:rsidRPr="008C41CD">
              <w:rPr>
                <w:rFonts w:eastAsia="Calibri"/>
                <w:bdr w:val="none" w:sz="0" w:space="0" w:color="auto"/>
                <w:lang w:val="lt-LT"/>
              </w:rPr>
              <w:t>e</w:t>
            </w:r>
            <w:r w:rsidR="008C41CD" w:rsidRPr="008C41CD">
              <w:rPr>
                <w:rFonts w:eastAsia="Calibri"/>
                <w:bdr w:val="none" w:sz="0" w:space="0" w:color="auto"/>
                <w:lang w:val="lt-LT"/>
              </w:rPr>
              <w:t>ruojančiomis priemonėmis.</w:t>
            </w:r>
          </w:p>
          <w:p w:rsidR="008C41CD" w:rsidRPr="008C41CD" w:rsidRDefault="008C41CD" w:rsidP="008C41C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Calibri"/>
                <w:bdr w:val="none" w:sz="0" w:space="0" w:color="auto"/>
                <w:lang w:val="lt-LT"/>
              </w:rPr>
            </w:pPr>
            <w:r w:rsidRPr="008C41CD">
              <w:rPr>
                <w:rFonts w:eastAsia="Calibri"/>
                <w:bdr w:val="none" w:sz="0" w:space="0" w:color="auto"/>
                <w:lang w:val="lt-LT"/>
              </w:rPr>
              <w:t xml:space="preserve">2021-2022 m. </w:t>
            </w:r>
            <w:r w:rsidR="0015792A">
              <w:rPr>
                <w:rFonts w:eastAsia="Calibri"/>
                <w:bdr w:val="none" w:sz="0" w:space="0" w:color="auto"/>
                <w:lang w:val="lt-LT"/>
              </w:rPr>
              <w:t xml:space="preserve">rekomenduojama </w:t>
            </w:r>
            <w:r w:rsidRPr="008C41CD">
              <w:rPr>
                <w:rFonts w:eastAsia="Calibri"/>
                <w:bdr w:val="none" w:sz="0" w:space="0" w:color="auto"/>
                <w:lang w:val="lt-LT"/>
              </w:rPr>
              <w:t xml:space="preserve">vykdyti ekonomiką palaikančią </w:t>
            </w:r>
            <w:r w:rsidR="0015792A">
              <w:rPr>
                <w:rFonts w:eastAsia="Calibri"/>
                <w:bdr w:val="none" w:sz="0" w:space="0" w:color="auto"/>
                <w:lang w:val="lt-LT"/>
              </w:rPr>
              <w:t xml:space="preserve">fiskalinę </w:t>
            </w:r>
            <w:r w:rsidRPr="008C41CD">
              <w:rPr>
                <w:rFonts w:eastAsia="Calibri"/>
                <w:bdr w:val="none" w:sz="0" w:space="0" w:color="auto"/>
                <w:lang w:val="lt-LT"/>
              </w:rPr>
              <w:t xml:space="preserve">politiką. </w:t>
            </w:r>
            <w:r w:rsidR="0015792A">
              <w:rPr>
                <w:rFonts w:eastAsia="Calibri"/>
                <w:bdr w:val="none" w:sz="0" w:space="0" w:color="auto"/>
                <w:lang w:val="lt-LT"/>
              </w:rPr>
              <w:t>T</w:t>
            </w:r>
            <w:r w:rsidRPr="008C41CD">
              <w:rPr>
                <w:rFonts w:eastAsia="Calibri"/>
                <w:bdr w:val="none" w:sz="0" w:space="0" w:color="auto"/>
                <w:lang w:val="lt-LT"/>
              </w:rPr>
              <w:t>aikomos</w:t>
            </w:r>
            <w:r w:rsidR="0015792A">
              <w:rPr>
                <w:rFonts w:eastAsia="Calibri"/>
                <w:bdr w:val="none" w:sz="0" w:space="0" w:color="auto"/>
                <w:lang w:val="lt-LT"/>
              </w:rPr>
              <w:t xml:space="preserve"> priemonės</w:t>
            </w:r>
            <w:r w:rsidRPr="008C41CD">
              <w:rPr>
                <w:rFonts w:eastAsia="Calibri"/>
                <w:bdr w:val="none" w:sz="0" w:space="0" w:color="auto"/>
                <w:lang w:val="lt-LT"/>
              </w:rPr>
              <w:t xml:space="preserve"> turi būti</w:t>
            </w:r>
            <w:r w:rsidR="0015792A">
              <w:rPr>
                <w:rFonts w:eastAsia="Calibri"/>
                <w:bdr w:val="none" w:sz="0" w:space="0" w:color="auto"/>
                <w:lang w:val="lt-LT"/>
              </w:rPr>
              <w:t xml:space="preserve"> </w:t>
            </w:r>
            <w:r w:rsidR="0015792A" w:rsidRPr="008C41CD">
              <w:rPr>
                <w:rFonts w:eastAsia="Calibri"/>
                <w:bdr w:val="none" w:sz="0" w:space="0" w:color="auto"/>
                <w:lang w:val="lt-LT"/>
              </w:rPr>
              <w:t>savalaikės</w:t>
            </w:r>
            <w:r w:rsidR="0015792A">
              <w:rPr>
                <w:rFonts w:eastAsia="Calibri"/>
                <w:bdr w:val="none" w:sz="0" w:space="0" w:color="auto"/>
                <w:lang w:val="lt-LT"/>
              </w:rPr>
              <w:t>, laikinos</w:t>
            </w:r>
            <w:r w:rsidRPr="008C41CD">
              <w:rPr>
                <w:rFonts w:eastAsia="Calibri"/>
                <w:bdr w:val="none" w:sz="0" w:space="0" w:color="auto"/>
                <w:lang w:val="lt-LT"/>
              </w:rPr>
              <w:t xml:space="preserve">, tikslingos, efektyvios, </w:t>
            </w:r>
            <w:r w:rsidR="0015792A">
              <w:rPr>
                <w:rFonts w:eastAsia="Calibri"/>
                <w:bdr w:val="none" w:sz="0" w:space="0" w:color="auto"/>
                <w:lang w:val="lt-LT"/>
              </w:rPr>
              <w:t>lanksčios</w:t>
            </w:r>
            <w:r w:rsidRPr="008C41CD">
              <w:rPr>
                <w:rFonts w:eastAsia="Calibri"/>
                <w:bdr w:val="none" w:sz="0" w:space="0" w:color="auto"/>
                <w:lang w:val="lt-LT"/>
              </w:rPr>
              <w:t xml:space="preserve">.  </w:t>
            </w:r>
            <w:r w:rsidR="0015792A">
              <w:rPr>
                <w:rFonts w:eastAsia="Calibri"/>
                <w:bdr w:val="none" w:sz="0" w:space="0" w:color="auto"/>
                <w:lang w:val="lt-LT"/>
              </w:rPr>
              <w:t>P</w:t>
            </w:r>
            <w:r w:rsidRPr="008C41CD">
              <w:rPr>
                <w:rFonts w:eastAsia="Calibri"/>
                <w:bdr w:val="none" w:sz="0" w:space="0" w:color="auto"/>
                <w:lang w:val="lt-LT"/>
              </w:rPr>
              <w:t>er ankstyvo pagalbos priemonių nutraukimo reikėtų vengti</w:t>
            </w:r>
            <w:r w:rsidR="0015792A">
              <w:rPr>
                <w:rFonts w:eastAsia="Calibri"/>
                <w:bdr w:val="none" w:sz="0" w:space="0" w:color="auto"/>
                <w:lang w:val="lt-LT"/>
              </w:rPr>
              <w:t>.</w:t>
            </w:r>
            <w:r w:rsidRPr="008C41CD">
              <w:rPr>
                <w:rFonts w:eastAsia="Calibri"/>
                <w:bdr w:val="none" w:sz="0" w:space="0" w:color="auto"/>
                <w:lang w:val="lt-LT"/>
              </w:rPr>
              <w:t xml:space="preserve"> </w:t>
            </w:r>
            <w:r w:rsidR="0015792A">
              <w:rPr>
                <w:rFonts w:eastAsia="Calibri"/>
                <w:bdr w:val="none" w:sz="0" w:space="0" w:color="auto"/>
                <w:lang w:val="lt-LT"/>
              </w:rPr>
              <w:t>Situacijai pagerėjus</w:t>
            </w:r>
            <w:r w:rsidR="0058519B">
              <w:rPr>
                <w:rFonts w:eastAsia="Calibri"/>
                <w:bdr w:val="none" w:sz="0" w:space="0" w:color="auto"/>
                <w:lang w:val="lt-LT"/>
              </w:rPr>
              <w:t>,</w:t>
            </w:r>
            <w:r w:rsidRPr="008C41CD">
              <w:rPr>
                <w:rFonts w:eastAsia="Calibri"/>
                <w:bdr w:val="none" w:sz="0" w:space="0" w:color="auto"/>
                <w:lang w:val="lt-LT"/>
              </w:rPr>
              <w:t xml:space="preserve"> </w:t>
            </w:r>
            <w:r w:rsidR="0015792A">
              <w:rPr>
                <w:rFonts w:eastAsia="Calibri"/>
                <w:bdr w:val="none" w:sz="0" w:space="0" w:color="auto"/>
                <w:lang w:val="lt-LT"/>
              </w:rPr>
              <w:t xml:space="preserve">pagalbos </w:t>
            </w:r>
            <w:r w:rsidRPr="008C41CD">
              <w:rPr>
                <w:rFonts w:eastAsia="Calibri"/>
                <w:bdr w:val="none" w:sz="0" w:space="0" w:color="auto"/>
                <w:lang w:val="lt-LT"/>
              </w:rPr>
              <w:t>priemonės turi būti per</w:t>
            </w:r>
            <w:r w:rsidRPr="008C41CD">
              <w:rPr>
                <w:rFonts w:eastAsia="Calibri"/>
                <w:bdr w:val="none" w:sz="0" w:space="0" w:color="auto"/>
                <w:lang w:val="lt-LT"/>
              </w:rPr>
              <w:t>o</w:t>
            </w:r>
            <w:r w:rsidRPr="008C41CD">
              <w:rPr>
                <w:rFonts w:eastAsia="Calibri"/>
                <w:bdr w:val="none" w:sz="0" w:space="0" w:color="auto"/>
                <w:lang w:val="lt-LT"/>
              </w:rPr>
              <w:t>rientuotos į priemones, skirtas ekonomikos atsparumui ir tvariam augimui palaikyti</w:t>
            </w:r>
            <w:r w:rsidR="0015792A">
              <w:rPr>
                <w:rFonts w:eastAsia="Calibri"/>
                <w:bdr w:val="none" w:sz="0" w:space="0" w:color="auto"/>
                <w:lang w:val="lt-LT"/>
              </w:rPr>
              <w:t>.</w:t>
            </w:r>
            <w:r w:rsidRPr="008C41CD">
              <w:rPr>
                <w:rFonts w:eastAsia="Calibri"/>
                <w:bdr w:val="none" w:sz="0" w:space="0" w:color="auto"/>
                <w:lang w:val="lt-LT"/>
              </w:rPr>
              <w:t xml:space="preserve"> </w:t>
            </w:r>
            <w:r w:rsidR="0015792A">
              <w:rPr>
                <w:rFonts w:eastAsia="Calibri"/>
                <w:bdr w:val="none" w:sz="0" w:space="0" w:color="auto"/>
                <w:lang w:val="lt-LT"/>
              </w:rPr>
              <w:t>F</w:t>
            </w:r>
            <w:r w:rsidRPr="008C41CD">
              <w:rPr>
                <w:rFonts w:eastAsia="Calibri"/>
                <w:bdr w:val="none" w:sz="0" w:space="0" w:color="auto"/>
                <w:lang w:val="lt-LT"/>
              </w:rPr>
              <w:t>ormuojant fiskalinę politiką, turi būti įvertintas ilgalaikis fiskalinis tvarumas, krizės padariniai darbo rinkai ir socialinei aplinkai. Į visa tai atsižvelgiant vidutiniu laiko</w:t>
            </w:r>
            <w:r>
              <w:rPr>
                <w:rFonts w:eastAsia="Calibri"/>
                <w:bdr w:val="none" w:sz="0" w:space="0" w:color="auto"/>
                <w:lang w:val="lt-LT"/>
              </w:rPr>
              <w:t xml:space="preserve">tarpiu reikėtų gerinti </w:t>
            </w:r>
            <w:r w:rsidRPr="008C41CD">
              <w:rPr>
                <w:rFonts w:eastAsia="Calibri"/>
                <w:bdr w:val="none" w:sz="0" w:space="0" w:color="auto"/>
                <w:lang w:val="lt-LT"/>
              </w:rPr>
              <w:t>valdžios sekt</w:t>
            </w:r>
            <w:r w:rsidRPr="008C41CD">
              <w:rPr>
                <w:rFonts w:eastAsia="Calibri"/>
                <w:bdr w:val="none" w:sz="0" w:space="0" w:color="auto"/>
                <w:lang w:val="lt-LT"/>
              </w:rPr>
              <w:t>o</w:t>
            </w:r>
            <w:r w:rsidRPr="008C41CD">
              <w:rPr>
                <w:rFonts w:eastAsia="Calibri"/>
                <w:bdr w:val="none" w:sz="0" w:space="0" w:color="auto"/>
                <w:lang w:val="lt-LT"/>
              </w:rPr>
              <w:t>riaus finansų padėtį.</w:t>
            </w:r>
          </w:p>
          <w:p w:rsidR="00E24F35" w:rsidRPr="008C41CD" w:rsidRDefault="008C41CD" w:rsidP="008C41C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Calibri"/>
                <w:bdr w:val="none" w:sz="0" w:space="0" w:color="auto"/>
                <w:lang w:val="lt-LT"/>
              </w:rPr>
            </w:pPr>
            <w:r w:rsidRPr="008C41CD">
              <w:rPr>
                <w:rFonts w:eastAsia="Calibri"/>
                <w:bdr w:val="none" w:sz="0" w:space="0" w:color="auto"/>
                <w:lang w:val="lt-LT"/>
              </w:rPr>
              <w:t xml:space="preserve">2021 m. pavasarį EK vertins Stabilumo (Konvergencijos) programas. Vertinimo procedūros vyks pagal standartinius </w:t>
            </w:r>
            <w:r w:rsidR="000573E9">
              <w:rPr>
                <w:rFonts w:eastAsia="Calibri"/>
                <w:bdr w:val="none" w:sz="0" w:space="0" w:color="auto"/>
                <w:lang w:val="lt-LT"/>
              </w:rPr>
              <w:t>E</w:t>
            </w:r>
            <w:r w:rsidRPr="008C41CD">
              <w:rPr>
                <w:rFonts w:eastAsia="Calibri"/>
                <w:bdr w:val="none" w:sz="0" w:space="0" w:color="auto"/>
                <w:lang w:val="lt-LT"/>
              </w:rPr>
              <w:t xml:space="preserve">uropos semestro žingsnius, </w:t>
            </w:r>
            <w:r w:rsidR="0015792A">
              <w:rPr>
                <w:rFonts w:eastAsia="Calibri"/>
                <w:bdr w:val="none" w:sz="0" w:space="0" w:color="auto"/>
                <w:lang w:val="lt-LT"/>
              </w:rPr>
              <w:t xml:space="preserve">nes </w:t>
            </w:r>
            <w:r w:rsidRPr="008C41CD">
              <w:rPr>
                <w:rFonts w:eastAsia="Calibri"/>
                <w:bdr w:val="none" w:sz="0" w:space="0" w:color="auto"/>
                <w:lang w:val="lt-LT"/>
              </w:rPr>
              <w:t xml:space="preserve">SAP </w:t>
            </w:r>
            <w:r w:rsidR="0015792A">
              <w:rPr>
                <w:rFonts w:eastAsia="Calibri"/>
                <w:bdr w:val="none" w:sz="0" w:space="0" w:color="auto"/>
                <w:lang w:val="lt-LT"/>
              </w:rPr>
              <w:t xml:space="preserve">procedūros </w:t>
            </w:r>
            <w:r w:rsidRPr="008C41CD">
              <w:rPr>
                <w:rFonts w:eastAsia="Calibri"/>
                <w:bdr w:val="none" w:sz="0" w:space="0" w:color="auto"/>
                <w:lang w:val="lt-LT"/>
              </w:rPr>
              <w:t xml:space="preserve">galioja net taikant GEC. EK teiks šalims </w:t>
            </w:r>
            <w:r w:rsidR="0015792A">
              <w:rPr>
                <w:rFonts w:eastAsia="Calibri"/>
                <w:bdr w:val="none" w:sz="0" w:space="0" w:color="auto"/>
                <w:lang w:val="lt-LT"/>
              </w:rPr>
              <w:t xml:space="preserve">fiskalines </w:t>
            </w:r>
            <w:r w:rsidRPr="008C41CD">
              <w:rPr>
                <w:rFonts w:eastAsia="Calibri"/>
                <w:bdr w:val="none" w:sz="0" w:space="0" w:color="auto"/>
                <w:lang w:val="lt-LT"/>
              </w:rPr>
              <w:t xml:space="preserve">rekomendacijas (ne tik kokybines, bet ir </w:t>
            </w:r>
            <w:r w:rsidR="0015792A">
              <w:rPr>
                <w:rFonts w:eastAsia="Calibri"/>
                <w:bdr w:val="none" w:sz="0" w:space="0" w:color="auto"/>
                <w:lang w:val="lt-LT"/>
              </w:rPr>
              <w:t xml:space="preserve">su tam tikrais </w:t>
            </w:r>
            <w:r w:rsidRPr="008C41CD">
              <w:rPr>
                <w:rFonts w:eastAsia="Calibri"/>
                <w:bdr w:val="none" w:sz="0" w:space="0" w:color="auto"/>
                <w:lang w:val="lt-LT"/>
              </w:rPr>
              <w:t>kiekyb</w:t>
            </w:r>
            <w:r w:rsidRPr="008C41CD">
              <w:rPr>
                <w:rFonts w:eastAsia="Calibri"/>
                <w:bdr w:val="none" w:sz="0" w:space="0" w:color="auto"/>
                <w:lang w:val="lt-LT"/>
              </w:rPr>
              <w:t>i</w:t>
            </w:r>
            <w:r w:rsidRPr="008C41CD">
              <w:rPr>
                <w:rFonts w:eastAsia="Calibri"/>
                <w:bdr w:val="none" w:sz="0" w:space="0" w:color="auto"/>
                <w:lang w:val="lt-LT"/>
              </w:rPr>
              <w:t>n</w:t>
            </w:r>
            <w:r w:rsidR="0015792A">
              <w:rPr>
                <w:rFonts w:eastAsia="Calibri"/>
                <w:bdr w:val="none" w:sz="0" w:space="0" w:color="auto"/>
                <w:lang w:val="lt-LT"/>
              </w:rPr>
              <w:t>iais elementais</w:t>
            </w:r>
            <w:r w:rsidRPr="008C41CD">
              <w:rPr>
                <w:rFonts w:eastAsia="Calibri"/>
                <w:bdr w:val="none" w:sz="0" w:space="0" w:color="auto"/>
                <w:lang w:val="lt-LT"/>
              </w:rPr>
              <w:t xml:space="preserve">), parengs </w:t>
            </w:r>
            <w:r w:rsidR="0015792A">
              <w:rPr>
                <w:rFonts w:eastAsia="Calibri"/>
                <w:bdr w:val="none" w:sz="0" w:space="0" w:color="auto"/>
                <w:lang w:val="lt-LT"/>
              </w:rPr>
              <w:t>ataskaitas</w:t>
            </w:r>
            <w:r w:rsidR="0015792A" w:rsidRPr="008C41CD">
              <w:rPr>
                <w:rFonts w:eastAsia="Calibri"/>
                <w:bdr w:val="none" w:sz="0" w:space="0" w:color="auto"/>
                <w:lang w:val="lt-LT"/>
              </w:rPr>
              <w:t xml:space="preserve"> </w:t>
            </w:r>
            <w:r w:rsidRPr="008C41CD">
              <w:rPr>
                <w:rFonts w:eastAsia="Calibri"/>
                <w:bdr w:val="none" w:sz="0" w:space="0" w:color="auto"/>
                <w:lang w:val="lt-LT"/>
              </w:rPr>
              <w:t>pagal ES sutarties 126(3) straipsnį</w:t>
            </w:r>
            <w:r w:rsidR="0015792A">
              <w:rPr>
                <w:rFonts w:eastAsia="Calibri"/>
                <w:bdr w:val="none" w:sz="0" w:space="0" w:color="auto"/>
                <w:lang w:val="lt-LT"/>
              </w:rPr>
              <w:t>.</w:t>
            </w:r>
            <w:r w:rsidRPr="008C41CD">
              <w:rPr>
                <w:rFonts w:eastAsia="Calibri"/>
                <w:bdr w:val="none" w:sz="0" w:space="0" w:color="auto"/>
                <w:lang w:val="lt-LT"/>
              </w:rPr>
              <w:t xml:space="preserve"> Vertinimą EK atliks pagal 2020 m. faktinius šalių fiskalinių rodiklių duomenis, šalių parengtas ir EK pateiktas Stab</w:t>
            </w:r>
            <w:r w:rsidRPr="008C41CD">
              <w:rPr>
                <w:rFonts w:eastAsia="Calibri"/>
                <w:bdr w:val="none" w:sz="0" w:space="0" w:color="auto"/>
                <w:lang w:val="lt-LT"/>
              </w:rPr>
              <w:t>i</w:t>
            </w:r>
            <w:r w:rsidRPr="008C41CD">
              <w:rPr>
                <w:rFonts w:eastAsia="Calibri"/>
                <w:bdr w:val="none" w:sz="0" w:space="0" w:color="auto"/>
                <w:lang w:val="lt-LT"/>
              </w:rPr>
              <w:t>lumo (Konvergencijos) programas ir savo pavasario prognozes. Taip pat vertins galimą GEC išjungimo laiką. EK atnaujins viešas konsultacijas dėl SAP peržiūros, kai ekonomika atsigaus.</w:t>
            </w:r>
          </w:p>
          <w:p w:rsidR="00E24F35" w:rsidRPr="008C41CD" w:rsidRDefault="00E24F35" w:rsidP="00E24F35">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color w:val="000000"/>
                <w:bdr w:val="none" w:sz="0" w:space="0" w:color="auto"/>
                <w:lang w:val="lt-LT" w:eastAsia="lt-LT" w:bidi="lt-LT"/>
              </w:rPr>
            </w:pPr>
          </w:p>
          <w:p w:rsidR="00925EB4" w:rsidRDefault="00E24F35" w:rsidP="008C41CD">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lang w:val="lt-LT"/>
              </w:rPr>
            </w:pPr>
            <w:r w:rsidRPr="008C41CD">
              <w:rPr>
                <w:rFonts w:eastAsia="Calibri"/>
                <w:b/>
                <w:u w:val="single"/>
                <w:bdr w:val="none" w:sz="0" w:space="0" w:color="auto"/>
                <w:lang w:val="lt-LT"/>
              </w:rPr>
              <w:t>Lietuvos pozicija</w:t>
            </w:r>
            <w:r w:rsidRPr="008C41CD">
              <w:rPr>
                <w:rFonts w:eastAsia="Calibri"/>
                <w:bdr w:val="none" w:sz="0" w:space="0" w:color="auto"/>
                <w:lang w:val="lt-LT"/>
              </w:rPr>
              <w:t xml:space="preserve">: </w:t>
            </w:r>
            <w:r w:rsidR="0015792A">
              <w:rPr>
                <w:rFonts w:eastAsia="Calibri"/>
                <w:bdr w:val="none" w:sz="0" w:space="0" w:color="auto"/>
                <w:lang w:val="lt-LT"/>
              </w:rPr>
              <w:t xml:space="preserve">Teigiamai vertiname Europos Komisijos pateiktas preliminarias gaires dėl GEC taikymo ir jos </w:t>
            </w:r>
            <w:proofErr w:type="spellStart"/>
            <w:r w:rsidR="0015792A">
              <w:rPr>
                <w:rFonts w:eastAsia="Calibri"/>
                <w:bdr w:val="none" w:sz="0" w:space="0" w:color="auto"/>
                <w:lang w:val="lt-LT"/>
              </w:rPr>
              <w:t>deaktyvavimo</w:t>
            </w:r>
            <w:proofErr w:type="spellEnd"/>
            <w:r w:rsidR="0015792A">
              <w:rPr>
                <w:rFonts w:eastAsia="Calibri"/>
                <w:bdr w:val="none" w:sz="0" w:space="0" w:color="auto"/>
                <w:lang w:val="lt-LT"/>
              </w:rPr>
              <w:t xml:space="preserve"> kriterijų. </w:t>
            </w:r>
            <w:r w:rsidR="004A0199">
              <w:rPr>
                <w:rFonts w:eastAsia="Calibri"/>
                <w:bdr w:val="none" w:sz="0" w:space="0" w:color="auto"/>
                <w:lang w:val="lt-LT"/>
              </w:rPr>
              <w:t>M</w:t>
            </w:r>
            <w:r w:rsidR="004A0199" w:rsidRPr="004A0199">
              <w:rPr>
                <w:rFonts w:eastAsia="Calibri"/>
                <w:bdr w:val="none" w:sz="0" w:space="0" w:color="auto"/>
                <w:lang w:val="lt-LT"/>
              </w:rPr>
              <w:t xml:space="preserve">anome, kad GEC tęsimas 2022 m. būtų tinkamas žingsnis, </w:t>
            </w:r>
            <w:proofErr w:type="spellStart"/>
            <w:r w:rsidR="004A0199" w:rsidRPr="004A0199">
              <w:rPr>
                <w:rFonts w:eastAsia="Calibri"/>
                <w:bdr w:val="none" w:sz="0" w:space="0" w:color="auto"/>
                <w:lang w:val="lt-LT"/>
              </w:rPr>
              <w:t>deaktyvuojant</w:t>
            </w:r>
            <w:proofErr w:type="spellEnd"/>
            <w:r w:rsidR="004A0199" w:rsidRPr="004A0199">
              <w:rPr>
                <w:rFonts w:eastAsia="Calibri"/>
                <w:bdr w:val="none" w:sz="0" w:space="0" w:color="auto"/>
                <w:lang w:val="lt-LT"/>
              </w:rPr>
              <w:t xml:space="preserve"> 2023 m. </w:t>
            </w:r>
            <w:r w:rsidR="004A0199">
              <w:rPr>
                <w:rFonts w:eastAsia="Calibri"/>
                <w:bdr w:val="none" w:sz="0" w:space="0" w:color="auto"/>
                <w:lang w:val="lt-LT"/>
              </w:rPr>
              <w:t xml:space="preserve">Palankiai vertiname </w:t>
            </w:r>
            <w:r w:rsidR="004A0199" w:rsidRPr="004A0199">
              <w:rPr>
                <w:rFonts w:eastAsia="Calibri"/>
                <w:bdr w:val="none" w:sz="0" w:space="0" w:color="auto"/>
                <w:lang w:val="lt-LT"/>
              </w:rPr>
              <w:t xml:space="preserve">tai, kad </w:t>
            </w:r>
            <w:r w:rsidR="0044636B">
              <w:rPr>
                <w:rFonts w:eastAsia="Calibri"/>
                <w:bdr w:val="none" w:sz="0" w:space="0" w:color="auto"/>
                <w:lang w:val="lt-LT"/>
              </w:rPr>
              <w:t xml:space="preserve">kaip pagrindinį GEC </w:t>
            </w:r>
            <w:proofErr w:type="spellStart"/>
            <w:r w:rsidR="0044636B">
              <w:rPr>
                <w:rFonts w:eastAsia="Calibri"/>
                <w:bdr w:val="none" w:sz="0" w:space="0" w:color="auto"/>
                <w:lang w:val="lt-LT"/>
              </w:rPr>
              <w:t>deaktyvav</w:t>
            </w:r>
            <w:r w:rsidR="0044636B">
              <w:rPr>
                <w:rFonts w:eastAsia="Calibri"/>
                <w:bdr w:val="none" w:sz="0" w:space="0" w:color="auto"/>
                <w:lang w:val="lt-LT"/>
              </w:rPr>
              <w:t>i</w:t>
            </w:r>
            <w:r w:rsidR="0044636B">
              <w:rPr>
                <w:rFonts w:eastAsia="Calibri"/>
                <w:bdr w:val="none" w:sz="0" w:space="0" w:color="auto"/>
                <w:lang w:val="lt-LT"/>
              </w:rPr>
              <w:t>vimo</w:t>
            </w:r>
            <w:proofErr w:type="spellEnd"/>
            <w:r w:rsidR="0044636B">
              <w:rPr>
                <w:rFonts w:eastAsia="Calibri"/>
                <w:bdr w:val="none" w:sz="0" w:space="0" w:color="auto"/>
                <w:lang w:val="lt-LT"/>
              </w:rPr>
              <w:t xml:space="preserve"> kriterijų </w:t>
            </w:r>
            <w:r w:rsidR="004A0199" w:rsidRPr="004A0199">
              <w:rPr>
                <w:rFonts w:eastAsia="Calibri"/>
                <w:bdr w:val="none" w:sz="0" w:space="0" w:color="auto"/>
                <w:lang w:val="lt-LT"/>
              </w:rPr>
              <w:t xml:space="preserve">EK </w:t>
            </w:r>
            <w:r w:rsidR="0044636B">
              <w:rPr>
                <w:rFonts w:eastAsia="Calibri"/>
                <w:bdr w:val="none" w:sz="0" w:space="0" w:color="auto"/>
                <w:lang w:val="lt-LT"/>
              </w:rPr>
              <w:t xml:space="preserve">siūlo </w:t>
            </w:r>
            <w:r w:rsidR="004A0199" w:rsidRPr="004A0199">
              <w:rPr>
                <w:rFonts w:eastAsia="Calibri"/>
                <w:bdr w:val="none" w:sz="0" w:space="0" w:color="auto"/>
                <w:lang w:val="lt-LT"/>
              </w:rPr>
              <w:t>objektyvų grįži</w:t>
            </w:r>
            <w:r w:rsidR="004A0199">
              <w:rPr>
                <w:rFonts w:eastAsia="Calibri"/>
                <w:bdr w:val="none" w:sz="0" w:space="0" w:color="auto"/>
                <w:lang w:val="lt-LT"/>
              </w:rPr>
              <w:t xml:space="preserve">mo prie iki </w:t>
            </w:r>
            <w:proofErr w:type="spellStart"/>
            <w:r w:rsidR="004A0199">
              <w:rPr>
                <w:rFonts w:eastAsia="Calibri"/>
                <w:bdr w:val="none" w:sz="0" w:space="0" w:color="auto"/>
                <w:lang w:val="lt-LT"/>
              </w:rPr>
              <w:t>pandeminio</w:t>
            </w:r>
            <w:proofErr w:type="spellEnd"/>
            <w:r w:rsidR="004A0199">
              <w:rPr>
                <w:rFonts w:eastAsia="Calibri"/>
                <w:bdr w:val="none" w:sz="0" w:space="0" w:color="auto"/>
                <w:lang w:val="lt-LT"/>
              </w:rPr>
              <w:t xml:space="preserve"> BVP lygio kriterijų</w:t>
            </w:r>
            <w:r w:rsidR="004A0199" w:rsidRPr="004A0199">
              <w:rPr>
                <w:rFonts w:eastAsia="Calibri"/>
                <w:bdr w:val="none" w:sz="0" w:space="0" w:color="auto"/>
                <w:lang w:val="lt-LT"/>
              </w:rPr>
              <w:t>.</w:t>
            </w:r>
            <w:r w:rsidR="0044636B">
              <w:rPr>
                <w:rFonts w:eastAsia="Calibri"/>
                <w:bdr w:val="none" w:sz="0" w:space="0" w:color="auto"/>
                <w:lang w:val="lt-LT"/>
              </w:rPr>
              <w:t xml:space="preserve"> </w:t>
            </w:r>
            <w:r w:rsidR="0015792A">
              <w:rPr>
                <w:rFonts w:eastAsia="Calibri"/>
                <w:bdr w:val="none" w:sz="0" w:space="0" w:color="auto"/>
                <w:lang w:val="lt-LT"/>
              </w:rPr>
              <w:t>Sutinkame, kad fiskalinė politika artimiausiu metu turi išlikti skatinančioji. Nors negalima nutraukti paga</w:t>
            </w:r>
            <w:r w:rsidR="0015792A">
              <w:rPr>
                <w:rFonts w:eastAsia="Calibri"/>
                <w:bdr w:val="none" w:sz="0" w:space="0" w:color="auto"/>
                <w:lang w:val="lt-LT"/>
              </w:rPr>
              <w:t>l</w:t>
            </w:r>
            <w:r w:rsidR="0015792A">
              <w:rPr>
                <w:rFonts w:eastAsia="Calibri"/>
                <w:bdr w:val="none" w:sz="0" w:space="0" w:color="auto"/>
                <w:lang w:val="lt-LT"/>
              </w:rPr>
              <w:t xml:space="preserve">bos priemonių per anksti, </w:t>
            </w:r>
            <w:r w:rsidR="00091F65">
              <w:rPr>
                <w:rFonts w:eastAsia="Calibri"/>
                <w:bdr w:val="none" w:sz="0" w:space="0" w:color="auto"/>
                <w:lang w:val="lt-LT"/>
              </w:rPr>
              <w:t>tačiau neturime užmiršti vidutinio ir ilgojo laikotarpio finansų tvar</w:t>
            </w:r>
            <w:r w:rsidR="00091F65">
              <w:rPr>
                <w:rFonts w:eastAsia="Calibri"/>
                <w:bdr w:val="none" w:sz="0" w:space="0" w:color="auto"/>
                <w:lang w:val="lt-LT"/>
              </w:rPr>
              <w:t>u</w:t>
            </w:r>
            <w:r w:rsidR="00091F65">
              <w:rPr>
                <w:rFonts w:eastAsia="Calibri"/>
                <w:bdr w:val="none" w:sz="0" w:space="0" w:color="auto"/>
                <w:lang w:val="lt-LT"/>
              </w:rPr>
              <w:t xml:space="preserve">mo klausimų. </w:t>
            </w:r>
            <w:r w:rsidR="004A0199">
              <w:rPr>
                <w:rFonts w:eastAsia="Calibri"/>
                <w:bdr w:val="none" w:sz="0" w:space="0" w:color="auto"/>
                <w:lang w:val="lt-LT"/>
              </w:rPr>
              <w:t>Š</w:t>
            </w:r>
            <w:r w:rsidR="004A0199" w:rsidRPr="004A0199">
              <w:rPr>
                <w:rFonts w:eastAsia="Calibri"/>
                <w:bdr w:val="none" w:sz="0" w:space="0" w:color="auto"/>
                <w:lang w:val="lt-LT"/>
              </w:rPr>
              <w:t>iuo atžvilgiu svarbu, kad EK pereitų prie diversifikuotų fiskalinių rekomendacijų šalims narėms, kurios apimtų ne tik kokybinį, bet ir kiekybinį elementą (orientuojantis į vidut</w:t>
            </w:r>
            <w:r w:rsidR="004A0199" w:rsidRPr="004A0199">
              <w:rPr>
                <w:rFonts w:eastAsia="Calibri"/>
                <w:bdr w:val="none" w:sz="0" w:space="0" w:color="auto"/>
                <w:lang w:val="lt-LT"/>
              </w:rPr>
              <w:t>i</w:t>
            </w:r>
            <w:r w:rsidR="004A0199" w:rsidRPr="004A0199">
              <w:rPr>
                <w:rFonts w:eastAsia="Calibri"/>
                <w:bdr w:val="none" w:sz="0" w:space="0" w:color="auto"/>
                <w:lang w:val="lt-LT"/>
              </w:rPr>
              <w:t>nio laikotarpio išlaidas).</w:t>
            </w:r>
            <w:r w:rsidR="004A0199">
              <w:t xml:space="preserve"> </w:t>
            </w:r>
            <w:r w:rsidR="004A0199">
              <w:rPr>
                <w:rFonts w:eastAsia="Calibri"/>
                <w:bdr w:val="none" w:sz="0" w:space="0" w:color="auto"/>
                <w:lang w:val="lt-LT"/>
              </w:rPr>
              <w:t>E</w:t>
            </w:r>
            <w:r w:rsidR="004A0199" w:rsidRPr="004A0199">
              <w:rPr>
                <w:rFonts w:eastAsia="Calibri"/>
                <w:bdr w:val="none" w:sz="0" w:space="0" w:color="auto"/>
                <w:lang w:val="lt-LT"/>
              </w:rPr>
              <w:t xml:space="preserve">same atviri diskusijai dėl geriausio laiko, kada </w:t>
            </w:r>
            <w:r w:rsidR="004A0199">
              <w:rPr>
                <w:rFonts w:eastAsia="Calibri"/>
                <w:bdr w:val="none" w:sz="0" w:space="0" w:color="auto"/>
                <w:lang w:val="lt-LT"/>
              </w:rPr>
              <w:t xml:space="preserve">turėtų būti grįžtama </w:t>
            </w:r>
            <w:r w:rsidR="004A0199">
              <w:rPr>
                <w:rFonts w:eastAsia="Calibri"/>
                <w:bdr w:val="none" w:sz="0" w:space="0" w:color="auto"/>
                <w:lang w:val="lt-LT"/>
              </w:rPr>
              <w:lastRenderedPageBreak/>
              <w:t xml:space="preserve">prie </w:t>
            </w:r>
            <w:proofErr w:type="spellStart"/>
            <w:r w:rsidR="004A0199">
              <w:rPr>
                <w:rFonts w:eastAsia="Calibri"/>
                <w:bdr w:val="none" w:sz="0" w:space="0" w:color="auto"/>
                <w:lang w:val="lt-LT"/>
              </w:rPr>
              <w:t>perviršinio</w:t>
            </w:r>
            <w:proofErr w:type="spellEnd"/>
            <w:r w:rsidR="004A0199">
              <w:rPr>
                <w:rFonts w:eastAsia="Calibri"/>
                <w:bdr w:val="none" w:sz="0" w:space="0" w:color="auto"/>
                <w:lang w:val="lt-LT"/>
              </w:rPr>
              <w:t xml:space="preserve"> deficito procedūros formalaus taikymo. </w:t>
            </w:r>
          </w:p>
          <w:p w:rsidR="00091F65" w:rsidRPr="008C41CD" w:rsidRDefault="00091F65" w:rsidP="008C41CD">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lang w:val="lt-LT"/>
              </w:rPr>
            </w:pPr>
            <w:r>
              <w:rPr>
                <w:rFonts w:eastAsia="Calibri"/>
                <w:bdr w:val="none" w:sz="0" w:space="0" w:color="auto"/>
                <w:lang w:val="lt-LT"/>
              </w:rPr>
              <w:t>Taip pat laikomės pozicijos, kad SAP peržiūra ir GEC taikymas yra du visiškai atskiri procesai, neturintys vienas kito įtakoti.</w:t>
            </w:r>
          </w:p>
          <w:p w:rsidR="00E24F35" w:rsidRDefault="00E24F35" w:rsidP="00E1240D">
            <w:pPr>
              <w:pStyle w:val="BodyA"/>
              <w:jc w:val="both"/>
              <w:rPr>
                <w:lang w:val="lt-LT"/>
              </w:rPr>
            </w:pPr>
          </w:p>
          <w:p w:rsidR="00E24F35" w:rsidRDefault="00E24F35" w:rsidP="00E1240D">
            <w:pPr>
              <w:pStyle w:val="BodyA"/>
              <w:jc w:val="both"/>
              <w:rPr>
                <w:rFonts w:hAnsi="Times New Roman" w:cs="Times New Roman"/>
                <w:lang w:val="lt-LT"/>
              </w:rPr>
            </w:pPr>
            <w:r w:rsidRPr="00E24F35">
              <w:rPr>
                <w:rFonts w:hAnsi="Times New Roman" w:cs="Times New Roman"/>
                <w:b/>
                <w:lang w:val="lt-LT"/>
              </w:rPr>
              <w:t xml:space="preserve">c) Ekonomikos gaivinimo ir atsparumo didinimo priemonės </w:t>
            </w:r>
            <w:r w:rsidR="00AA492E">
              <w:rPr>
                <w:rFonts w:hAnsi="Times New Roman" w:cs="Times New Roman"/>
                <w:b/>
                <w:lang w:val="lt-LT"/>
              </w:rPr>
              <w:t xml:space="preserve">(RRF) </w:t>
            </w:r>
            <w:r w:rsidRPr="00E24F35">
              <w:rPr>
                <w:rFonts w:hAnsi="Times New Roman" w:cs="Times New Roman"/>
                <w:b/>
                <w:lang w:val="lt-LT"/>
              </w:rPr>
              <w:t>įgyvendinimas</w:t>
            </w:r>
          </w:p>
          <w:p w:rsidR="00E24F35" w:rsidRPr="00E24F35" w:rsidRDefault="00E24F35" w:rsidP="00E1240D">
            <w:pPr>
              <w:pStyle w:val="BodyA"/>
              <w:jc w:val="both"/>
              <w:rPr>
                <w:rFonts w:hAnsi="Times New Roman" w:cs="Times New Roman"/>
                <w:i/>
                <w:lang w:val="lt-LT"/>
              </w:rPr>
            </w:pPr>
            <w:r w:rsidRPr="00E24F35">
              <w:rPr>
                <w:rFonts w:hAnsi="Times New Roman" w:cs="Times New Roman"/>
                <w:i/>
                <w:lang w:val="lt-LT"/>
              </w:rPr>
              <w:t>(Esama situacija ir apsikeitimas nuomonėmis</w:t>
            </w:r>
            <w:r w:rsidRPr="00E24F35">
              <w:rPr>
                <w:rFonts w:hAnsi="Times New Roman" w:cs="Times New Roman"/>
                <w:lang w:val="lt-LT"/>
              </w:rPr>
              <w:t>)</w:t>
            </w:r>
          </w:p>
          <w:p w:rsidR="00E24F35" w:rsidRPr="00AA492E" w:rsidRDefault="00E24F35" w:rsidP="00E24F35">
            <w:pPr>
              <w:pStyle w:val="BodyA"/>
              <w:jc w:val="both"/>
              <w:rPr>
                <w:rFonts w:hAnsi="Times New Roman" w:cs="Times New Roman"/>
                <w:lang w:val="lt-LT"/>
              </w:rPr>
            </w:pPr>
            <w:r w:rsidRPr="00E24F35">
              <w:rPr>
                <w:rFonts w:hAnsi="Times New Roman" w:cs="Times New Roman"/>
                <w:b/>
                <w:u w:val="single"/>
                <w:lang w:val="lt-LT"/>
              </w:rPr>
              <w:t>Klausimo esmė:</w:t>
            </w:r>
            <w:r w:rsidR="005D3625">
              <w:rPr>
                <w:rFonts w:hAnsi="Times New Roman" w:cs="Times New Roman"/>
                <w:b/>
                <w:u w:val="single"/>
                <w:lang w:val="lt-LT"/>
              </w:rPr>
              <w:t xml:space="preserve"> </w:t>
            </w:r>
            <w:r w:rsidR="005D3625">
              <w:rPr>
                <w:rFonts w:hAnsi="Times New Roman" w:cs="Times New Roman"/>
                <w:lang w:val="lt-LT"/>
              </w:rPr>
              <w:t>P</w:t>
            </w:r>
            <w:r w:rsidR="005D3625" w:rsidRPr="005D3625">
              <w:rPr>
                <w:rFonts w:hAnsi="Times New Roman" w:cs="Times New Roman"/>
                <w:lang w:val="lt-LT"/>
              </w:rPr>
              <w:t xml:space="preserve">osėdžio metu informacija apie </w:t>
            </w:r>
            <w:r w:rsidR="00117121">
              <w:rPr>
                <w:rFonts w:hAnsi="Times New Roman" w:cs="Times New Roman"/>
                <w:lang w:val="lt-LT"/>
              </w:rPr>
              <w:t>nacionalinių</w:t>
            </w:r>
            <w:r w:rsidR="00117121" w:rsidRPr="005D3625">
              <w:rPr>
                <w:rFonts w:hAnsi="Times New Roman" w:cs="Times New Roman"/>
                <w:lang w:val="lt-LT"/>
              </w:rPr>
              <w:t xml:space="preserve"> </w:t>
            </w:r>
            <w:r w:rsidR="005D3625" w:rsidRPr="005D3625">
              <w:rPr>
                <w:rFonts w:hAnsi="Times New Roman" w:cs="Times New Roman"/>
                <w:lang w:val="lt-LT"/>
              </w:rPr>
              <w:t>planų rengimą pasidalins Liet</w:t>
            </w:r>
            <w:r w:rsidR="005D3625" w:rsidRPr="005D3625">
              <w:rPr>
                <w:rFonts w:hAnsi="Times New Roman" w:cs="Times New Roman"/>
                <w:lang w:val="lt-LT"/>
              </w:rPr>
              <w:t>u</w:t>
            </w:r>
            <w:r w:rsidR="005D3625" w:rsidRPr="005D3625">
              <w:rPr>
                <w:rFonts w:hAnsi="Times New Roman" w:cs="Times New Roman"/>
                <w:lang w:val="lt-LT"/>
              </w:rPr>
              <w:t>v</w:t>
            </w:r>
            <w:r w:rsidR="005D3625">
              <w:rPr>
                <w:rFonts w:hAnsi="Times New Roman" w:cs="Times New Roman"/>
                <w:lang w:val="lt-LT"/>
              </w:rPr>
              <w:t>os</w:t>
            </w:r>
            <w:r w:rsidR="005D3625" w:rsidRPr="005D3625">
              <w:rPr>
                <w:rFonts w:hAnsi="Times New Roman" w:cs="Times New Roman"/>
                <w:lang w:val="lt-LT"/>
              </w:rPr>
              <w:t>, Graiki</w:t>
            </w:r>
            <w:r w:rsidR="005D3625">
              <w:rPr>
                <w:rFonts w:hAnsi="Times New Roman" w:cs="Times New Roman"/>
                <w:lang w:val="lt-LT"/>
              </w:rPr>
              <w:t>jos</w:t>
            </w:r>
            <w:r w:rsidR="005D3625" w:rsidRPr="005D3625">
              <w:rPr>
                <w:rFonts w:hAnsi="Times New Roman" w:cs="Times New Roman"/>
                <w:lang w:val="lt-LT"/>
              </w:rPr>
              <w:t xml:space="preserve"> ir Bel</w:t>
            </w:r>
            <w:r w:rsidR="005D3625">
              <w:rPr>
                <w:rFonts w:hAnsi="Times New Roman" w:cs="Times New Roman"/>
                <w:lang w:val="lt-LT"/>
              </w:rPr>
              <w:t>gijos finansų ministrai</w:t>
            </w:r>
            <w:r w:rsidR="005D3625" w:rsidRPr="005D3625">
              <w:rPr>
                <w:rFonts w:hAnsi="Times New Roman" w:cs="Times New Roman"/>
                <w:lang w:val="lt-LT"/>
              </w:rPr>
              <w:t>.</w:t>
            </w:r>
            <w:r>
              <w:rPr>
                <w:rFonts w:hAnsi="Times New Roman" w:cs="Times New Roman"/>
                <w:lang w:val="lt-LT"/>
              </w:rPr>
              <w:t xml:space="preserve"> </w:t>
            </w:r>
            <w:r w:rsidRPr="00E24F35">
              <w:rPr>
                <w:rFonts w:hAnsi="Times New Roman" w:cs="Times New Roman"/>
                <w:lang w:val="lt-LT"/>
              </w:rPr>
              <w:t xml:space="preserve">Lietuva šiuo metu intensyviai rengia nacionalinį RRF planą. Plano rengimo </w:t>
            </w:r>
            <w:r w:rsidRPr="00AA492E">
              <w:rPr>
                <w:rFonts w:hAnsi="Times New Roman" w:cs="Times New Roman"/>
                <w:lang w:val="lt-LT"/>
              </w:rPr>
              <w:t>koordinatorius – Finansų ministerija, tačiau į procesą yra įsitrauki</w:t>
            </w:r>
            <w:r w:rsidRPr="00AA492E">
              <w:rPr>
                <w:rFonts w:hAnsi="Times New Roman" w:cs="Times New Roman"/>
                <w:lang w:val="lt-LT"/>
              </w:rPr>
              <w:t>u</w:t>
            </w:r>
            <w:r w:rsidRPr="00AA492E">
              <w:rPr>
                <w:rFonts w:hAnsi="Times New Roman" w:cs="Times New Roman"/>
                <w:lang w:val="lt-LT"/>
              </w:rPr>
              <w:t>sios iš esmės beveik visos ministerijos ir įvairios viešojo sektoriaus institucijos; Lietuvai skirta RRF dotacijų suma – 2,225 mlrd. Eur</w:t>
            </w:r>
            <w:r w:rsidR="00091F65">
              <w:rPr>
                <w:rFonts w:hAnsi="Times New Roman" w:cs="Times New Roman"/>
                <w:lang w:val="lt-LT"/>
              </w:rPr>
              <w:t>.</w:t>
            </w:r>
            <w:r w:rsidRPr="00AA492E">
              <w:rPr>
                <w:rFonts w:hAnsi="Times New Roman" w:cs="Times New Roman"/>
                <w:lang w:val="lt-LT"/>
              </w:rPr>
              <w:t xml:space="preserve"> Lėšos turi būti panaudotos iki 2026 m. rugpjūčio pab. Lėšų išmokėjimas susiejamas su rezultatais t.y. Europos Komisija (EK) kompensuoja patirtas išlaidas, pasiekus užsibrėžtus rodiklius</w:t>
            </w:r>
            <w:r w:rsidR="00117121">
              <w:rPr>
                <w:rFonts w:hAnsi="Times New Roman" w:cs="Times New Roman"/>
                <w:lang w:val="lt-LT"/>
              </w:rPr>
              <w:t xml:space="preserve"> (vyks reguliarios tikslų ir rodiklių pasiekimo peržiūros)</w:t>
            </w:r>
            <w:r w:rsidRPr="00AA492E">
              <w:rPr>
                <w:rFonts w:hAnsi="Times New Roman" w:cs="Times New Roman"/>
                <w:lang w:val="lt-LT"/>
              </w:rPr>
              <w:t>. RRF lėšų Valdymo ir kontrolės sistema dar yra rengiama.</w:t>
            </w:r>
          </w:p>
          <w:p w:rsidR="00DD2F9F" w:rsidRDefault="00AA492E" w:rsidP="0044636B">
            <w:pPr>
              <w:pStyle w:val="BodyA"/>
              <w:tabs>
                <w:tab w:val="left" w:pos="176"/>
              </w:tabs>
              <w:jc w:val="both"/>
              <w:rPr>
                <w:rFonts w:hAnsi="Times New Roman" w:cs="Times New Roman"/>
                <w:lang w:val="lt-LT"/>
              </w:rPr>
            </w:pPr>
            <w:r w:rsidRPr="00AA492E">
              <w:rPr>
                <w:rFonts w:hAnsi="Times New Roman" w:cs="Times New Roman"/>
                <w:lang w:val="lt-LT"/>
              </w:rPr>
              <w:t>-</w:t>
            </w:r>
            <w:r w:rsidRPr="00AA492E">
              <w:rPr>
                <w:rFonts w:hAnsi="Times New Roman" w:cs="Times New Roman"/>
                <w:lang w:val="lt-LT"/>
              </w:rPr>
              <w:tab/>
            </w:r>
            <w:r w:rsidR="00DD2F9F">
              <w:rPr>
                <w:rFonts w:hAnsi="Times New Roman" w:cs="Times New Roman"/>
                <w:lang w:val="lt-LT"/>
              </w:rPr>
              <w:t>2021 m. sausio</w:t>
            </w:r>
            <w:r w:rsidR="00DD2F9F" w:rsidRPr="00DD2F9F">
              <w:rPr>
                <w:rFonts w:hAnsi="Times New Roman" w:cs="Times New Roman"/>
                <w:lang w:val="lt-LT"/>
              </w:rPr>
              <w:t xml:space="preserve"> mėn. Vyriausybė patvirtino</w:t>
            </w:r>
            <w:r w:rsidR="00DD2F9F">
              <w:rPr>
                <w:rFonts w:hAnsi="Times New Roman" w:cs="Times New Roman"/>
                <w:lang w:val="lt-LT"/>
              </w:rPr>
              <w:t xml:space="preserve"> 7 komponentus, kuriais remiasi nacionalinis RRF planas.</w:t>
            </w:r>
          </w:p>
          <w:p w:rsidR="00AA492E" w:rsidRDefault="00DD2F9F" w:rsidP="00AA492E">
            <w:pPr>
              <w:pStyle w:val="BodyA"/>
              <w:tabs>
                <w:tab w:val="left" w:pos="318"/>
              </w:tabs>
              <w:jc w:val="both"/>
              <w:rPr>
                <w:rFonts w:hAnsi="Times New Roman" w:cs="Times New Roman"/>
                <w:lang w:val="lt-LT"/>
              </w:rPr>
            </w:pPr>
            <w:r>
              <w:rPr>
                <w:rFonts w:hAnsi="Times New Roman" w:cs="Times New Roman"/>
                <w:lang w:val="lt-LT"/>
              </w:rPr>
              <w:t xml:space="preserve">- </w:t>
            </w:r>
            <w:r w:rsidR="00AA492E" w:rsidRPr="00AA492E">
              <w:rPr>
                <w:rFonts w:hAnsi="Times New Roman" w:cs="Times New Roman"/>
                <w:lang w:val="lt-LT"/>
              </w:rPr>
              <w:t xml:space="preserve">2021 m. </w:t>
            </w:r>
            <w:r w:rsidR="00091F65">
              <w:rPr>
                <w:rFonts w:hAnsi="Times New Roman" w:cs="Times New Roman"/>
                <w:lang w:val="lt-LT"/>
              </w:rPr>
              <w:t xml:space="preserve">vasario mėn. </w:t>
            </w:r>
            <w:r w:rsidR="00AA492E" w:rsidRPr="00AA492E">
              <w:rPr>
                <w:rFonts w:hAnsi="Times New Roman" w:cs="Times New Roman"/>
                <w:lang w:val="lt-LT"/>
              </w:rPr>
              <w:t>pab. Vyriausybė socialiniams-ekonominiams partneriais pristatė planu</w:t>
            </w:r>
            <w:r w:rsidR="00AA492E" w:rsidRPr="00AA492E">
              <w:rPr>
                <w:rFonts w:hAnsi="Times New Roman" w:cs="Times New Roman"/>
                <w:lang w:val="lt-LT"/>
              </w:rPr>
              <w:t>o</w:t>
            </w:r>
            <w:r w:rsidR="00AA492E" w:rsidRPr="00AA492E">
              <w:rPr>
                <w:rFonts w:hAnsi="Times New Roman" w:cs="Times New Roman"/>
                <w:lang w:val="lt-LT"/>
              </w:rPr>
              <w:t>jamas struktūrines reformas, kuri</w:t>
            </w:r>
            <w:r w:rsidR="00091F65">
              <w:rPr>
                <w:rFonts w:hAnsi="Times New Roman" w:cs="Times New Roman"/>
                <w:lang w:val="lt-LT"/>
              </w:rPr>
              <w:t>os</w:t>
            </w:r>
            <w:r w:rsidR="0058519B">
              <w:rPr>
                <w:rFonts w:hAnsi="Times New Roman" w:cs="Times New Roman"/>
                <w:lang w:val="lt-LT"/>
              </w:rPr>
              <w:t xml:space="preserve"> </w:t>
            </w:r>
            <w:r w:rsidR="00AA492E" w:rsidRPr="00AA492E">
              <w:rPr>
                <w:rFonts w:hAnsi="Times New Roman" w:cs="Times New Roman"/>
                <w:lang w:val="lt-LT"/>
              </w:rPr>
              <w:t>bus atspindėt</w:t>
            </w:r>
            <w:r w:rsidR="00091F65">
              <w:rPr>
                <w:rFonts w:hAnsi="Times New Roman" w:cs="Times New Roman"/>
                <w:lang w:val="lt-LT"/>
              </w:rPr>
              <w:t>os</w:t>
            </w:r>
            <w:r w:rsidR="00AA492E" w:rsidRPr="00AA492E">
              <w:rPr>
                <w:rFonts w:hAnsi="Times New Roman" w:cs="Times New Roman"/>
                <w:lang w:val="lt-LT"/>
              </w:rPr>
              <w:t xml:space="preserve"> RRF plane.</w:t>
            </w:r>
          </w:p>
          <w:p w:rsidR="00AA492E" w:rsidRPr="00AA492E" w:rsidRDefault="00AA492E" w:rsidP="00AA492E">
            <w:pPr>
              <w:pStyle w:val="BodyA"/>
              <w:tabs>
                <w:tab w:val="left" w:pos="318"/>
              </w:tabs>
              <w:jc w:val="both"/>
              <w:rPr>
                <w:rFonts w:hAnsi="Times New Roman" w:cs="Times New Roman"/>
                <w:lang w:val="lt-LT"/>
              </w:rPr>
            </w:pPr>
            <w:r w:rsidRPr="00AA492E">
              <w:rPr>
                <w:rFonts w:hAnsi="Times New Roman" w:cs="Times New Roman"/>
                <w:lang w:val="lt-LT"/>
              </w:rPr>
              <w:t>-</w:t>
            </w:r>
            <w:r w:rsidRPr="00AA492E">
              <w:rPr>
                <w:rFonts w:hAnsi="Times New Roman" w:cs="Times New Roman"/>
                <w:lang w:val="lt-LT"/>
              </w:rPr>
              <w:tab/>
              <w:t>2021 m. kovo mėn. numatyta per dešimtį susitikimu su EK, kuriuose pagal konkretų komp</w:t>
            </w:r>
            <w:r w:rsidRPr="00AA492E">
              <w:rPr>
                <w:rFonts w:hAnsi="Times New Roman" w:cs="Times New Roman"/>
                <w:lang w:val="lt-LT"/>
              </w:rPr>
              <w:t>o</w:t>
            </w:r>
            <w:r w:rsidRPr="00AA492E">
              <w:rPr>
                <w:rFonts w:hAnsi="Times New Roman" w:cs="Times New Roman"/>
                <w:lang w:val="lt-LT"/>
              </w:rPr>
              <w:t>nentą bus pristatomi atnaujinti komponentų aprašymai, planuojamos reformos ir investicijos.</w:t>
            </w:r>
          </w:p>
          <w:p w:rsidR="00AA492E" w:rsidRPr="00AA492E" w:rsidRDefault="00AA492E" w:rsidP="00AA492E">
            <w:pPr>
              <w:pStyle w:val="BodyA"/>
              <w:tabs>
                <w:tab w:val="left" w:pos="318"/>
              </w:tabs>
              <w:jc w:val="both"/>
              <w:rPr>
                <w:rFonts w:hAnsi="Times New Roman" w:cs="Times New Roman"/>
                <w:lang w:val="lt-LT"/>
              </w:rPr>
            </w:pPr>
            <w:r w:rsidRPr="00AA492E">
              <w:rPr>
                <w:rFonts w:hAnsi="Times New Roman" w:cs="Times New Roman"/>
                <w:lang w:val="lt-LT"/>
              </w:rPr>
              <w:t>-</w:t>
            </w:r>
            <w:r w:rsidRPr="00AA492E">
              <w:rPr>
                <w:rFonts w:hAnsi="Times New Roman" w:cs="Times New Roman"/>
                <w:lang w:val="lt-LT"/>
              </w:rPr>
              <w:tab/>
              <w:t>Konsoliduotą pirminę RRF plano versiją planuojama EK teikti 2021 m. kovo viduryje.</w:t>
            </w:r>
          </w:p>
          <w:p w:rsidR="00AA492E" w:rsidRPr="00AA492E" w:rsidRDefault="00AA492E" w:rsidP="00AA492E">
            <w:pPr>
              <w:pStyle w:val="BodyA"/>
              <w:tabs>
                <w:tab w:val="left" w:pos="318"/>
              </w:tabs>
              <w:jc w:val="both"/>
              <w:rPr>
                <w:rFonts w:hAnsi="Times New Roman" w:cs="Times New Roman"/>
                <w:lang w:val="lt-LT"/>
              </w:rPr>
            </w:pPr>
            <w:r w:rsidRPr="00AA492E">
              <w:rPr>
                <w:rFonts w:hAnsi="Times New Roman" w:cs="Times New Roman"/>
                <w:lang w:val="lt-LT"/>
              </w:rPr>
              <w:t>-</w:t>
            </w:r>
            <w:r w:rsidRPr="00AA492E">
              <w:rPr>
                <w:rFonts w:hAnsi="Times New Roman" w:cs="Times New Roman"/>
                <w:lang w:val="lt-LT"/>
              </w:rPr>
              <w:tab/>
              <w:t>2021 m. antroje kovo mėn. pusėje RRF planas bus pateikta</w:t>
            </w:r>
            <w:r w:rsidR="00B0541A">
              <w:rPr>
                <w:rFonts w:hAnsi="Times New Roman" w:cs="Times New Roman"/>
                <w:lang w:val="lt-LT"/>
              </w:rPr>
              <w:t>s</w:t>
            </w:r>
            <w:r w:rsidRPr="00AA492E">
              <w:rPr>
                <w:rFonts w:hAnsi="Times New Roman" w:cs="Times New Roman"/>
                <w:lang w:val="lt-LT"/>
              </w:rPr>
              <w:t xml:space="preserve"> </w:t>
            </w:r>
            <w:r w:rsidR="00B0541A">
              <w:rPr>
                <w:rFonts w:hAnsi="Times New Roman" w:cs="Times New Roman"/>
                <w:lang w:val="lt-LT"/>
              </w:rPr>
              <w:t xml:space="preserve">pastaboms </w:t>
            </w:r>
            <w:r w:rsidR="00B0541A" w:rsidRPr="00AA492E">
              <w:rPr>
                <w:rFonts w:hAnsi="Times New Roman" w:cs="Times New Roman"/>
                <w:lang w:val="lt-LT"/>
              </w:rPr>
              <w:t>socialiniams-ekonominiams partneriais</w:t>
            </w:r>
            <w:r w:rsidRPr="00AA492E">
              <w:rPr>
                <w:rFonts w:hAnsi="Times New Roman" w:cs="Times New Roman"/>
                <w:lang w:val="lt-LT"/>
              </w:rPr>
              <w:t>.</w:t>
            </w:r>
          </w:p>
          <w:p w:rsidR="00AA492E" w:rsidRPr="00AA492E" w:rsidRDefault="00AA492E" w:rsidP="00AA492E">
            <w:pPr>
              <w:pStyle w:val="BodyA"/>
              <w:tabs>
                <w:tab w:val="left" w:pos="318"/>
              </w:tabs>
              <w:jc w:val="both"/>
              <w:rPr>
                <w:rFonts w:hAnsi="Times New Roman" w:cs="Times New Roman"/>
                <w:lang w:val="lt-LT"/>
              </w:rPr>
            </w:pPr>
            <w:r w:rsidRPr="00AA492E">
              <w:rPr>
                <w:rFonts w:hAnsi="Times New Roman" w:cs="Times New Roman"/>
                <w:lang w:val="lt-LT"/>
              </w:rPr>
              <w:t>-</w:t>
            </w:r>
            <w:r w:rsidRPr="00AA492E">
              <w:rPr>
                <w:rFonts w:hAnsi="Times New Roman" w:cs="Times New Roman"/>
                <w:lang w:val="lt-LT"/>
              </w:rPr>
              <w:tab/>
              <w:t>Iki 2021 m. balandžio 30 d. pilnas RRF planas bus oficialiai pateiktas EK.</w:t>
            </w:r>
          </w:p>
          <w:p w:rsidR="00E24F35" w:rsidRPr="00AA492E" w:rsidRDefault="00E24F35" w:rsidP="00E24F35">
            <w:pPr>
              <w:pStyle w:val="BodyA"/>
              <w:jc w:val="both"/>
              <w:rPr>
                <w:rFonts w:hAnsi="Times New Roman" w:cs="Times New Roman"/>
                <w:lang w:val="lt-LT"/>
              </w:rPr>
            </w:pPr>
          </w:p>
          <w:p w:rsidR="00E24F35" w:rsidRPr="00AA492E" w:rsidRDefault="00E24F35" w:rsidP="00E24F35">
            <w:pPr>
              <w:pStyle w:val="BodyA"/>
              <w:jc w:val="both"/>
              <w:rPr>
                <w:rFonts w:hAnsi="Times New Roman" w:cs="Times New Roman"/>
                <w:lang w:val="lt-LT"/>
              </w:rPr>
            </w:pPr>
            <w:r w:rsidRPr="00AA492E">
              <w:rPr>
                <w:rFonts w:hAnsi="Times New Roman" w:cs="Times New Roman"/>
                <w:b/>
                <w:u w:val="single"/>
                <w:lang w:val="lt-LT"/>
              </w:rPr>
              <w:t>Lietuvos pozicija:</w:t>
            </w:r>
            <w:r w:rsidRPr="00AA492E">
              <w:rPr>
                <w:lang w:val="lt-LT"/>
              </w:rPr>
              <w:t xml:space="preserve"> </w:t>
            </w:r>
            <w:r w:rsidR="00AA492E" w:rsidRPr="00AA492E">
              <w:rPr>
                <w:lang w:val="lt-LT"/>
              </w:rPr>
              <w:t xml:space="preserve">RRF </w:t>
            </w:r>
            <w:r w:rsidR="00AA492E" w:rsidRPr="00AA492E">
              <w:rPr>
                <w:rFonts w:hAnsi="Times New Roman" w:cs="Times New Roman"/>
                <w:lang w:val="lt-LT"/>
              </w:rPr>
              <w:t>p</w:t>
            </w:r>
            <w:r w:rsidRPr="00AA492E">
              <w:rPr>
                <w:rFonts w:hAnsi="Times New Roman" w:cs="Times New Roman"/>
                <w:lang w:val="lt-LT"/>
              </w:rPr>
              <w:t>lan</w:t>
            </w:r>
            <w:r w:rsidR="00B0541A">
              <w:rPr>
                <w:rFonts w:hAnsi="Times New Roman" w:cs="Times New Roman"/>
                <w:lang w:val="lt-LT"/>
              </w:rPr>
              <w:t>e</w:t>
            </w:r>
            <w:r w:rsidRPr="00AA492E">
              <w:rPr>
                <w:rFonts w:hAnsi="Times New Roman" w:cs="Times New Roman"/>
                <w:lang w:val="lt-LT"/>
              </w:rPr>
              <w:t xml:space="preserve"> bus koncentruojamasi į 7 komponentus, kurie atitinka ES Semes</w:t>
            </w:r>
            <w:r w:rsidRPr="00AA492E">
              <w:rPr>
                <w:rFonts w:hAnsi="Times New Roman" w:cs="Times New Roman"/>
                <w:lang w:val="lt-LT"/>
              </w:rPr>
              <w:t>t</w:t>
            </w:r>
            <w:r w:rsidRPr="00AA492E">
              <w:rPr>
                <w:rFonts w:hAnsi="Times New Roman" w:cs="Times New Roman"/>
                <w:lang w:val="lt-LT"/>
              </w:rPr>
              <w:t>r</w:t>
            </w:r>
            <w:r w:rsidR="00B0541A">
              <w:rPr>
                <w:rFonts w:hAnsi="Times New Roman" w:cs="Times New Roman"/>
                <w:lang w:val="lt-LT"/>
              </w:rPr>
              <w:t>o kontekste</w:t>
            </w:r>
            <w:r w:rsidRPr="00AA492E">
              <w:rPr>
                <w:rFonts w:hAnsi="Times New Roman" w:cs="Times New Roman"/>
                <w:lang w:val="lt-LT"/>
              </w:rPr>
              <w:t xml:space="preserve"> keliamas rekomendacijas Lietuvai (CSR</w:t>
            </w:r>
            <w:r w:rsidR="009329D1">
              <w:rPr>
                <w:rFonts w:hAnsi="Times New Roman" w:cs="Times New Roman"/>
                <w:lang w:val="lt-LT"/>
              </w:rPr>
              <w:t>s</w:t>
            </w:r>
            <w:r w:rsidRPr="00AA492E">
              <w:rPr>
                <w:rFonts w:hAnsi="Times New Roman" w:cs="Times New Roman"/>
                <w:lang w:val="lt-LT"/>
              </w:rPr>
              <w:t>): 1. Žalioji pertvarka (37 % RRF lėšų</w:t>
            </w:r>
            <w:r w:rsidR="0058519B">
              <w:rPr>
                <w:rFonts w:hAnsi="Times New Roman" w:cs="Times New Roman"/>
                <w:lang w:val="lt-LT"/>
              </w:rPr>
              <w:t>)</w:t>
            </w:r>
            <w:r w:rsidRPr="00AA492E">
              <w:rPr>
                <w:rFonts w:hAnsi="Times New Roman" w:cs="Times New Roman"/>
                <w:lang w:val="lt-LT"/>
              </w:rPr>
              <w:t>; 2. Skaitmeninė transformacija (20 %) 3. Sveikata (12 %); 4. Socialiniai reikalai (5 %); 5. Mokslas ir inovacijos (9 %) 6. Švietimas (14 %) 7. Viešasis administravimas ir verslo aplinka (3  %).</w:t>
            </w:r>
          </w:p>
          <w:p w:rsidR="00E24F35" w:rsidRPr="00AA492E" w:rsidRDefault="00E24F35" w:rsidP="00E24F35">
            <w:pPr>
              <w:pStyle w:val="BodyA"/>
              <w:jc w:val="both"/>
              <w:rPr>
                <w:rFonts w:hAnsi="Times New Roman" w:cs="Times New Roman"/>
                <w:lang w:val="lt-LT"/>
              </w:rPr>
            </w:pPr>
            <w:r w:rsidRPr="00AA492E">
              <w:rPr>
                <w:rFonts w:hAnsi="Times New Roman" w:cs="Times New Roman"/>
                <w:lang w:val="lt-LT"/>
              </w:rPr>
              <w:t>Visame RRF plano rengimo procese didelis dėmesys skiriamas konsultacijoms su socialiniais ir ekonominiais partneriais</w:t>
            </w:r>
            <w:r w:rsidR="009329D1">
              <w:rPr>
                <w:rFonts w:hAnsi="Times New Roman" w:cs="Times New Roman"/>
                <w:lang w:val="lt-LT"/>
              </w:rPr>
              <w:t xml:space="preserve"> bei formalių EK kriterijų atitikimui (pvz., tikslų ir rodiklių formulav</w:t>
            </w:r>
            <w:r w:rsidR="009329D1">
              <w:rPr>
                <w:rFonts w:hAnsi="Times New Roman" w:cs="Times New Roman"/>
                <w:lang w:val="lt-LT"/>
              </w:rPr>
              <w:t>i</w:t>
            </w:r>
            <w:r w:rsidR="009329D1">
              <w:rPr>
                <w:rFonts w:hAnsi="Times New Roman" w:cs="Times New Roman"/>
                <w:lang w:val="lt-LT"/>
              </w:rPr>
              <w:t>mas, reformų kaštų vertinimas, valdymo ir kontrolės aspektai ir kt.)</w:t>
            </w:r>
            <w:r w:rsidRPr="00AA492E">
              <w:rPr>
                <w:rFonts w:hAnsi="Times New Roman" w:cs="Times New Roman"/>
                <w:lang w:val="lt-LT"/>
              </w:rPr>
              <w:t>.</w:t>
            </w:r>
          </w:p>
          <w:p w:rsidR="00E24F35" w:rsidRPr="00AA492E" w:rsidRDefault="00E24F35" w:rsidP="004226F1">
            <w:pPr>
              <w:pStyle w:val="BodyA"/>
              <w:jc w:val="both"/>
              <w:rPr>
                <w:rFonts w:hAnsi="Times New Roman" w:cs="Times New Roman"/>
                <w:b/>
                <w:lang w:val="lt-LT"/>
              </w:rPr>
            </w:pPr>
          </w:p>
          <w:p w:rsidR="004226F1" w:rsidRPr="00AA492E" w:rsidRDefault="00E1240D" w:rsidP="004226F1">
            <w:pPr>
              <w:pStyle w:val="BodyA"/>
              <w:jc w:val="both"/>
              <w:rPr>
                <w:rFonts w:hAnsi="Times New Roman" w:cs="Times New Roman"/>
                <w:b/>
                <w:lang w:val="lt-LT"/>
              </w:rPr>
            </w:pPr>
            <w:r w:rsidRPr="00AA492E">
              <w:rPr>
                <w:rFonts w:hAnsi="Times New Roman" w:cs="Times New Roman"/>
                <w:b/>
                <w:lang w:val="lt-LT"/>
              </w:rPr>
              <w:t xml:space="preserve">4. </w:t>
            </w:r>
            <w:r w:rsidR="00085F32" w:rsidRPr="00AA492E">
              <w:rPr>
                <w:rFonts w:hAnsi="Times New Roman" w:cs="Times New Roman"/>
                <w:b/>
                <w:lang w:val="lt-LT"/>
              </w:rPr>
              <w:t>Tarptautiniai klausimai</w:t>
            </w:r>
          </w:p>
          <w:p w:rsidR="00E1240D" w:rsidRDefault="00085F32" w:rsidP="00E1240D">
            <w:pPr>
              <w:pStyle w:val="BodyA"/>
              <w:jc w:val="both"/>
              <w:rPr>
                <w:rFonts w:hAnsi="Times New Roman" w:cs="Times New Roman"/>
                <w:b/>
                <w:lang w:val="lt-LT"/>
              </w:rPr>
            </w:pPr>
            <w:r w:rsidRPr="00AA492E">
              <w:rPr>
                <w:rFonts w:hAnsi="Times New Roman" w:cs="Times New Roman"/>
                <w:b/>
                <w:lang w:val="lt-LT"/>
              </w:rPr>
              <w:t xml:space="preserve">a) </w:t>
            </w:r>
            <w:r w:rsidR="00E24F35" w:rsidRPr="00AA492E">
              <w:rPr>
                <w:rFonts w:hAnsi="Times New Roman" w:cs="Times New Roman"/>
                <w:b/>
                <w:lang w:val="lt-LT"/>
              </w:rPr>
              <w:t xml:space="preserve">Vasario 26 d. G-20 finansų ministrų ir centrinių bankų valdytojų susitikimo aptarimas </w:t>
            </w:r>
            <w:r w:rsidR="00E24F35" w:rsidRPr="00AA492E">
              <w:rPr>
                <w:rFonts w:hAnsi="Times New Roman" w:cs="Times New Roman"/>
                <w:lang w:val="lt-LT"/>
              </w:rPr>
              <w:t>(</w:t>
            </w:r>
            <w:r w:rsidR="00E24F35" w:rsidRPr="00AA492E">
              <w:rPr>
                <w:rFonts w:hAnsi="Times New Roman" w:cs="Times New Roman"/>
                <w:i/>
                <w:lang w:val="lt-LT"/>
              </w:rPr>
              <w:t>Pirmininkaujančios šalies ir Komisijos informacija)</w:t>
            </w:r>
          </w:p>
          <w:p w:rsidR="00AA492E" w:rsidRPr="00AA492E" w:rsidRDefault="00AA492E" w:rsidP="00E1240D">
            <w:pPr>
              <w:pStyle w:val="BodyA"/>
              <w:jc w:val="both"/>
              <w:rPr>
                <w:rFonts w:hAnsi="Times New Roman" w:cs="Times New Roman"/>
                <w:b/>
                <w:lang w:val="lt-LT"/>
              </w:rPr>
            </w:pPr>
          </w:p>
          <w:p w:rsidR="00AA492E" w:rsidRPr="00AA492E" w:rsidRDefault="00E1240D" w:rsidP="00AA492E">
            <w:pPr>
              <w:tabs>
                <w:tab w:val="left" w:pos="851"/>
              </w:tabs>
              <w:jc w:val="both"/>
              <w:rPr>
                <w:iCs/>
                <w:lang w:val="lt-LT"/>
              </w:rPr>
            </w:pPr>
            <w:r w:rsidRPr="00AA492E">
              <w:rPr>
                <w:b/>
                <w:u w:val="single"/>
                <w:lang w:val="lt-LT"/>
              </w:rPr>
              <w:t>Klausimo esmė.</w:t>
            </w:r>
            <w:r w:rsidRPr="00AA492E">
              <w:rPr>
                <w:b/>
                <w:lang w:val="lt-LT"/>
              </w:rPr>
              <w:t xml:space="preserve"> </w:t>
            </w:r>
            <w:r w:rsidR="00AA492E" w:rsidRPr="00AA492E">
              <w:rPr>
                <w:iCs/>
                <w:lang w:val="lt-LT"/>
              </w:rPr>
              <w:t>Pirmininkaujanti šalis ir Komisija informuos apie 2021 m. vasario 26 d. G20 finansų ministrų ir centrinių bankų valdytojų susitikimo rezultatus. Pagrindiniai šiame susitik</w:t>
            </w:r>
            <w:r w:rsidR="00AA492E" w:rsidRPr="00AA492E">
              <w:rPr>
                <w:iCs/>
                <w:lang w:val="lt-LT"/>
              </w:rPr>
              <w:t>i</w:t>
            </w:r>
            <w:r w:rsidR="00AA492E" w:rsidRPr="00AA492E">
              <w:rPr>
                <w:iCs/>
                <w:lang w:val="lt-LT"/>
              </w:rPr>
              <w:t xml:space="preserve">me aptarti klausimai: </w:t>
            </w:r>
          </w:p>
          <w:p w:rsidR="00AA492E" w:rsidRPr="00AA492E" w:rsidRDefault="00AA492E" w:rsidP="00AA492E">
            <w:pPr>
              <w:tabs>
                <w:tab w:val="left" w:pos="851"/>
              </w:tabs>
              <w:jc w:val="both"/>
              <w:rPr>
                <w:iCs/>
                <w:lang w:val="lt-LT"/>
              </w:rPr>
            </w:pPr>
            <w:r w:rsidRPr="00AA492E">
              <w:rPr>
                <w:iCs/>
                <w:lang w:val="lt-LT"/>
              </w:rPr>
              <w:t>- tarptautinio koordinavimo šio meto problemoms spręsti didinimas, teisinga prieiga prie vakc</w:t>
            </w:r>
            <w:r w:rsidRPr="00AA492E">
              <w:rPr>
                <w:iCs/>
                <w:lang w:val="lt-LT"/>
              </w:rPr>
              <w:t>i</w:t>
            </w:r>
            <w:r w:rsidRPr="00AA492E">
              <w:rPr>
                <w:iCs/>
                <w:lang w:val="lt-LT"/>
              </w:rPr>
              <w:t xml:space="preserve">nų visoms šalims, pasiruošimas </w:t>
            </w:r>
            <w:r w:rsidR="007A2008">
              <w:rPr>
                <w:iCs/>
                <w:lang w:val="lt-LT"/>
              </w:rPr>
              <w:t>ateities</w:t>
            </w:r>
            <w:r w:rsidR="007A2008" w:rsidRPr="00AA492E">
              <w:rPr>
                <w:iCs/>
                <w:lang w:val="lt-LT"/>
              </w:rPr>
              <w:t xml:space="preserve"> </w:t>
            </w:r>
            <w:proofErr w:type="spellStart"/>
            <w:r w:rsidRPr="00AA492E">
              <w:rPr>
                <w:iCs/>
                <w:lang w:val="lt-LT"/>
              </w:rPr>
              <w:t>pandemijoms</w:t>
            </w:r>
            <w:proofErr w:type="spellEnd"/>
            <w:r w:rsidRPr="00AA492E">
              <w:rPr>
                <w:iCs/>
                <w:lang w:val="lt-LT"/>
              </w:rPr>
              <w:t>, per ankstyvo paramos priemonių nutra</w:t>
            </w:r>
            <w:r w:rsidRPr="00AA492E">
              <w:rPr>
                <w:iCs/>
                <w:lang w:val="lt-LT"/>
              </w:rPr>
              <w:t>u</w:t>
            </w:r>
            <w:r w:rsidRPr="00AA492E">
              <w:rPr>
                <w:iCs/>
                <w:lang w:val="lt-LT"/>
              </w:rPr>
              <w:t>kimo vengimas;</w:t>
            </w:r>
          </w:p>
          <w:p w:rsidR="00AA492E" w:rsidRPr="00AA492E" w:rsidRDefault="00AA492E" w:rsidP="00AA492E">
            <w:pPr>
              <w:tabs>
                <w:tab w:val="left" w:pos="851"/>
              </w:tabs>
              <w:jc w:val="both"/>
              <w:rPr>
                <w:iCs/>
                <w:lang w:val="lt-LT"/>
              </w:rPr>
            </w:pPr>
            <w:r w:rsidRPr="00AA492E">
              <w:rPr>
                <w:iCs/>
                <w:lang w:val="lt-LT"/>
              </w:rPr>
              <w:t xml:space="preserve">- G20 Bendros skolų traktavimo sistemos (angl. </w:t>
            </w:r>
            <w:r w:rsidRPr="00AA492E">
              <w:rPr>
                <w:i/>
                <w:iCs/>
                <w:lang w:val="lt-LT"/>
              </w:rPr>
              <w:t>G20 Common Framework on Debt Treatment</w:t>
            </w:r>
            <w:r w:rsidRPr="00AA492E">
              <w:rPr>
                <w:iCs/>
                <w:lang w:val="lt-LT"/>
              </w:rPr>
              <w:t xml:space="preserve">) ir Skolos aptarnavimo mokėjimų sustabdymo iniciatyvos (angl. </w:t>
            </w:r>
            <w:proofErr w:type="spellStart"/>
            <w:r w:rsidRPr="00AA492E">
              <w:rPr>
                <w:i/>
                <w:iCs/>
                <w:lang w:val="lt-LT"/>
              </w:rPr>
              <w:t>Debt</w:t>
            </w:r>
            <w:proofErr w:type="spellEnd"/>
            <w:r w:rsidRPr="00AA492E">
              <w:rPr>
                <w:i/>
                <w:iCs/>
                <w:lang w:val="lt-LT"/>
              </w:rPr>
              <w:t xml:space="preserve"> </w:t>
            </w:r>
            <w:proofErr w:type="spellStart"/>
            <w:r w:rsidRPr="00AA492E">
              <w:rPr>
                <w:i/>
                <w:iCs/>
                <w:lang w:val="lt-LT"/>
              </w:rPr>
              <w:t>Serv</w:t>
            </w:r>
            <w:r w:rsidR="007A2008">
              <w:rPr>
                <w:i/>
                <w:iCs/>
                <w:lang w:val="lt-LT"/>
              </w:rPr>
              <w:t>i</w:t>
            </w:r>
            <w:r w:rsidRPr="00AA492E">
              <w:rPr>
                <w:i/>
                <w:iCs/>
                <w:lang w:val="lt-LT"/>
              </w:rPr>
              <w:t>ce</w:t>
            </w:r>
            <w:proofErr w:type="spellEnd"/>
            <w:r w:rsidRPr="00AA492E">
              <w:rPr>
                <w:i/>
                <w:iCs/>
                <w:lang w:val="lt-LT"/>
              </w:rPr>
              <w:t xml:space="preserve"> </w:t>
            </w:r>
            <w:proofErr w:type="spellStart"/>
            <w:r w:rsidRPr="00AA492E">
              <w:rPr>
                <w:i/>
                <w:iCs/>
                <w:lang w:val="lt-LT"/>
              </w:rPr>
              <w:t>Suspension</w:t>
            </w:r>
            <w:proofErr w:type="spellEnd"/>
            <w:r w:rsidRPr="00AA492E">
              <w:rPr>
                <w:i/>
                <w:iCs/>
                <w:lang w:val="lt-LT"/>
              </w:rPr>
              <w:t xml:space="preserve"> </w:t>
            </w:r>
            <w:proofErr w:type="spellStart"/>
            <w:r w:rsidRPr="00AA492E">
              <w:rPr>
                <w:i/>
                <w:iCs/>
                <w:lang w:val="lt-LT"/>
              </w:rPr>
              <w:t>Initi</w:t>
            </w:r>
            <w:r w:rsidRPr="00AA492E">
              <w:rPr>
                <w:i/>
                <w:iCs/>
                <w:lang w:val="lt-LT"/>
              </w:rPr>
              <w:t>a</w:t>
            </w:r>
            <w:r w:rsidRPr="00AA492E">
              <w:rPr>
                <w:i/>
                <w:iCs/>
                <w:lang w:val="lt-LT"/>
              </w:rPr>
              <w:t>tive</w:t>
            </w:r>
            <w:proofErr w:type="spellEnd"/>
            <w:r w:rsidRPr="00AA492E">
              <w:rPr>
                <w:iCs/>
                <w:lang w:val="lt-LT"/>
              </w:rPr>
              <w:t>) efektyvus įgyvendinimas;</w:t>
            </w:r>
          </w:p>
          <w:p w:rsidR="00AA492E" w:rsidRPr="00AA492E" w:rsidRDefault="00AA492E" w:rsidP="00AA492E">
            <w:pPr>
              <w:tabs>
                <w:tab w:val="left" w:pos="851"/>
              </w:tabs>
              <w:jc w:val="both"/>
              <w:rPr>
                <w:iCs/>
                <w:lang w:val="lt-LT"/>
              </w:rPr>
            </w:pPr>
            <w:r w:rsidRPr="00AA492E">
              <w:rPr>
                <w:iCs/>
                <w:lang w:val="lt-LT"/>
              </w:rPr>
              <w:t>- poreikis tarptautinėms finansų institucijoms ieškoti papildomų priemonių ilgo laikotarpio p</w:t>
            </w:r>
            <w:r w:rsidRPr="00AA492E">
              <w:rPr>
                <w:iCs/>
                <w:lang w:val="lt-LT"/>
              </w:rPr>
              <w:t>a</w:t>
            </w:r>
            <w:r w:rsidRPr="00AA492E">
              <w:rPr>
                <w:iCs/>
                <w:lang w:val="lt-LT"/>
              </w:rPr>
              <w:t>sauliniams finansavimo ir rezervų poreikiams patenkinti</w:t>
            </w:r>
            <w:r w:rsidR="007A2008">
              <w:rPr>
                <w:iCs/>
                <w:lang w:val="lt-LT"/>
              </w:rPr>
              <w:t>;</w:t>
            </w:r>
            <w:r w:rsidRPr="00AA492E">
              <w:rPr>
                <w:iCs/>
                <w:lang w:val="lt-LT"/>
              </w:rPr>
              <w:t xml:space="preserve"> TVF pakviestas suformuluoti pasiūl</w:t>
            </w:r>
            <w:r w:rsidRPr="00AA492E">
              <w:rPr>
                <w:iCs/>
                <w:lang w:val="lt-LT"/>
              </w:rPr>
              <w:t>y</w:t>
            </w:r>
            <w:r w:rsidRPr="00AA492E">
              <w:rPr>
                <w:iCs/>
                <w:lang w:val="lt-LT"/>
              </w:rPr>
              <w:t xml:space="preserve">mą dėl bendro Specialiųjų skolinimosi teisių (angl. </w:t>
            </w:r>
            <w:r w:rsidRPr="00AA492E">
              <w:rPr>
                <w:i/>
                <w:iCs/>
                <w:lang w:val="lt-LT"/>
              </w:rPr>
              <w:t>Special Drawing Rights</w:t>
            </w:r>
            <w:r w:rsidRPr="00AA492E">
              <w:rPr>
                <w:iCs/>
                <w:lang w:val="lt-LT"/>
              </w:rPr>
              <w:t>) paskirstymo;</w:t>
            </w:r>
          </w:p>
          <w:p w:rsidR="00AA492E" w:rsidRPr="00AA492E" w:rsidRDefault="00AA492E" w:rsidP="00AA492E">
            <w:pPr>
              <w:tabs>
                <w:tab w:val="left" w:pos="851"/>
              </w:tabs>
              <w:jc w:val="both"/>
              <w:rPr>
                <w:iCs/>
                <w:lang w:val="lt-LT"/>
              </w:rPr>
            </w:pPr>
            <w:r w:rsidRPr="00AA492E">
              <w:rPr>
                <w:iCs/>
                <w:lang w:val="lt-LT"/>
              </w:rPr>
              <w:t>- atsigavimo po krizės strategijos ir unikali galimybė paremti perėjimą prie tvaresnių, įtrauke</w:t>
            </w:r>
            <w:r w:rsidRPr="00AA492E">
              <w:rPr>
                <w:iCs/>
                <w:lang w:val="lt-LT"/>
              </w:rPr>
              <w:t>s</w:t>
            </w:r>
            <w:r w:rsidRPr="00AA492E">
              <w:rPr>
                <w:iCs/>
                <w:lang w:val="lt-LT"/>
              </w:rPr>
              <w:t>nių ir teisingesnių visuomenių;</w:t>
            </w:r>
          </w:p>
          <w:p w:rsidR="00AA492E" w:rsidRPr="00AA492E" w:rsidRDefault="00AA492E" w:rsidP="00AA492E">
            <w:pPr>
              <w:tabs>
                <w:tab w:val="left" w:pos="851"/>
              </w:tabs>
              <w:jc w:val="both"/>
              <w:rPr>
                <w:iCs/>
                <w:lang w:val="lt-LT"/>
              </w:rPr>
            </w:pPr>
            <w:r w:rsidRPr="00AA492E">
              <w:rPr>
                <w:iCs/>
                <w:lang w:val="lt-LT"/>
              </w:rPr>
              <w:t>- globalaus sutarimo tarptautinio apmokestinimo klausimais siekis 2021 m. viduryje;</w:t>
            </w:r>
          </w:p>
          <w:p w:rsidR="00AA492E" w:rsidRPr="00AA492E" w:rsidRDefault="00AA492E" w:rsidP="00AA492E">
            <w:pPr>
              <w:tabs>
                <w:tab w:val="left" w:pos="851"/>
              </w:tabs>
              <w:jc w:val="both"/>
              <w:rPr>
                <w:iCs/>
                <w:lang w:val="lt-LT"/>
              </w:rPr>
            </w:pPr>
            <w:r w:rsidRPr="00AA492E">
              <w:rPr>
                <w:iCs/>
                <w:lang w:val="lt-LT"/>
              </w:rPr>
              <w:lastRenderedPageBreak/>
              <w:t>- klimato įtaka finansų sistemai, atkurta G20 tvarių finansų darbo grupė;</w:t>
            </w:r>
          </w:p>
          <w:p w:rsidR="00195F60" w:rsidRPr="00AA492E" w:rsidRDefault="00AA492E" w:rsidP="00AA492E">
            <w:pPr>
              <w:tabs>
                <w:tab w:val="left" w:pos="851"/>
              </w:tabs>
              <w:jc w:val="both"/>
              <w:rPr>
                <w:lang w:val="lt-LT"/>
              </w:rPr>
            </w:pPr>
            <w:r w:rsidRPr="00AA492E">
              <w:rPr>
                <w:iCs/>
                <w:lang w:val="lt-LT"/>
              </w:rPr>
              <w:t>- spartėjančios skaitmenizacijos įtaka pažeidžiamiausioms grupėms ir poreikis nagrinėti su tuo susijusias spragas, kurios galėjo atsirasti COVID-19 pandemijos pasekoje.</w:t>
            </w:r>
          </w:p>
          <w:p w:rsidR="00335ED8" w:rsidRPr="00E47362" w:rsidRDefault="00335ED8" w:rsidP="00335ED8">
            <w:pPr>
              <w:pStyle w:val="BodyA"/>
              <w:jc w:val="both"/>
              <w:rPr>
                <w:rFonts w:eastAsia="Times New Roman Bold" w:hAnsi="Times New Roman" w:cs="Times New Roman"/>
                <w:highlight w:val="yellow"/>
                <w:u w:val="single"/>
                <w:lang w:val="lt-LT"/>
              </w:rPr>
            </w:pPr>
          </w:p>
          <w:p w:rsidR="00085F32" w:rsidRDefault="00E1240D" w:rsidP="006E6FE9">
            <w:pPr>
              <w:pStyle w:val="BodyA"/>
              <w:rPr>
                <w:rFonts w:eastAsia="Calibri" w:hAnsi="Times New Roman" w:cs="Times New Roman"/>
                <w:bdr w:val="none" w:sz="0" w:space="0" w:color="auto"/>
                <w:lang w:val="lt-LT" w:eastAsia="lt-LT"/>
              </w:rPr>
            </w:pPr>
            <w:r w:rsidRPr="00E47362">
              <w:rPr>
                <w:rFonts w:hAnsi="Times New Roman" w:cs="Times New Roman"/>
                <w:b/>
                <w:u w:val="single"/>
                <w:lang w:val="lt-LT"/>
              </w:rPr>
              <w:t>Lietuvos pozicija.</w:t>
            </w:r>
            <w:r w:rsidRPr="00E47362">
              <w:rPr>
                <w:rFonts w:hAnsi="Times New Roman" w:cs="Times New Roman"/>
                <w:b/>
                <w:lang w:val="lt-LT"/>
              </w:rPr>
              <w:t xml:space="preserve"> </w:t>
            </w:r>
            <w:r w:rsidR="00AA492E" w:rsidRPr="00AA492E">
              <w:rPr>
                <w:rFonts w:hAnsi="Times New Roman" w:cs="Times New Roman"/>
                <w:lang w:val="lt-LT"/>
              </w:rPr>
              <w:t>Išklausyti informaciją.</w:t>
            </w:r>
          </w:p>
          <w:p w:rsidR="00225CBA" w:rsidRPr="00E47362" w:rsidRDefault="00225CBA" w:rsidP="006E6FE9">
            <w:pPr>
              <w:pStyle w:val="BodyA"/>
              <w:rPr>
                <w:rFonts w:hAnsi="Times New Roman" w:cs="Times New Roman"/>
                <w:b/>
                <w:lang w:val="lt-LT"/>
              </w:rPr>
            </w:pPr>
          </w:p>
          <w:p w:rsidR="00AA492E" w:rsidRPr="00AA492E" w:rsidRDefault="00085F32" w:rsidP="00AA492E">
            <w:pPr>
              <w:pStyle w:val="BodyA"/>
              <w:rPr>
                <w:rFonts w:hAnsi="Times New Roman" w:cs="Times New Roman"/>
                <w:b/>
                <w:lang w:val="lt-LT"/>
              </w:rPr>
            </w:pPr>
            <w:r w:rsidRPr="00E47362">
              <w:rPr>
                <w:rFonts w:hAnsi="Times New Roman" w:cs="Times New Roman"/>
                <w:b/>
                <w:lang w:val="lt-LT"/>
              </w:rPr>
              <w:t xml:space="preserve">b) </w:t>
            </w:r>
            <w:r w:rsidR="00AA492E" w:rsidRPr="00AA492E">
              <w:rPr>
                <w:rFonts w:hAnsi="Times New Roman" w:cs="Times New Roman"/>
                <w:b/>
                <w:lang w:val="lt-LT"/>
              </w:rPr>
              <w:t xml:space="preserve">Pasiruošimas G20 finansų ministrų ir centrinių bankų valdytojų susitikimui bei 2021 m. TVF pavasario susitikimui balandžio 7-10 d. </w:t>
            </w:r>
          </w:p>
          <w:p w:rsidR="00AA492E" w:rsidRPr="00AA492E" w:rsidRDefault="00AA492E" w:rsidP="00AA492E">
            <w:pPr>
              <w:pStyle w:val="BodyA"/>
              <w:rPr>
                <w:rFonts w:hAnsi="Times New Roman" w:cs="Times New Roman"/>
                <w:b/>
                <w:lang w:val="lt-LT"/>
              </w:rPr>
            </w:pPr>
            <w:r w:rsidRPr="00AA492E">
              <w:rPr>
                <w:rFonts w:hAnsi="Times New Roman" w:cs="Times New Roman"/>
                <w:b/>
                <w:lang w:val="lt-LT"/>
              </w:rPr>
              <w:t xml:space="preserve">  i) ES pozicijų gairės G20 susitikimui</w:t>
            </w:r>
          </w:p>
          <w:p w:rsidR="00AA492E" w:rsidRPr="00AA492E" w:rsidRDefault="00AA492E" w:rsidP="00AA492E">
            <w:pPr>
              <w:pStyle w:val="BodyA"/>
              <w:rPr>
                <w:rFonts w:hAnsi="Times New Roman" w:cs="Times New Roman"/>
                <w:b/>
                <w:lang w:val="lt-LT"/>
              </w:rPr>
            </w:pPr>
            <w:r w:rsidRPr="00AA492E">
              <w:rPr>
                <w:rFonts w:hAnsi="Times New Roman" w:cs="Times New Roman"/>
                <w:b/>
                <w:lang w:val="lt-LT"/>
              </w:rPr>
              <w:t xml:space="preserve">  ii) IMFC pranešimas </w:t>
            </w:r>
          </w:p>
          <w:p w:rsidR="00085F32" w:rsidRPr="00AA492E" w:rsidRDefault="00AA492E" w:rsidP="00AA492E">
            <w:pPr>
              <w:pStyle w:val="BodyA"/>
              <w:rPr>
                <w:rFonts w:hAnsi="Times New Roman" w:cs="Times New Roman"/>
                <w:i/>
                <w:lang w:val="lt-LT"/>
              </w:rPr>
            </w:pPr>
            <w:r w:rsidRPr="00AA492E">
              <w:rPr>
                <w:rFonts w:hAnsi="Times New Roman" w:cs="Times New Roman"/>
                <w:i/>
                <w:lang w:val="lt-LT"/>
              </w:rPr>
              <w:t>(Pirmininkaujančios šalies informacija)</w:t>
            </w:r>
          </w:p>
          <w:p w:rsidR="00E1240D" w:rsidRDefault="00E1240D" w:rsidP="007D7FCE">
            <w:pPr>
              <w:pStyle w:val="BodyA"/>
              <w:jc w:val="both"/>
              <w:rPr>
                <w:lang w:val="lt-LT"/>
              </w:rPr>
            </w:pPr>
          </w:p>
          <w:p w:rsidR="00AA492E" w:rsidRDefault="00AA492E" w:rsidP="007D7FCE">
            <w:pPr>
              <w:pStyle w:val="BodyA"/>
              <w:jc w:val="both"/>
              <w:rPr>
                <w:rFonts w:hAnsi="Times New Roman" w:cs="Times New Roman"/>
                <w:lang w:val="lt-LT"/>
              </w:rPr>
            </w:pPr>
            <w:r w:rsidRPr="00AA492E">
              <w:rPr>
                <w:rFonts w:hAnsi="Times New Roman" w:cs="Times New Roman"/>
                <w:b/>
                <w:u w:val="single"/>
                <w:lang w:val="lt-LT"/>
              </w:rPr>
              <w:t>Klausimo esmė:</w:t>
            </w:r>
            <w:r w:rsidRPr="00AA492E">
              <w:rPr>
                <w:rFonts w:hAnsi="Times New Roman" w:cs="Times New Roman"/>
                <w:lang w:val="lt-LT"/>
              </w:rPr>
              <w:t xml:space="preserve"> Pirmininkaujanti šalis informuos apie pasiruošimo 2021 m. balandžio 7-10 d. vyksiančiam TVF pavasario susitikimui procesą – ES pozicijų gairių G20 susitikimui ir IMFC pranešimo rengimą.</w:t>
            </w:r>
          </w:p>
          <w:p w:rsidR="00AA492E" w:rsidRDefault="00AA492E" w:rsidP="007D7FCE">
            <w:pPr>
              <w:pStyle w:val="BodyA"/>
              <w:jc w:val="both"/>
              <w:rPr>
                <w:rFonts w:hAnsi="Times New Roman" w:cs="Times New Roman"/>
                <w:lang w:val="lt-LT"/>
              </w:rPr>
            </w:pPr>
          </w:p>
          <w:p w:rsidR="00AA492E" w:rsidRDefault="00AA492E" w:rsidP="00AA492E">
            <w:pPr>
              <w:pStyle w:val="BodyA"/>
              <w:rPr>
                <w:rFonts w:eastAsia="Calibri" w:hAnsi="Times New Roman" w:cs="Times New Roman"/>
                <w:bdr w:val="none" w:sz="0" w:space="0" w:color="auto"/>
                <w:lang w:val="lt-LT" w:eastAsia="lt-LT"/>
              </w:rPr>
            </w:pPr>
            <w:r w:rsidRPr="00E47362">
              <w:rPr>
                <w:rFonts w:hAnsi="Times New Roman" w:cs="Times New Roman"/>
                <w:b/>
                <w:u w:val="single"/>
                <w:lang w:val="lt-LT"/>
              </w:rPr>
              <w:t>Lietuvos pozicija.</w:t>
            </w:r>
            <w:r w:rsidRPr="00E47362">
              <w:rPr>
                <w:rFonts w:hAnsi="Times New Roman" w:cs="Times New Roman"/>
                <w:b/>
                <w:lang w:val="lt-LT"/>
              </w:rPr>
              <w:t xml:space="preserve"> </w:t>
            </w:r>
            <w:r w:rsidRPr="00AA492E">
              <w:rPr>
                <w:rFonts w:hAnsi="Times New Roman" w:cs="Times New Roman"/>
                <w:lang w:val="lt-LT"/>
              </w:rPr>
              <w:t xml:space="preserve">Pozicija bus suformuluota gavus </w:t>
            </w:r>
            <w:r w:rsidR="0058519B">
              <w:rPr>
                <w:rFonts w:hAnsi="Times New Roman" w:cs="Times New Roman"/>
                <w:lang w:val="lt-LT"/>
              </w:rPr>
              <w:t xml:space="preserve">su klausimu </w:t>
            </w:r>
            <w:r w:rsidRPr="00AA492E">
              <w:rPr>
                <w:rFonts w:hAnsi="Times New Roman" w:cs="Times New Roman"/>
                <w:lang w:val="lt-LT"/>
              </w:rPr>
              <w:t>susijusius dokumentus.</w:t>
            </w:r>
          </w:p>
          <w:p w:rsidR="0032625D" w:rsidRPr="00E47362" w:rsidRDefault="0032625D" w:rsidP="00225CBA">
            <w:pPr>
              <w:pStyle w:val="BodyA"/>
              <w:jc w:val="both"/>
              <w:rPr>
                <w:rFonts w:hAnsi="Times New Roman" w:cs="Times New Roman"/>
                <w:lang w:val="lt-LT"/>
              </w:rPr>
            </w:pPr>
          </w:p>
        </w:tc>
      </w:tr>
    </w:tbl>
    <w:p w:rsidR="00501CE5" w:rsidRDefault="00501CE5">
      <w:pPr>
        <w:pStyle w:val="BodyA"/>
        <w:jc w:val="both"/>
        <w:rPr>
          <w:lang w:val="lt-LT"/>
        </w:rPr>
      </w:pPr>
    </w:p>
    <w:p w:rsidR="00AE4846" w:rsidRPr="00E47362" w:rsidRDefault="00AE4846">
      <w:pPr>
        <w:pStyle w:val="BodyA"/>
        <w:jc w:val="both"/>
        <w:rPr>
          <w:lang w:val="lt-LT"/>
        </w:rPr>
      </w:pPr>
    </w:p>
    <w:p w:rsidR="002F39D0" w:rsidRPr="00E47362" w:rsidRDefault="00790FF5" w:rsidP="005A71D9">
      <w:pPr>
        <w:jc w:val="center"/>
        <w:rPr>
          <w:rFonts w:eastAsia="Calibri"/>
          <w:b/>
          <w:lang w:val="lt-LT"/>
        </w:rPr>
      </w:pPr>
      <w:r w:rsidRPr="00E47362">
        <w:rPr>
          <w:rFonts w:eastAsia="Calibri"/>
          <w:b/>
          <w:lang w:val="lt-LT"/>
        </w:rPr>
        <w:t>2021</w:t>
      </w:r>
      <w:r w:rsidR="00274F66" w:rsidRPr="00E47362">
        <w:rPr>
          <w:rFonts w:eastAsia="Calibri"/>
          <w:b/>
          <w:lang w:val="lt-LT"/>
        </w:rPr>
        <w:t xml:space="preserve"> </w:t>
      </w:r>
      <w:r w:rsidR="00225CBA">
        <w:rPr>
          <w:rFonts w:eastAsia="Calibri"/>
          <w:b/>
          <w:lang w:val="lt-LT"/>
        </w:rPr>
        <w:t>M. KOVO</w:t>
      </w:r>
      <w:r w:rsidR="006E6FE9" w:rsidRPr="00E47362">
        <w:rPr>
          <w:rFonts w:eastAsia="Calibri"/>
          <w:b/>
          <w:lang w:val="lt-LT"/>
        </w:rPr>
        <w:t xml:space="preserve"> 15</w:t>
      </w:r>
      <w:r w:rsidR="00EE0A8F" w:rsidRPr="00E47362">
        <w:rPr>
          <w:rFonts w:eastAsia="Calibri"/>
          <w:b/>
          <w:lang w:val="lt-LT"/>
        </w:rPr>
        <w:t xml:space="preserve"> D. EURO GRUPĖS VAIZDO KONFERENCIJA</w:t>
      </w:r>
    </w:p>
    <w:p w:rsidR="005A71D9" w:rsidRPr="00E47362" w:rsidRDefault="005A71D9" w:rsidP="005A71D9">
      <w:pPr>
        <w:jc w:val="center"/>
        <w:rPr>
          <w:rFonts w:eastAsia="Calibri"/>
          <w:b/>
          <w:lang w:val="lt-LT"/>
        </w:rPr>
      </w:pPr>
    </w:p>
    <w:p w:rsidR="00530736" w:rsidRDefault="00530736" w:rsidP="00530736">
      <w:pPr>
        <w:pStyle w:val="Default"/>
      </w:pPr>
    </w:p>
    <w:p w:rsidR="00AE4846" w:rsidRPr="005A71D9" w:rsidRDefault="00AE4846" w:rsidP="00AE4846">
      <w:pPr>
        <w:pBdr>
          <w:top w:val="single" w:sz="4" w:space="1" w:color="auto"/>
          <w:left w:val="single" w:sz="4" w:space="4" w:color="auto"/>
          <w:bottom w:val="single" w:sz="4" w:space="1" w:color="auto"/>
          <w:right w:val="single" w:sz="4" w:space="4" w:color="auto"/>
          <w:between w:val="none" w:sz="0" w:space="0" w:color="auto"/>
          <w:bar w:val="none" w:sz="0" w:color="auto"/>
        </w:pBdr>
        <w:rPr>
          <w:b/>
          <w:bdr w:val="none" w:sz="0" w:space="0" w:color="auto"/>
          <w:lang w:val="lt-LT"/>
        </w:rPr>
      </w:pPr>
      <w:r w:rsidRPr="005A71D9">
        <w:rPr>
          <w:b/>
          <w:color w:val="202124"/>
          <w:bdr w:val="none" w:sz="0" w:space="0" w:color="auto"/>
          <w:lang w:val="lt-LT" w:eastAsia="lt-LT"/>
        </w:rPr>
        <w:t xml:space="preserve">1. </w:t>
      </w:r>
      <w:r w:rsidR="008C41CD" w:rsidRPr="008C41CD">
        <w:rPr>
          <w:rFonts w:eastAsia="Times New Roman"/>
          <w:b/>
          <w:color w:val="202124"/>
          <w:bdr w:val="none" w:sz="0" w:space="0" w:color="auto"/>
          <w:lang w:val="lt-LT" w:eastAsia="lt-LT"/>
        </w:rPr>
        <w:t xml:space="preserve">Covid-19 </w:t>
      </w:r>
      <w:r w:rsidR="008C41CD">
        <w:rPr>
          <w:rFonts w:eastAsia="Times New Roman"/>
          <w:b/>
          <w:color w:val="202124"/>
          <w:bdr w:val="none" w:sz="0" w:space="0" w:color="auto"/>
          <w:lang w:val="lt-LT" w:eastAsia="lt-LT"/>
        </w:rPr>
        <w:t xml:space="preserve">sektorinis poveikis Euro zonai ir struktūriniai pokyčiai </w:t>
      </w:r>
      <w:r w:rsidR="008C41CD" w:rsidRPr="008C41CD">
        <w:rPr>
          <w:rFonts w:eastAsia="Times New Roman"/>
          <w:b/>
          <w:color w:val="202124"/>
          <w:bdr w:val="none" w:sz="0" w:space="0" w:color="auto"/>
          <w:lang w:val="lt-LT" w:eastAsia="lt-LT"/>
        </w:rPr>
        <w:t xml:space="preserve"> </w:t>
      </w:r>
    </w:p>
    <w:p w:rsidR="00651ACB" w:rsidRPr="005D3625" w:rsidRDefault="00AE4846" w:rsidP="005A71D9">
      <w:pPr>
        <w:pBdr>
          <w:top w:val="single" w:sz="4" w:space="1" w:color="auto"/>
          <w:left w:val="single" w:sz="4" w:space="4" w:color="auto"/>
          <w:bottom w:val="single" w:sz="4" w:space="1" w:color="auto"/>
          <w:right w:val="single" w:sz="4" w:space="4" w:color="auto"/>
          <w:between w:val="none" w:sz="0" w:space="0" w:color="auto"/>
          <w:bar w:val="none" w:sz="0" w:color="auto"/>
        </w:pBdr>
        <w:jc w:val="both"/>
        <w:rPr>
          <w:lang w:val="lt-LT"/>
        </w:rPr>
      </w:pPr>
      <w:r w:rsidRPr="005A71D9">
        <w:rPr>
          <w:b/>
          <w:u w:val="single"/>
          <w:bdr w:val="none" w:sz="0" w:space="0" w:color="auto"/>
          <w:lang w:val="lt-LT"/>
        </w:rPr>
        <w:t>Klausimo esmė.</w:t>
      </w:r>
      <w:r w:rsidRPr="005A71D9">
        <w:rPr>
          <w:bdr w:val="none" w:sz="0" w:space="0" w:color="auto"/>
          <w:lang w:val="lt-LT"/>
        </w:rPr>
        <w:t xml:space="preserve"> </w:t>
      </w:r>
      <w:r w:rsidR="00651ACB" w:rsidRPr="00651ACB">
        <w:rPr>
          <w:bdr w:val="none" w:sz="0" w:space="0" w:color="auto"/>
          <w:lang w:val="lt-LT"/>
        </w:rPr>
        <w:t>Pandemija turėjo ženklų poveikį daugeliui sektorių, daugiausiai paslaugoms, kuriose vyksta daug žmogiškųjų kontaktų. Pirmos bangos įkarštyje (2020 m. antrame ketvirtyje) aktyvumas šiuose sektoriuose buvo 25 proc. mažesnis, nei turėjo būti remiantis tendencija iki p</w:t>
      </w:r>
      <w:r w:rsidR="00651ACB" w:rsidRPr="00651ACB">
        <w:rPr>
          <w:bdr w:val="none" w:sz="0" w:space="0" w:color="auto"/>
          <w:lang w:val="lt-LT"/>
        </w:rPr>
        <w:t>a</w:t>
      </w:r>
      <w:r w:rsidR="00651ACB" w:rsidRPr="00651ACB">
        <w:rPr>
          <w:bdr w:val="none" w:sz="0" w:space="0" w:color="auto"/>
          <w:lang w:val="lt-LT"/>
        </w:rPr>
        <w:t>ndemijos. Sektoriai, kuriuose reikėjo mažiau žmogiškųjų kontaktų, buvo paveikti mažiau, pvz., pramonė (-19 proc.) ir statybos (-15 proc.). Sektoriai su aukštos kvalifikacijos darbo jėga ir did</w:t>
      </w:r>
      <w:r w:rsidR="00651ACB" w:rsidRPr="00651ACB">
        <w:rPr>
          <w:bdr w:val="none" w:sz="0" w:space="0" w:color="auto"/>
          <w:lang w:val="lt-LT"/>
        </w:rPr>
        <w:t>e</w:t>
      </w:r>
      <w:r w:rsidR="00651ACB" w:rsidRPr="00651ACB">
        <w:rPr>
          <w:bdr w:val="none" w:sz="0" w:space="0" w:color="auto"/>
          <w:lang w:val="lt-LT"/>
        </w:rPr>
        <w:t>lėmis galimybėmis nuotoliniam darbui buvo paveikti dar mažiau (mažiau nei -10 proc.) Bendra tendencija tokia, kad daugiausiai nukentėjusiuose sektoriuose dominuoja jauna ir/arba žemos kv</w:t>
      </w:r>
      <w:r w:rsidR="00651ACB" w:rsidRPr="00651ACB">
        <w:rPr>
          <w:bdr w:val="none" w:sz="0" w:space="0" w:color="auto"/>
          <w:lang w:val="lt-LT"/>
        </w:rPr>
        <w:t>a</w:t>
      </w:r>
      <w:r w:rsidR="00651ACB" w:rsidRPr="00651ACB">
        <w:rPr>
          <w:bdr w:val="none" w:sz="0" w:space="0" w:color="auto"/>
          <w:lang w:val="lt-LT"/>
        </w:rPr>
        <w:t>lifikacijos darbo jėga. Antros bangos poveikis bendrai buvo mažesnis.</w:t>
      </w:r>
      <w:r w:rsidR="00651ACB" w:rsidRPr="005D3625">
        <w:rPr>
          <w:lang w:val="lt-LT"/>
        </w:rPr>
        <w:t xml:space="preserve"> </w:t>
      </w:r>
    </w:p>
    <w:p w:rsidR="00AE4846" w:rsidRDefault="00651ACB" w:rsidP="005A71D9">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651ACB">
        <w:rPr>
          <w:bdr w:val="none" w:sz="0" w:space="0" w:color="auto"/>
          <w:lang w:val="lt-LT"/>
        </w:rPr>
        <w:t>Ilgalaikis pandemijos poveikis skatina resursų perskirstymą, pagreitino skaitmeninę transformac</w:t>
      </w:r>
      <w:r w:rsidRPr="00651ACB">
        <w:rPr>
          <w:bdr w:val="none" w:sz="0" w:space="0" w:color="auto"/>
          <w:lang w:val="lt-LT"/>
        </w:rPr>
        <w:t>i</w:t>
      </w:r>
      <w:r w:rsidRPr="00651ACB">
        <w:rPr>
          <w:bdr w:val="none" w:sz="0" w:space="0" w:color="auto"/>
          <w:lang w:val="lt-LT"/>
        </w:rPr>
        <w:t>ją, sutrumpino globalias vertės grandines (atsirado strateginės autonomijos poreikis), sudarė gal</w:t>
      </w:r>
      <w:r w:rsidRPr="00651ACB">
        <w:rPr>
          <w:bdr w:val="none" w:sz="0" w:space="0" w:color="auto"/>
          <w:lang w:val="lt-LT"/>
        </w:rPr>
        <w:t>i</w:t>
      </w:r>
      <w:r w:rsidRPr="00651ACB">
        <w:rPr>
          <w:bdr w:val="none" w:sz="0" w:space="0" w:color="auto"/>
          <w:lang w:val="lt-LT"/>
        </w:rPr>
        <w:t>mybes pagreitinti žaliąją transformaciją. Šiame kontekste svarbu remti struktūrinius pokyčius i</w:t>
      </w:r>
      <w:r w:rsidRPr="00651ACB">
        <w:rPr>
          <w:bdr w:val="none" w:sz="0" w:space="0" w:color="auto"/>
          <w:lang w:val="lt-LT"/>
        </w:rPr>
        <w:t>n</w:t>
      </w:r>
      <w:r w:rsidRPr="00651ACB">
        <w:rPr>
          <w:bdr w:val="none" w:sz="0" w:space="0" w:color="auto"/>
          <w:lang w:val="lt-LT"/>
        </w:rPr>
        <w:t>vesticijomis ir reformomis siekiant sklandžios transformacijos, užtikrinti darbuotojų galimybes prisitaikyti prie pokyčių.</w:t>
      </w:r>
    </w:p>
    <w:p w:rsidR="00651ACB" w:rsidRDefault="00651ACB" w:rsidP="005A71D9">
      <w:pPr>
        <w:pBdr>
          <w:top w:val="single" w:sz="4" w:space="1" w:color="auto"/>
          <w:left w:val="single" w:sz="4" w:space="4" w:color="auto"/>
          <w:bottom w:val="single" w:sz="4" w:space="1" w:color="auto"/>
          <w:right w:val="single" w:sz="4" w:space="4" w:color="auto"/>
          <w:between w:val="none" w:sz="0" w:space="0" w:color="auto"/>
          <w:bar w:val="none" w:sz="0" w:color="auto"/>
        </w:pBdr>
        <w:jc w:val="both"/>
        <w:rPr>
          <w:b/>
          <w:u w:val="single"/>
          <w:bdr w:val="none" w:sz="0" w:space="0" w:color="auto"/>
          <w:lang w:val="lt-LT"/>
        </w:rPr>
      </w:pPr>
    </w:p>
    <w:p w:rsidR="005A71D9" w:rsidRDefault="005A71D9" w:rsidP="008C41CD">
      <w:pPr>
        <w:pBdr>
          <w:top w:val="single" w:sz="4" w:space="1" w:color="auto"/>
          <w:left w:val="single" w:sz="4" w:space="4" w:color="auto"/>
          <w:bottom w:val="single" w:sz="4" w:space="1" w:color="auto"/>
          <w:right w:val="single" w:sz="4" w:space="4" w:color="auto"/>
          <w:between w:val="none" w:sz="0" w:space="0" w:color="auto"/>
          <w:bar w:val="none" w:sz="0" w:color="auto"/>
        </w:pBdr>
        <w:contextualSpacing/>
        <w:jc w:val="both"/>
        <w:rPr>
          <w:bdr w:val="none" w:sz="0" w:space="0" w:color="auto"/>
          <w:lang w:val="lt-LT" w:eastAsia="fr-BE"/>
        </w:rPr>
      </w:pPr>
      <w:r w:rsidRPr="005A71D9">
        <w:rPr>
          <w:b/>
          <w:u w:val="single"/>
          <w:bdr w:val="none" w:sz="0" w:space="0" w:color="auto"/>
          <w:lang w:val="lt-LT"/>
        </w:rPr>
        <w:t>Lietuvos pozicija.</w:t>
      </w:r>
      <w:r w:rsidRPr="005A71D9">
        <w:rPr>
          <w:bdr w:val="none" w:sz="0" w:space="0" w:color="auto"/>
          <w:lang w:val="lt-LT"/>
        </w:rPr>
        <w:t xml:space="preserve"> </w:t>
      </w:r>
      <w:r w:rsidR="00651ACB">
        <w:rPr>
          <w:bdr w:val="none" w:sz="0" w:space="0" w:color="auto"/>
          <w:lang w:val="lt-LT"/>
        </w:rPr>
        <w:t>Pritariame Europos Komisijos</w:t>
      </w:r>
      <w:r w:rsidR="00651ACB" w:rsidRPr="00651ACB">
        <w:rPr>
          <w:bdr w:val="none" w:sz="0" w:space="0" w:color="auto"/>
          <w:lang w:val="lt-LT"/>
        </w:rPr>
        <w:t xml:space="preserve"> atliktai analizei.</w:t>
      </w:r>
    </w:p>
    <w:p w:rsidR="008C41CD" w:rsidRPr="005A71D9" w:rsidRDefault="008C41CD" w:rsidP="008C41CD">
      <w:pPr>
        <w:pBdr>
          <w:top w:val="single" w:sz="4" w:space="1" w:color="auto"/>
          <w:left w:val="single" w:sz="4" w:space="4" w:color="auto"/>
          <w:bottom w:val="single" w:sz="4" w:space="1" w:color="auto"/>
          <w:right w:val="single" w:sz="4" w:space="4" w:color="auto"/>
          <w:between w:val="none" w:sz="0" w:space="0" w:color="auto"/>
          <w:bar w:val="none" w:sz="0" w:color="auto"/>
        </w:pBdr>
        <w:contextualSpacing/>
        <w:jc w:val="both"/>
        <w:rPr>
          <w:rFonts w:eastAsia="Calibri"/>
          <w:b/>
          <w:bdr w:val="none" w:sz="0" w:space="0" w:color="auto"/>
          <w:lang w:val="lt-LT"/>
        </w:rPr>
      </w:pPr>
    </w:p>
    <w:p w:rsidR="005A71D9" w:rsidRPr="005A71D9" w:rsidRDefault="008C41CD" w:rsidP="005A71D9">
      <w:pPr>
        <w:pBdr>
          <w:top w:val="single" w:sz="4" w:space="1" w:color="auto"/>
          <w:left w:val="single" w:sz="4" w:space="4" w:color="auto"/>
          <w:bottom w:val="single" w:sz="4" w:space="1" w:color="auto"/>
          <w:right w:val="single" w:sz="4" w:space="4" w:color="auto"/>
          <w:between w:val="none" w:sz="0" w:space="0" w:color="auto"/>
          <w:bar w:val="none" w:sz="0" w:color="auto"/>
        </w:pBdr>
        <w:jc w:val="both"/>
        <w:rPr>
          <w:b/>
          <w:color w:val="202124"/>
          <w:bdr w:val="none" w:sz="0" w:space="0" w:color="auto"/>
          <w:lang w:val="lt-LT"/>
        </w:rPr>
      </w:pPr>
      <w:r>
        <w:rPr>
          <w:b/>
          <w:color w:val="202124"/>
          <w:bdr w:val="none" w:sz="0" w:space="0" w:color="auto"/>
          <w:lang w:val="lt-LT"/>
        </w:rPr>
        <w:t>2. Fiskalinės paramos priemonių esama situacija</w:t>
      </w:r>
    </w:p>
    <w:p w:rsidR="00D9296E" w:rsidRPr="00D9296E" w:rsidRDefault="005A71D9" w:rsidP="00D9296E">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5A71D9">
        <w:rPr>
          <w:b/>
          <w:u w:val="single"/>
          <w:bdr w:val="none" w:sz="0" w:space="0" w:color="auto"/>
          <w:lang w:val="lt-LT"/>
        </w:rPr>
        <w:t>Klausimo esmė.</w:t>
      </w:r>
      <w:r w:rsidRPr="005A71D9">
        <w:rPr>
          <w:bdr w:val="none" w:sz="0" w:space="0" w:color="auto"/>
          <w:lang w:val="lt-LT"/>
        </w:rPr>
        <w:t xml:space="preserve"> </w:t>
      </w:r>
      <w:r w:rsidR="00D9296E" w:rsidRPr="00D9296E">
        <w:rPr>
          <w:bdr w:val="none" w:sz="0" w:space="0" w:color="auto"/>
          <w:lang w:val="lt-LT"/>
        </w:rPr>
        <w:t xml:space="preserve">Europos </w:t>
      </w:r>
      <w:r w:rsidR="00D9296E">
        <w:rPr>
          <w:bdr w:val="none" w:sz="0" w:space="0" w:color="auto"/>
          <w:lang w:val="lt-LT"/>
        </w:rPr>
        <w:t xml:space="preserve">Komisija pateikė apibendrintus </w:t>
      </w:r>
      <w:r w:rsidR="00D9296E" w:rsidRPr="00D9296E">
        <w:rPr>
          <w:bdr w:val="none" w:sz="0" w:space="0" w:color="auto"/>
          <w:lang w:val="lt-LT"/>
        </w:rPr>
        <w:t>skaičiavi</w:t>
      </w:r>
      <w:r w:rsidR="00D9296E">
        <w:rPr>
          <w:bdr w:val="none" w:sz="0" w:space="0" w:color="auto"/>
          <w:lang w:val="lt-LT"/>
        </w:rPr>
        <w:t xml:space="preserve">mus </w:t>
      </w:r>
      <w:r w:rsidR="00D9296E" w:rsidRPr="00D9296E">
        <w:rPr>
          <w:bdr w:val="none" w:sz="0" w:space="0" w:color="auto"/>
          <w:lang w:val="lt-LT"/>
        </w:rPr>
        <w:t>(estimates), atskleidžia</w:t>
      </w:r>
      <w:r w:rsidR="00D9296E" w:rsidRPr="00D9296E">
        <w:rPr>
          <w:bdr w:val="none" w:sz="0" w:space="0" w:color="auto"/>
          <w:lang w:val="lt-LT"/>
        </w:rPr>
        <w:t>n</w:t>
      </w:r>
      <w:r w:rsidR="00D9296E">
        <w:rPr>
          <w:bdr w:val="none" w:sz="0" w:space="0" w:color="auto"/>
          <w:lang w:val="lt-LT"/>
        </w:rPr>
        <w:t>čius</w:t>
      </w:r>
      <w:r w:rsidR="00D9296E" w:rsidRPr="00D9296E">
        <w:rPr>
          <w:bdr w:val="none" w:sz="0" w:space="0" w:color="auto"/>
          <w:lang w:val="lt-LT"/>
        </w:rPr>
        <w:t xml:space="preserve">  diskrecinių priemonių su tiesioginiu poveikiu biudžetui ir likvidumo paramos dydžius. Šie d</w:t>
      </w:r>
      <w:r w:rsidR="0058519B">
        <w:rPr>
          <w:bdr w:val="none" w:sz="0" w:space="0" w:color="auto"/>
          <w:lang w:val="lt-LT"/>
        </w:rPr>
        <w:t>uomenys yra parengti remiantis</w:t>
      </w:r>
      <w:r w:rsidR="00D9296E" w:rsidRPr="00D9296E">
        <w:rPr>
          <w:bdr w:val="none" w:sz="0" w:space="0" w:color="auto"/>
          <w:lang w:val="lt-LT"/>
        </w:rPr>
        <w:t xml:space="preserve"> 2021 m. tarpinėmis žiemos prognozėmis. EK skaičiavimai rodo, kad didelė dalis fiskalinės paramos Euro zonoje (toliau – EZ) buvo suteikta automatinių stabiliz</w:t>
      </w:r>
      <w:r w:rsidR="00D9296E" w:rsidRPr="00D9296E">
        <w:rPr>
          <w:bdr w:val="none" w:sz="0" w:space="0" w:color="auto"/>
          <w:lang w:val="lt-LT"/>
        </w:rPr>
        <w:t>a</w:t>
      </w:r>
      <w:r w:rsidR="00D9296E" w:rsidRPr="00D9296E">
        <w:rPr>
          <w:bdr w:val="none" w:sz="0" w:space="0" w:color="auto"/>
          <w:lang w:val="lt-LT"/>
        </w:rPr>
        <w:t xml:space="preserve">torių pagalba, tam tikrais atvejais </w:t>
      </w:r>
      <w:r w:rsidR="00D9296E">
        <w:rPr>
          <w:bdr w:val="none" w:sz="0" w:space="0" w:color="auto"/>
          <w:lang w:val="lt-LT"/>
        </w:rPr>
        <w:t xml:space="preserve">jie viršija diskrecinę paramą. </w:t>
      </w:r>
    </w:p>
    <w:p w:rsidR="005A71D9" w:rsidRPr="005A71D9" w:rsidRDefault="00D9296E" w:rsidP="00D9296E">
      <w:pPr>
        <w:pBdr>
          <w:top w:val="single" w:sz="4" w:space="1" w:color="auto"/>
          <w:left w:val="single" w:sz="4" w:space="4" w:color="auto"/>
          <w:bottom w:val="single" w:sz="4" w:space="1" w:color="auto"/>
          <w:right w:val="single" w:sz="4" w:space="4" w:color="auto"/>
          <w:between w:val="none" w:sz="0" w:space="0" w:color="auto"/>
          <w:bar w:val="none" w:sz="0" w:color="auto"/>
        </w:pBdr>
        <w:jc w:val="both"/>
        <w:rPr>
          <w:rFonts w:eastAsia="Times New Roman"/>
          <w:iCs/>
          <w:color w:val="000000"/>
          <w:bdr w:val="none" w:sz="0" w:space="0" w:color="auto"/>
          <w:lang w:val="lt-LT" w:eastAsia="lt-LT"/>
        </w:rPr>
      </w:pPr>
      <w:r>
        <w:rPr>
          <w:bdr w:val="none" w:sz="0" w:space="0" w:color="auto"/>
          <w:lang w:val="lt-LT"/>
        </w:rPr>
        <w:t xml:space="preserve">Pasak EK skaičiavimų, </w:t>
      </w:r>
      <w:r w:rsidRPr="00D9296E">
        <w:rPr>
          <w:bdr w:val="none" w:sz="0" w:space="0" w:color="auto"/>
          <w:lang w:val="lt-LT"/>
        </w:rPr>
        <w:t xml:space="preserve">EZ </w:t>
      </w:r>
      <w:r>
        <w:rPr>
          <w:bdr w:val="none" w:sz="0" w:space="0" w:color="auto"/>
          <w:lang w:val="lt-LT"/>
        </w:rPr>
        <w:t xml:space="preserve">šalių </w:t>
      </w:r>
      <w:r w:rsidRPr="00D9296E">
        <w:rPr>
          <w:bdr w:val="none" w:sz="0" w:space="0" w:color="auto"/>
          <w:lang w:val="lt-LT"/>
        </w:rPr>
        <w:t>diskrecinės priemonės 2020 m. sudarė 3,7 proc. BVP ir turėtų sudaryti 2,9 proc. 2021 m. Didžioji dalis šių priemonių yra papildomos išlaidos (atitinkamai 3,3 ir 2,5 proc. BVP), jos apima ir papildomas išlaidas sveikatos apsaugai (atitinkamai 0,7  ir 0,4 proc. BVP). Mokestinės priemonės sudarė papildomai 0,5 ir 0,3 proc. BVP atitinkamai.</w:t>
      </w:r>
    </w:p>
    <w:p w:rsidR="005A71D9" w:rsidRDefault="00D9296E" w:rsidP="005A71D9">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adjustRightInd w:val="0"/>
        <w:jc w:val="both"/>
        <w:rPr>
          <w:bdr w:val="none" w:sz="0" w:space="0" w:color="auto"/>
          <w:lang w:val="lt-LT"/>
        </w:rPr>
      </w:pPr>
      <w:r w:rsidRPr="00D9296E">
        <w:rPr>
          <w:bdr w:val="none" w:sz="0" w:space="0" w:color="auto"/>
          <w:lang w:val="lt-LT"/>
        </w:rPr>
        <w:t>Likvidumo paramos priemonės. Pasak EK skaičiavimų EZ VN 2020 m. suteikė (nurodomas ma</w:t>
      </w:r>
      <w:r w:rsidRPr="00D9296E">
        <w:rPr>
          <w:bdr w:val="none" w:sz="0" w:space="0" w:color="auto"/>
          <w:lang w:val="lt-LT"/>
        </w:rPr>
        <w:t>k</w:t>
      </w:r>
      <w:r w:rsidRPr="00D9296E">
        <w:rPr>
          <w:bdr w:val="none" w:sz="0" w:space="0" w:color="auto"/>
          <w:lang w:val="lt-LT"/>
        </w:rPr>
        <w:t>simalus garantijų potencialas) 19,2 proc. EZ BVP likvidumo p</w:t>
      </w:r>
      <w:r w:rsidR="00B0541A">
        <w:rPr>
          <w:bdr w:val="none" w:sz="0" w:space="0" w:color="auto"/>
          <w:lang w:val="lt-LT"/>
        </w:rPr>
        <w:t>a</w:t>
      </w:r>
      <w:r w:rsidRPr="00D9296E">
        <w:rPr>
          <w:bdr w:val="none" w:sz="0" w:space="0" w:color="auto"/>
          <w:lang w:val="lt-LT"/>
        </w:rPr>
        <w:t>ramos. Ją sudaro valstybinės g</w:t>
      </w:r>
      <w:r w:rsidRPr="00D9296E">
        <w:rPr>
          <w:bdr w:val="none" w:sz="0" w:space="0" w:color="auto"/>
          <w:lang w:val="lt-LT"/>
        </w:rPr>
        <w:t>a</w:t>
      </w:r>
      <w:r w:rsidRPr="00D9296E">
        <w:rPr>
          <w:bdr w:val="none" w:sz="0" w:space="0" w:color="auto"/>
          <w:lang w:val="lt-LT"/>
        </w:rPr>
        <w:lastRenderedPageBreak/>
        <w:t xml:space="preserve">rantijos (15,9 proc.), mokesčių atidėjimas (1 proc.) ir kitos priemonės (2,3 proc.). </w:t>
      </w:r>
      <w:r>
        <w:rPr>
          <w:bdr w:val="none" w:sz="0" w:space="0" w:color="auto"/>
          <w:lang w:val="lt-LT"/>
        </w:rPr>
        <w:t xml:space="preserve">Iki šiol </w:t>
      </w:r>
      <w:r w:rsidRPr="00D9296E">
        <w:rPr>
          <w:bdr w:val="none" w:sz="0" w:space="0" w:color="auto"/>
          <w:lang w:val="lt-LT"/>
        </w:rPr>
        <w:t>yra pas</w:t>
      </w:r>
      <w:r w:rsidRPr="00D9296E">
        <w:rPr>
          <w:bdr w:val="none" w:sz="0" w:space="0" w:color="auto"/>
          <w:lang w:val="lt-LT"/>
        </w:rPr>
        <w:t>i</w:t>
      </w:r>
      <w:r w:rsidRPr="00D9296E">
        <w:rPr>
          <w:bdr w:val="none" w:sz="0" w:space="0" w:color="auto"/>
          <w:lang w:val="lt-LT"/>
        </w:rPr>
        <w:t>naudota apie ketvirtadaliu valstybinių garantijų, tačiau yra dideli skirtumai tarp VN.</w:t>
      </w:r>
    </w:p>
    <w:p w:rsidR="00D9296E" w:rsidRDefault="00D9296E" w:rsidP="005A71D9">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adjustRightInd w:val="0"/>
        <w:jc w:val="both"/>
        <w:rPr>
          <w:bdr w:val="none" w:sz="0" w:space="0" w:color="auto"/>
          <w:lang w:val="lt-LT"/>
        </w:rPr>
      </w:pPr>
      <w:r w:rsidRPr="00D9296E">
        <w:rPr>
          <w:bdr w:val="none" w:sz="0" w:space="0" w:color="auto"/>
          <w:lang w:val="lt-LT"/>
        </w:rPr>
        <w:t>Visa fiskalinė parama pasak EK skaičiavimų EZ sudaro 8,2 proc. BVP 2020 m. ir turėtų sudaryti 6 proc. BVP 2021 m.</w:t>
      </w:r>
    </w:p>
    <w:p w:rsidR="00B0541A" w:rsidRPr="00970FB0" w:rsidRDefault="00B0541A" w:rsidP="005A71D9">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adjustRightInd w:val="0"/>
        <w:jc w:val="both"/>
        <w:rPr>
          <w:bdr w:val="none" w:sz="0" w:space="0" w:color="auto"/>
          <w:lang w:val="lt-LT"/>
        </w:rPr>
      </w:pPr>
      <w:r w:rsidRPr="00970FB0">
        <w:rPr>
          <w:bdr w:val="none" w:sz="0" w:space="0" w:color="auto"/>
          <w:lang w:val="lt-LT"/>
        </w:rPr>
        <w:t>Numatoma, kad bus parengtas ir paskelbtas Euro grupės pareiškimas dėl fiskalinės politikos koo</w:t>
      </w:r>
      <w:r w:rsidRPr="00970FB0">
        <w:rPr>
          <w:bdr w:val="none" w:sz="0" w:space="0" w:color="auto"/>
          <w:lang w:val="lt-LT"/>
        </w:rPr>
        <w:t>r</w:t>
      </w:r>
      <w:r w:rsidRPr="00970FB0">
        <w:rPr>
          <w:bdr w:val="none" w:sz="0" w:space="0" w:color="auto"/>
          <w:lang w:val="lt-LT"/>
        </w:rPr>
        <w:t xml:space="preserve">dinavimo, </w:t>
      </w:r>
      <w:r w:rsidR="0058519B">
        <w:rPr>
          <w:bdr w:val="none" w:sz="0" w:space="0" w:color="auto"/>
          <w:lang w:val="lt-LT"/>
        </w:rPr>
        <w:t>referuojant į EK</w:t>
      </w:r>
      <w:r w:rsidR="00970FB0" w:rsidRPr="00970FB0">
        <w:rPr>
          <w:bdr w:val="none" w:sz="0" w:space="0" w:color="auto"/>
          <w:lang w:val="lt-LT"/>
        </w:rPr>
        <w:t xml:space="preserve"> kovo 3 d. komunikate pateiktas preliminarias fiskalinės politikos ga</w:t>
      </w:r>
      <w:r w:rsidR="00970FB0" w:rsidRPr="00970FB0">
        <w:rPr>
          <w:bdr w:val="none" w:sz="0" w:space="0" w:color="auto"/>
          <w:lang w:val="lt-LT"/>
        </w:rPr>
        <w:t>i</w:t>
      </w:r>
      <w:r w:rsidR="00970FB0" w:rsidRPr="00970FB0">
        <w:rPr>
          <w:bdr w:val="none" w:sz="0" w:space="0" w:color="auto"/>
          <w:lang w:val="lt-LT"/>
        </w:rPr>
        <w:t xml:space="preserve">res ir </w:t>
      </w:r>
      <w:r w:rsidR="0058519B">
        <w:rPr>
          <w:bdr w:val="none" w:sz="0" w:space="0" w:color="auto"/>
          <w:lang w:val="lt-LT"/>
        </w:rPr>
        <w:t>pažymint koordinavimo Euro grupės</w:t>
      </w:r>
      <w:r w:rsidRPr="00970FB0">
        <w:rPr>
          <w:bdr w:val="none" w:sz="0" w:space="0" w:color="auto"/>
          <w:lang w:val="lt-LT"/>
        </w:rPr>
        <w:t xml:space="preserve"> lygiu svarbą</w:t>
      </w:r>
      <w:r w:rsidR="00970FB0" w:rsidRPr="00970FB0">
        <w:rPr>
          <w:bdr w:val="none" w:sz="0" w:space="0" w:color="auto"/>
          <w:lang w:val="lt-LT"/>
        </w:rPr>
        <w:t>.</w:t>
      </w:r>
      <w:r w:rsidRPr="00970FB0">
        <w:rPr>
          <w:bdr w:val="none" w:sz="0" w:space="0" w:color="auto"/>
          <w:lang w:val="lt-LT"/>
        </w:rPr>
        <w:t xml:space="preserve"> </w:t>
      </w:r>
    </w:p>
    <w:p w:rsidR="00D9296E" w:rsidRDefault="00D9296E" w:rsidP="005A71D9">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adjustRightInd w:val="0"/>
        <w:jc w:val="both"/>
        <w:rPr>
          <w:b/>
          <w:u w:val="single"/>
          <w:bdr w:val="none" w:sz="0" w:space="0" w:color="auto"/>
          <w:lang w:val="lt-LT"/>
        </w:rPr>
      </w:pPr>
    </w:p>
    <w:p w:rsidR="005A71D9" w:rsidRPr="0096658E" w:rsidRDefault="005A71D9" w:rsidP="005A71D9">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adjustRightInd w:val="0"/>
        <w:jc w:val="both"/>
        <w:rPr>
          <w:rFonts w:eastAsia="Times New Roman"/>
          <w:lang w:val="lt-LT" w:eastAsia="fr-BE"/>
        </w:rPr>
      </w:pPr>
      <w:r w:rsidRPr="005A71D9">
        <w:rPr>
          <w:b/>
          <w:u w:val="single"/>
          <w:bdr w:val="none" w:sz="0" w:space="0" w:color="auto"/>
          <w:lang w:val="lt-LT"/>
        </w:rPr>
        <w:t>Lietuvos pozicija.</w:t>
      </w:r>
      <w:r w:rsidRPr="005A71D9">
        <w:rPr>
          <w:bdr w:val="none" w:sz="0" w:space="0" w:color="auto"/>
          <w:lang w:val="lt-LT"/>
        </w:rPr>
        <w:t xml:space="preserve"> </w:t>
      </w:r>
      <w:r w:rsidR="00D9296E">
        <w:rPr>
          <w:bdr w:val="none" w:sz="0" w:space="0" w:color="auto"/>
          <w:lang w:val="lt-LT"/>
        </w:rPr>
        <w:t>Sutinkame su Europos Komisijos fiskalinės paramos priemonių analize.</w:t>
      </w:r>
      <w:r w:rsidR="00970FB0">
        <w:rPr>
          <w:bdr w:val="none" w:sz="0" w:space="0" w:color="auto"/>
          <w:lang w:val="lt-LT"/>
        </w:rPr>
        <w:t xml:space="preserve"> R</w:t>
      </w:r>
      <w:r w:rsidR="00970FB0">
        <w:rPr>
          <w:bdr w:val="none" w:sz="0" w:space="0" w:color="auto"/>
          <w:lang w:val="lt-LT"/>
        </w:rPr>
        <w:t>e</w:t>
      </w:r>
      <w:r w:rsidR="00970FB0">
        <w:rPr>
          <w:bdr w:val="none" w:sz="0" w:space="0" w:color="auto"/>
          <w:lang w:val="lt-LT"/>
        </w:rPr>
        <w:t>miame fiskalinės politikos koordinavimą EG lygi</w:t>
      </w:r>
      <w:r w:rsidR="00836630">
        <w:rPr>
          <w:bdr w:val="none" w:sz="0" w:space="0" w:color="auto"/>
          <w:lang w:val="lt-LT"/>
        </w:rPr>
        <w:t>u</w:t>
      </w:r>
      <w:r w:rsidR="00970FB0">
        <w:rPr>
          <w:bdr w:val="none" w:sz="0" w:space="0" w:color="auto"/>
          <w:lang w:val="lt-LT"/>
        </w:rPr>
        <w:t>, pabrėžiant ne tik skatinančios fiskalinės pol</w:t>
      </w:r>
      <w:r w:rsidR="00970FB0">
        <w:rPr>
          <w:bdr w:val="none" w:sz="0" w:space="0" w:color="auto"/>
          <w:lang w:val="lt-LT"/>
        </w:rPr>
        <w:t>i</w:t>
      </w:r>
      <w:r w:rsidR="00970FB0">
        <w:rPr>
          <w:bdr w:val="none" w:sz="0" w:space="0" w:color="auto"/>
          <w:lang w:val="lt-LT"/>
        </w:rPr>
        <w:t>tikos būtinumą šiuo metu, bet ir fiskalinį tvarumą vidutiniu ir ilguoju laikotarpiui.</w:t>
      </w:r>
    </w:p>
    <w:p w:rsidR="005A71D9" w:rsidRPr="005A71D9" w:rsidRDefault="005A71D9" w:rsidP="005A71D9">
      <w:pPr>
        <w:pBdr>
          <w:top w:val="single" w:sz="4" w:space="1" w:color="auto"/>
          <w:left w:val="single" w:sz="4" w:space="4" w:color="auto"/>
          <w:bottom w:val="single" w:sz="4" w:space="1" w:color="auto"/>
          <w:right w:val="single" w:sz="4" w:space="4" w:color="auto"/>
          <w:between w:val="none" w:sz="0" w:space="0" w:color="auto"/>
          <w:bar w:val="none" w:sz="0" w:color="auto"/>
        </w:pBdr>
        <w:rPr>
          <w:bdr w:val="none" w:sz="0" w:space="0" w:color="auto"/>
          <w:lang w:val="lt-LT"/>
        </w:rPr>
      </w:pPr>
    </w:p>
    <w:p w:rsidR="00651ACB" w:rsidRPr="005A71D9" w:rsidRDefault="005A71D9" w:rsidP="005A71D9">
      <w:pPr>
        <w:pBdr>
          <w:top w:val="single" w:sz="4" w:space="1" w:color="auto"/>
          <w:left w:val="single" w:sz="4" w:space="4" w:color="auto"/>
          <w:bottom w:val="single" w:sz="4" w:space="1" w:color="auto"/>
          <w:right w:val="single" w:sz="4" w:space="4" w:color="auto"/>
          <w:between w:val="none" w:sz="0" w:space="0" w:color="auto"/>
          <w:bar w:val="none" w:sz="0" w:color="auto"/>
        </w:pBdr>
        <w:jc w:val="both"/>
        <w:rPr>
          <w:b/>
          <w:color w:val="202124"/>
          <w:bdr w:val="none" w:sz="0" w:space="0" w:color="auto"/>
          <w:lang w:val="lt-LT"/>
        </w:rPr>
      </w:pPr>
      <w:r w:rsidRPr="005A71D9">
        <w:rPr>
          <w:b/>
          <w:color w:val="202124"/>
          <w:bdr w:val="none" w:sz="0" w:space="0" w:color="auto"/>
          <w:lang w:val="lt-LT"/>
        </w:rPr>
        <w:t xml:space="preserve">3. </w:t>
      </w:r>
      <w:r w:rsidR="008C41CD">
        <w:rPr>
          <w:b/>
          <w:color w:val="202124"/>
          <w:bdr w:val="none" w:sz="0" w:space="0" w:color="auto"/>
          <w:lang w:val="lt-LT"/>
        </w:rPr>
        <w:t>9-oji</w:t>
      </w:r>
      <w:r w:rsidR="008C41CD" w:rsidRPr="008C41CD">
        <w:rPr>
          <w:b/>
          <w:color w:val="202124"/>
          <w:bdr w:val="none" w:sz="0" w:space="0" w:color="auto"/>
          <w:lang w:val="lt-LT"/>
        </w:rPr>
        <w:t xml:space="preserve"> Graikijos po-programinės s</w:t>
      </w:r>
      <w:r w:rsidR="008C41CD">
        <w:rPr>
          <w:b/>
          <w:color w:val="202124"/>
          <w:bdr w:val="none" w:sz="0" w:space="0" w:color="auto"/>
          <w:lang w:val="lt-LT"/>
        </w:rPr>
        <w:t>ustiprintos priežiūros ataskaita</w:t>
      </w:r>
    </w:p>
    <w:p w:rsidR="005A71D9" w:rsidRDefault="005A71D9" w:rsidP="008C41CD">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5A71D9">
        <w:rPr>
          <w:b/>
          <w:u w:val="single"/>
          <w:bdr w:val="none" w:sz="0" w:space="0" w:color="auto"/>
          <w:lang w:val="lt-LT"/>
        </w:rPr>
        <w:t>Klausimo esmė.</w:t>
      </w:r>
      <w:r w:rsidRPr="005A71D9">
        <w:rPr>
          <w:bdr w:val="none" w:sz="0" w:space="0" w:color="auto"/>
          <w:lang w:val="lt-LT"/>
        </w:rPr>
        <w:t xml:space="preserve"> </w:t>
      </w:r>
      <w:r w:rsidR="008C41CD" w:rsidRPr="008C41CD">
        <w:rPr>
          <w:bdr w:val="none" w:sz="0" w:space="0" w:color="auto"/>
          <w:lang w:val="lt-LT"/>
        </w:rPr>
        <w:t>2021 m. vasario mėn. EK  paskelbė 9-ąją po-programinės sust</w:t>
      </w:r>
      <w:r w:rsidR="008C41CD">
        <w:rPr>
          <w:bdr w:val="none" w:sz="0" w:space="0" w:color="auto"/>
          <w:lang w:val="lt-LT"/>
        </w:rPr>
        <w:t xml:space="preserve">iprintos priežiūros ataskaitą. </w:t>
      </w:r>
      <w:r w:rsidR="008C41CD" w:rsidRPr="008C41CD">
        <w:rPr>
          <w:bdr w:val="none" w:sz="0" w:space="0" w:color="auto"/>
          <w:lang w:val="lt-LT"/>
        </w:rPr>
        <w:t>Ataskaitoje teigiama, kad Graikijos ekonomika 2020 m. susitraukė 10%, palyginus su 2019 m., ir prognozuojamas tik dalinis jos atsigavimas 2021 m. Graikijos ekonomiką ypatingai neigiamai paveikė turizmo sektoriaus susitraukimas. ES finansinės priemonės darbo netekusiems asmenims (SURE ir ESF) buvo veiksmingos ir nedarbo lygis, nepaisant didelio ekonominio nu</w:t>
      </w:r>
      <w:r w:rsidR="008C41CD" w:rsidRPr="008C41CD">
        <w:rPr>
          <w:bdr w:val="none" w:sz="0" w:space="0" w:color="auto"/>
          <w:lang w:val="lt-LT"/>
        </w:rPr>
        <w:t>o</w:t>
      </w:r>
      <w:r w:rsidR="008C41CD" w:rsidRPr="008C41CD">
        <w:rPr>
          <w:bdr w:val="none" w:sz="0" w:space="0" w:color="auto"/>
          <w:lang w:val="lt-LT"/>
        </w:rPr>
        <w:t>smukio, iš esmės išliko stabilus.</w:t>
      </w:r>
    </w:p>
    <w:p w:rsidR="00D9296E" w:rsidRPr="005A71D9" w:rsidRDefault="008C41CD" w:rsidP="008C41CD">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8C41CD">
        <w:rPr>
          <w:bdr w:val="none" w:sz="0" w:space="0" w:color="auto"/>
          <w:lang w:val="lt-LT"/>
        </w:rPr>
        <w:t>Nepaisant sudėtingų aplinkybių, valdžios institucijoms pavyko atlikti keletą svarbių pokyčių švi</w:t>
      </w:r>
      <w:r w:rsidRPr="008C41CD">
        <w:rPr>
          <w:bdr w:val="none" w:sz="0" w:space="0" w:color="auto"/>
          <w:lang w:val="lt-LT"/>
        </w:rPr>
        <w:t>e</w:t>
      </w:r>
      <w:r w:rsidRPr="008C41CD">
        <w:rPr>
          <w:bdr w:val="none" w:sz="0" w:space="0" w:color="auto"/>
          <w:lang w:val="lt-LT"/>
        </w:rPr>
        <w:t>timo, valstybės turto valdymo, privatizavimo i</w:t>
      </w:r>
      <w:r>
        <w:rPr>
          <w:bdr w:val="none" w:sz="0" w:space="0" w:color="auto"/>
          <w:lang w:val="lt-LT"/>
        </w:rPr>
        <w:t xml:space="preserve">r energetikos politikos srityse. </w:t>
      </w:r>
      <w:r w:rsidR="00D9296E" w:rsidRPr="00D9296E">
        <w:rPr>
          <w:bdr w:val="none" w:sz="0" w:space="0" w:color="auto"/>
          <w:lang w:val="lt-LT"/>
        </w:rPr>
        <w:t>Taip pat Graikija toliau tęsė pagrindinių reformų įgyvendinimą viešųjų finansų valdymo, viešojo administravimo srityse. Tačiau bendras reformų įgyvendinimo tempas sulėtėjo.</w:t>
      </w:r>
    </w:p>
    <w:p w:rsidR="005A71D9" w:rsidRPr="005A71D9" w:rsidRDefault="005A71D9" w:rsidP="005A71D9">
      <w:pPr>
        <w:widowControl w:val="0"/>
        <w:pBdr>
          <w:top w:val="single" w:sz="4" w:space="1" w:color="auto"/>
          <w:left w:val="single" w:sz="4" w:space="4" w:color="auto"/>
          <w:bottom w:val="single" w:sz="4" w:space="1" w:color="auto"/>
          <w:right w:val="single" w:sz="4" w:space="4" w:color="auto"/>
          <w:between w:val="none" w:sz="0" w:space="0" w:color="auto"/>
          <w:bar w:val="none" w:sz="0" w:color="auto"/>
        </w:pBdr>
        <w:tabs>
          <w:tab w:val="left" w:pos="567"/>
        </w:tabs>
        <w:suppressAutoHyphens/>
        <w:autoSpaceDN w:val="0"/>
        <w:jc w:val="both"/>
        <w:textAlignment w:val="baseline"/>
        <w:rPr>
          <w:rFonts w:hAnsi="Arial Unicode MS" w:cs="Arial Unicode MS"/>
          <w:color w:val="000000"/>
          <w:u w:color="000000"/>
          <w:bdr w:val="none" w:sz="0" w:space="0" w:color="auto"/>
          <w:lang w:val="lt-LT"/>
        </w:rPr>
      </w:pPr>
      <w:r w:rsidRPr="005A71D9">
        <w:rPr>
          <w:rFonts w:hAnsi="Arial Unicode MS" w:cs="Arial Unicode MS"/>
          <w:color w:val="000000"/>
          <w:u w:color="000000"/>
          <w:bdr w:val="none" w:sz="0" w:space="0" w:color="auto"/>
          <w:lang w:val="lt-LT"/>
        </w:rPr>
        <w:t xml:space="preserve"> </w:t>
      </w:r>
    </w:p>
    <w:p w:rsidR="005A71D9" w:rsidRPr="00D9296E" w:rsidRDefault="005A71D9" w:rsidP="005A71D9">
      <w:pPr>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FFFFFF"/>
        <w:jc w:val="both"/>
        <w:rPr>
          <w:u w:val="single"/>
          <w:bdr w:val="none" w:sz="0" w:space="0" w:color="auto"/>
          <w:lang w:val="lt-LT"/>
        </w:rPr>
      </w:pPr>
      <w:r w:rsidRPr="005A71D9">
        <w:rPr>
          <w:b/>
          <w:u w:val="single"/>
          <w:bdr w:val="none" w:sz="0" w:space="0" w:color="auto"/>
          <w:lang w:val="lt-LT"/>
        </w:rPr>
        <w:t>Lietuvos pozicija.</w:t>
      </w:r>
      <w:r w:rsidRPr="005A71D9">
        <w:rPr>
          <w:b/>
          <w:bdr w:val="none" w:sz="0" w:space="0" w:color="auto"/>
          <w:lang w:val="lt-LT"/>
        </w:rPr>
        <w:t xml:space="preserve"> </w:t>
      </w:r>
      <w:r w:rsidR="008C41CD" w:rsidRPr="00D9296E">
        <w:rPr>
          <w:bdr w:val="none" w:sz="0" w:space="0" w:color="auto"/>
          <w:lang w:val="lt-LT"/>
        </w:rPr>
        <w:t>Pritariame Graikijos po-programinės politikos vertinimo misijos ataskaitai.</w:t>
      </w:r>
    </w:p>
    <w:p w:rsidR="005A71D9" w:rsidRPr="005A71D9" w:rsidRDefault="005A71D9" w:rsidP="005A71D9">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u w:color="000000"/>
          <w:bdr w:val="none" w:sz="0" w:space="0" w:color="auto"/>
          <w:lang w:val="lt-LT"/>
        </w:rPr>
      </w:pPr>
      <w:r w:rsidRPr="005A71D9">
        <w:rPr>
          <w:color w:val="000000"/>
          <w:u w:color="000000"/>
          <w:bdr w:val="none" w:sz="0" w:space="0" w:color="auto"/>
          <w:lang w:val="lt-LT"/>
        </w:rPr>
        <w:t xml:space="preserve"> </w:t>
      </w:r>
    </w:p>
    <w:p w:rsidR="005A71D9" w:rsidRPr="005A71D9" w:rsidRDefault="008C41CD" w:rsidP="005A71D9">
      <w:pPr>
        <w:pBdr>
          <w:top w:val="single" w:sz="4" w:space="1" w:color="auto"/>
          <w:left w:val="single" w:sz="4" w:space="4" w:color="auto"/>
          <w:bottom w:val="single" w:sz="4" w:space="1" w:color="auto"/>
          <w:right w:val="single" w:sz="4" w:space="4" w:color="auto"/>
          <w:between w:val="none" w:sz="0" w:space="0" w:color="auto"/>
          <w:bar w:val="none" w:sz="0" w:color="auto"/>
        </w:pBdr>
        <w:jc w:val="both"/>
        <w:rPr>
          <w:b/>
          <w:color w:val="202124"/>
          <w:bdr w:val="none" w:sz="0" w:space="0" w:color="auto"/>
          <w:lang w:val="lt-LT"/>
        </w:rPr>
      </w:pPr>
      <w:r>
        <w:rPr>
          <w:b/>
          <w:color w:val="202124"/>
          <w:bdr w:val="none" w:sz="0" w:space="0" w:color="auto"/>
          <w:lang w:val="lt-LT"/>
        </w:rPr>
        <w:t>4. Pasiruošimas tarptautiniams susitikimams įskaitant valiutų kursų tendencijas</w:t>
      </w:r>
    </w:p>
    <w:p w:rsidR="005A71D9" w:rsidRPr="005A71D9" w:rsidRDefault="005A71D9" w:rsidP="008C41CD">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5A71D9">
        <w:rPr>
          <w:b/>
          <w:u w:val="single"/>
          <w:bdr w:val="none" w:sz="0" w:space="0" w:color="auto"/>
          <w:lang w:val="lt-LT"/>
        </w:rPr>
        <w:t>Klausimo esmė.</w:t>
      </w:r>
      <w:r w:rsidRPr="005A71D9">
        <w:rPr>
          <w:bdr w:val="none" w:sz="0" w:space="0" w:color="auto"/>
          <w:lang w:val="lt-LT"/>
        </w:rPr>
        <w:t xml:space="preserve"> </w:t>
      </w:r>
      <w:r w:rsidR="00D9296E" w:rsidRPr="00D9296E">
        <w:rPr>
          <w:bdr w:val="none" w:sz="0" w:space="0" w:color="auto"/>
          <w:lang w:val="lt-LT"/>
        </w:rPr>
        <w:t>Pasak Europos Komisijos euro kursas (vertinant nominalų efektyvų valiutos ku</w:t>
      </w:r>
      <w:r w:rsidR="00D9296E" w:rsidRPr="00D9296E">
        <w:rPr>
          <w:bdr w:val="none" w:sz="0" w:space="0" w:color="auto"/>
          <w:lang w:val="lt-LT"/>
        </w:rPr>
        <w:t>r</w:t>
      </w:r>
      <w:r w:rsidR="00D9296E" w:rsidRPr="00D9296E">
        <w:rPr>
          <w:bdr w:val="none" w:sz="0" w:space="0" w:color="auto"/>
          <w:lang w:val="lt-LT"/>
        </w:rPr>
        <w:t>są (NEER)) buvo stabilus tarp 2020 m. rugpjūčio ir 2021 m. sausio mėn. Nepasikeitusio NEER priežastis yra euro stiprėjimas dolerio</w:t>
      </w:r>
      <w:r w:rsidR="00D9296E">
        <w:rPr>
          <w:bdr w:val="none" w:sz="0" w:space="0" w:color="auto"/>
          <w:lang w:val="lt-LT"/>
        </w:rPr>
        <w:t xml:space="preserve"> atžvilgiu, bet silpnėjimas Kinijos</w:t>
      </w:r>
      <w:r w:rsidR="00D9296E" w:rsidRPr="00D9296E">
        <w:rPr>
          <w:bdr w:val="none" w:sz="0" w:space="0" w:color="auto"/>
          <w:lang w:val="lt-LT"/>
        </w:rPr>
        <w:t xml:space="preserve"> juanio, besivystančių šalių valiutų atžvilgiu ir prekių valiutų (</w:t>
      </w:r>
      <w:proofErr w:type="spellStart"/>
      <w:r w:rsidR="00D9296E" w:rsidRPr="0044636B">
        <w:rPr>
          <w:i/>
          <w:bdr w:val="none" w:sz="0" w:space="0" w:color="auto"/>
          <w:lang w:val="lt-LT"/>
        </w:rPr>
        <w:t>commodity</w:t>
      </w:r>
      <w:proofErr w:type="spellEnd"/>
      <w:r w:rsidR="00D9296E" w:rsidRPr="0044636B">
        <w:rPr>
          <w:i/>
          <w:bdr w:val="none" w:sz="0" w:space="0" w:color="auto"/>
          <w:lang w:val="lt-LT"/>
        </w:rPr>
        <w:t xml:space="preserve"> </w:t>
      </w:r>
      <w:proofErr w:type="spellStart"/>
      <w:r w:rsidR="00D9296E" w:rsidRPr="0044636B">
        <w:rPr>
          <w:i/>
          <w:bdr w:val="none" w:sz="0" w:space="0" w:color="auto"/>
          <w:lang w:val="lt-LT"/>
        </w:rPr>
        <w:t>currencies</w:t>
      </w:r>
      <w:proofErr w:type="spellEnd"/>
      <w:r w:rsidR="00D9296E" w:rsidRPr="00D9296E">
        <w:rPr>
          <w:bdr w:val="none" w:sz="0" w:space="0" w:color="auto"/>
          <w:lang w:val="lt-LT"/>
        </w:rPr>
        <w:t>) atžvilgiu. Kinijos juanio stiprėjimas e</w:t>
      </w:r>
      <w:r w:rsidR="00D9296E" w:rsidRPr="00D9296E">
        <w:rPr>
          <w:bdr w:val="none" w:sz="0" w:space="0" w:color="auto"/>
          <w:lang w:val="lt-LT"/>
        </w:rPr>
        <w:t>u</w:t>
      </w:r>
      <w:r w:rsidR="00D9296E" w:rsidRPr="00D9296E">
        <w:rPr>
          <w:bdr w:val="none" w:sz="0" w:space="0" w:color="auto"/>
          <w:lang w:val="lt-LT"/>
        </w:rPr>
        <w:t>ro ir dolerio atžvilgiu yra susijęs su greitu Kinijos ekonomikos atsigavimu ir pagerėjusiomis gl</w:t>
      </w:r>
      <w:r w:rsidR="00D9296E" w:rsidRPr="00D9296E">
        <w:rPr>
          <w:bdr w:val="none" w:sz="0" w:space="0" w:color="auto"/>
          <w:lang w:val="lt-LT"/>
        </w:rPr>
        <w:t>o</w:t>
      </w:r>
      <w:r w:rsidR="00D9296E" w:rsidRPr="00D9296E">
        <w:rPr>
          <w:bdr w:val="none" w:sz="0" w:space="0" w:color="auto"/>
          <w:lang w:val="lt-LT"/>
        </w:rPr>
        <w:t xml:space="preserve">balios ekonomikos perspektyvomis. </w:t>
      </w:r>
      <w:r w:rsidR="00D9296E">
        <w:rPr>
          <w:bdr w:val="none" w:sz="0" w:space="0" w:color="auto"/>
          <w:lang w:val="lt-LT"/>
        </w:rPr>
        <w:t>Š</w:t>
      </w:r>
      <w:r w:rsidR="00D9296E" w:rsidRPr="00D9296E">
        <w:rPr>
          <w:bdr w:val="none" w:sz="0" w:space="0" w:color="auto"/>
          <w:lang w:val="lt-LT"/>
        </w:rPr>
        <w:t>is penkių mėnesių laikotarpis pasižymėjo pasaulio saugiųjų valiutų kursų kritimu. Dolerio NEER per šį laikotarpį krito 5 proc. jena beveik 2 proc.</w:t>
      </w:r>
    </w:p>
    <w:p w:rsidR="005A71D9" w:rsidRPr="005A71D9" w:rsidRDefault="005A71D9" w:rsidP="005A71D9">
      <w:pPr>
        <w:pBdr>
          <w:top w:val="single" w:sz="4" w:space="1" w:color="auto"/>
          <w:left w:val="single" w:sz="4" w:space="4" w:color="auto"/>
          <w:bottom w:val="single" w:sz="4" w:space="1" w:color="auto"/>
          <w:right w:val="single" w:sz="4" w:space="4" w:color="auto"/>
          <w:between w:val="none" w:sz="0" w:space="0" w:color="auto"/>
          <w:bar w:val="none" w:sz="0" w:color="auto"/>
        </w:pBdr>
        <w:rPr>
          <w:rFonts w:eastAsia="Calibri"/>
          <w:b/>
          <w:bdr w:val="none" w:sz="0" w:space="0" w:color="auto"/>
          <w:lang w:val="lt-LT"/>
        </w:rPr>
      </w:pPr>
    </w:p>
    <w:p w:rsidR="005A71D9" w:rsidRDefault="005A71D9" w:rsidP="005A71D9">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u w:color="000000"/>
          <w:bdr w:val="none" w:sz="0" w:space="0" w:color="auto"/>
          <w:lang w:val="lt-LT"/>
        </w:rPr>
      </w:pPr>
      <w:r w:rsidRPr="005A71D9">
        <w:rPr>
          <w:b/>
          <w:color w:val="000000"/>
          <w:u w:val="single" w:color="000000"/>
          <w:bdr w:val="none" w:sz="0" w:space="0" w:color="auto"/>
          <w:lang w:val="lt-LT"/>
        </w:rPr>
        <w:t>Lietuvos pozicija.</w:t>
      </w:r>
      <w:r w:rsidRPr="005A71D9">
        <w:rPr>
          <w:color w:val="000000"/>
          <w:u w:color="000000"/>
          <w:bdr w:val="none" w:sz="0" w:space="0" w:color="auto"/>
          <w:lang w:val="lt-LT"/>
        </w:rPr>
        <w:t xml:space="preserve"> </w:t>
      </w:r>
      <w:r w:rsidR="00D9296E">
        <w:rPr>
          <w:color w:val="000000"/>
          <w:u w:color="000000"/>
          <w:bdr w:val="none" w:sz="0" w:space="0" w:color="auto"/>
          <w:lang w:val="lt-LT"/>
        </w:rPr>
        <w:t>Išklausyti informaciją.</w:t>
      </w:r>
    </w:p>
    <w:p w:rsidR="008C41CD" w:rsidRDefault="008C41CD" w:rsidP="005A71D9">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u w:color="000000"/>
          <w:bdr w:val="none" w:sz="0" w:space="0" w:color="auto"/>
          <w:lang w:val="lt-LT"/>
        </w:rPr>
      </w:pPr>
    </w:p>
    <w:p w:rsidR="008C41CD" w:rsidRPr="00651ACB" w:rsidRDefault="008C41CD" w:rsidP="005A71D9">
      <w:pPr>
        <w:pBdr>
          <w:top w:val="single" w:sz="4" w:space="1" w:color="auto"/>
          <w:left w:val="single" w:sz="4" w:space="4" w:color="auto"/>
          <w:bottom w:val="single" w:sz="4" w:space="1" w:color="auto"/>
          <w:right w:val="single" w:sz="4" w:space="4" w:color="auto"/>
          <w:between w:val="none" w:sz="0" w:space="0" w:color="auto"/>
          <w:bar w:val="none" w:sz="0" w:color="auto"/>
        </w:pBdr>
        <w:jc w:val="both"/>
        <w:rPr>
          <w:b/>
          <w:color w:val="000000"/>
          <w:u w:color="000000"/>
          <w:bdr w:val="none" w:sz="0" w:space="0" w:color="auto"/>
          <w:lang w:val="lt-LT"/>
        </w:rPr>
      </w:pPr>
      <w:r>
        <w:rPr>
          <w:color w:val="000000"/>
          <w:u w:color="000000"/>
          <w:bdr w:val="none" w:sz="0" w:space="0" w:color="auto"/>
          <w:lang w:val="lt-LT"/>
        </w:rPr>
        <w:t xml:space="preserve">5. </w:t>
      </w:r>
      <w:r w:rsidR="00651ACB" w:rsidRPr="00651ACB">
        <w:rPr>
          <w:b/>
          <w:color w:val="000000"/>
          <w:u w:color="000000"/>
          <w:bdr w:val="none" w:sz="0" w:space="0" w:color="auto"/>
          <w:lang w:val="lt-LT"/>
        </w:rPr>
        <w:t>Pasirengimas Euro zonos viršūnių susitikimui</w:t>
      </w:r>
    </w:p>
    <w:p w:rsidR="00651ACB" w:rsidRPr="00651ACB" w:rsidRDefault="00651ACB" w:rsidP="00651ACB">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u w:color="000000"/>
          <w:bdr w:val="none" w:sz="0" w:space="0" w:color="auto"/>
          <w:lang w:val="lt-LT"/>
        </w:rPr>
      </w:pPr>
      <w:r w:rsidRPr="00651ACB">
        <w:rPr>
          <w:b/>
          <w:color w:val="000000"/>
          <w:u w:val="single"/>
          <w:bdr w:val="none" w:sz="0" w:space="0" w:color="auto"/>
          <w:lang w:val="lt-LT"/>
        </w:rPr>
        <w:t>Klausimo esmė</w:t>
      </w:r>
      <w:r>
        <w:rPr>
          <w:color w:val="000000"/>
          <w:u w:color="000000"/>
          <w:bdr w:val="none" w:sz="0" w:space="0" w:color="auto"/>
          <w:lang w:val="lt-LT"/>
        </w:rPr>
        <w:t xml:space="preserve">: </w:t>
      </w:r>
      <w:r w:rsidRPr="00651ACB">
        <w:rPr>
          <w:color w:val="000000"/>
          <w:u w:color="000000"/>
          <w:bdr w:val="none" w:sz="0" w:space="0" w:color="auto"/>
          <w:lang w:val="lt-LT"/>
        </w:rPr>
        <w:t>Rengiantis kovo mėn. pabaigoje vyksiančiam Euro zonos viršūnių susitikimui (Euro Summit), euro grupė išplėstiniu formatu aptars galimas lyderių susitikimo diskusijų temas.</w:t>
      </w:r>
    </w:p>
    <w:p w:rsidR="00651ACB" w:rsidRPr="00651ACB" w:rsidRDefault="00651ACB" w:rsidP="00651ACB">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u w:color="000000"/>
          <w:bdr w:val="none" w:sz="0" w:space="0" w:color="auto"/>
          <w:lang w:val="lt-LT"/>
        </w:rPr>
      </w:pPr>
      <w:r>
        <w:rPr>
          <w:color w:val="000000"/>
          <w:u w:color="000000"/>
          <w:bdr w:val="none" w:sz="0" w:space="0" w:color="auto"/>
          <w:lang w:val="lt-LT"/>
        </w:rPr>
        <w:t xml:space="preserve">Euro zonos viršūnių susitikime preliminariai </w:t>
      </w:r>
      <w:r w:rsidR="00970FB0">
        <w:rPr>
          <w:color w:val="000000"/>
          <w:u w:color="000000"/>
          <w:bdr w:val="none" w:sz="0" w:space="0" w:color="auto"/>
          <w:lang w:val="lt-LT"/>
        </w:rPr>
        <w:t>n</w:t>
      </w:r>
      <w:r w:rsidRPr="00651ACB">
        <w:rPr>
          <w:color w:val="000000"/>
          <w:u w:color="000000"/>
          <w:bdr w:val="none" w:sz="0" w:space="0" w:color="auto"/>
          <w:lang w:val="lt-LT"/>
        </w:rPr>
        <w:t>umatomos diskusijos šiais klausimais:</w:t>
      </w:r>
    </w:p>
    <w:p w:rsidR="00651ACB" w:rsidRPr="00651ACB" w:rsidRDefault="00651ACB" w:rsidP="00651ACB">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u w:color="000000"/>
          <w:bdr w:val="none" w:sz="0" w:space="0" w:color="auto"/>
          <w:lang w:val="lt-LT"/>
        </w:rPr>
      </w:pPr>
      <w:r w:rsidRPr="00651ACB">
        <w:rPr>
          <w:color w:val="000000"/>
          <w:u w:color="000000"/>
          <w:bdr w:val="none" w:sz="0" w:space="0" w:color="auto"/>
          <w:lang w:val="lt-LT"/>
        </w:rPr>
        <w:t xml:space="preserve">a) ekonominė </w:t>
      </w:r>
      <w:r>
        <w:rPr>
          <w:color w:val="000000"/>
          <w:u w:color="000000"/>
          <w:bdr w:val="none" w:sz="0" w:space="0" w:color="auto"/>
          <w:lang w:val="lt-LT"/>
        </w:rPr>
        <w:t>situacija;</w:t>
      </w:r>
    </w:p>
    <w:p w:rsidR="00651ACB" w:rsidRDefault="00651ACB" w:rsidP="00651ACB">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u w:color="000000"/>
          <w:bdr w:val="none" w:sz="0" w:space="0" w:color="auto"/>
          <w:lang w:val="lt-LT"/>
        </w:rPr>
      </w:pPr>
      <w:r w:rsidRPr="00651ACB">
        <w:rPr>
          <w:color w:val="000000"/>
          <w:u w:color="000000"/>
          <w:bdr w:val="none" w:sz="0" w:space="0" w:color="auto"/>
          <w:lang w:val="lt-LT"/>
        </w:rPr>
        <w:t>b) tarptautinis euro stiprinimas remiantis sausio 19 d. paskelbtu Europos Komisijos komunikatu dėl ES ekonomikos ir finansų sistemos atvirumo, stiprybės ir atsparumo didinimo (toliau – kom</w:t>
      </w:r>
      <w:r w:rsidRPr="00651ACB">
        <w:rPr>
          <w:color w:val="000000"/>
          <w:u w:color="000000"/>
          <w:bdr w:val="none" w:sz="0" w:space="0" w:color="auto"/>
          <w:lang w:val="lt-LT"/>
        </w:rPr>
        <w:t>u</w:t>
      </w:r>
      <w:r w:rsidRPr="00651ACB">
        <w:rPr>
          <w:color w:val="000000"/>
          <w:u w:color="000000"/>
          <w:bdr w:val="none" w:sz="0" w:space="0" w:color="auto"/>
          <w:lang w:val="lt-LT"/>
        </w:rPr>
        <w:t xml:space="preserve">nikatas). Dėmesys būtų skiriamas pirmam komunikato blokui – euro stiprinimui ir kiek jis gali prisidėti prie žalinimo, </w:t>
      </w:r>
      <w:proofErr w:type="spellStart"/>
      <w:r w:rsidRPr="00651ACB">
        <w:rPr>
          <w:color w:val="000000"/>
          <w:u w:color="000000"/>
          <w:bdr w:val="none" w:sz="0" w:space="0" w:color="auto"/>
          <w:lang w:val="lt-LT"/>
        </w:rPr>
        <w:t>skaitmeninimo</w:t>
      </w:r>
      <w:proofErr w:type="spellEnd"/>
      <w:r w:rsidRPr="00651ACB">
        <w:rPr>
          <w:color w:val="000000"/>
          <w:u w:color="000000"/>
          <w:bdr w:val="none" w:sz="0" w:space="0" w:color="auto"/>
          <w:lang w:val="lt-LT"/>
        </w:rPr>
        <w:t>, tvaraus finansavimo.</w:t>
      </w:r>
    </w:p>
    <w:p w:rsidR="00651ACB" w:rsidRDefault="00651ACB" w:rsidP="00651ACB">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u w:color="000000"/>
          <w:bdr w:val="none" w:sz="0" w:space="0" w:color="auto"/>
          <w:lang w:val="lt-LT"/>
        </w:rPr>
      </w:pPr>
    </w:p>
    <w:p w:rsidR="00651ACB" w:rsidRPr="0058519B" w:rsidRDefault="00651ACB" w:rsidP="0058519B">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u w:color="000000"/>
          <w:bdr w:val="none" w:sz="0" w:space="0" w:color="auto"/>
          <w:lang w:val="lt-LT"/>
        </w:rPr>
      </w:pPr>
      <w:r w:rsidRPr="005A71D9">
        <w:rPr>
          <w:b/>
          <w:color w:val="000000"/>
          <w:u w:val="single" w:color="000000"/>
          <w:bdr w:val="none" w:sz="0" w:space="0" w:color="auto"/>
          <w:lang w:val="lt-LT"/>
        </w:rPr>
        <w:t>Lietuvos pozicija.</w:t>
      </w:r>
      <w:r>
        <w:rPr>
          <w:color w:val="000000"/>
          <w:u w:color="000000"/>
          <w:bdr w:val="none" w:sz="0" w:space="0" w:color="auto"/>
          <w:lang w:val="lt-LT"/>
        </w:rPr>
        <w:t xml:space="preserve"> </w:t>
      </w:r>
      <w:r w:rsidRPr="00651ACB">
        <w:rPr>
          <w:bdr w:val="none" w:sz="0" w:space="0" w:color="auto"/>
          <w:lang w:val="lt-LT"/>
        </w:rPr>
        <w:t>Sutinkame, kad stipresnis tarptautinis euro vaidmuo prisidėtų prie ekonominės ir finansų sistemos stabilumo ir atsparumo. Bankų sąjunga yra vienas iš svarbiausių projektų, todėl būtina dirbti kartu, kad jį užbaigtume, sukurdami trūkstamą trečiąjį Bankų sąjungos ramstį – be</w:t>
      </w:r>
      <w:r w:rsidRPr="00651ACB">
        <w:rPr>
          <w:bdr w:val="none" w:sz="0" w:space="0" w:color="auto"/>
          <w:lang w:val="lt-LT"/>
        </w:rPr>
        <w:t>n</w:t>
      </w:r>
      <w:r w:rsidRPr="00651ACB">
        <w:rPr>
          <w:bdr w:val="none" w:sz="0" w:space="0" w:color="auto"/>
          <w:lang w:val="lt-LT"/>
        </w:rPr>
        <w:t>drą Europos indėlių draudimo sistemą, siekiant ateityje įveikti dar didesnius iššūkius bankų sekt</w:t>
      </w:r>
      <w:r w:rsidRPr="00651ACB">
        <w:rPr>
          <w:bdr w:val="none" w:sz="0" w:space="0" w:color="auto"/>
          <w:lang w:val="lt-LT"/>
        </w:rPr>
        <w:t>o</w:t>
      </w:r>
      <w:r w:rsidRPr="00651ACB">
        <w:rPr>
          <w:bdr w:val="none" w:sz="0" w:space="0" w:color="auto"/>
          <w:lang w:val="lt-LT"/>
        </w:rPr>
        <w:t>riui ir ES finansiniam stabilumui. Manome, kad Kapitalo rinkų sąjunga padės sustiprinti Europos finansų sistemą, paskatins ekonomikos plėtrą bei didins ES konkurencingumą globaliu mastu.</w:t>
      </w:r>
    </w:p>
    <w:p w:rsidR="005A71D9" w:rsidRPr="0058519B" w:rsidRDefault="00651ACB" w:rsidP="0058519B">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651ACB">
        <w:rPr>
          <w:bdr w:val="none" w:sz="0" w:space="0" w:color="auto"/>
          <w:lang w:val="lt-LT"/>
        </w:rPr>
        <w:lastRenderedPageBreak/>
        <w:t>Pritariame tolimesnėms diskusijoms dėl skaitmeninio euro</w:t>
      </w:r>
      <w:r w:rsidR="00970FB0">
        <w:rPr>
          <w:bdr w:val="none" w:sz="0" w:space="0" w:color="auto"/>
          <w:lang w:val="lt-LT"/>
        </w:rPr>
        <w:t>,</w:t>
      </w:r>
      <w:r w:rsidR="0058519B">
        <w:rPr>
          <w:bdr w:val="none" w:sz="0" w:space="0" w:color="auto"/>
          <w:lang w:val="lt-LT"/>
        </w:rPr>
        <w:t xml:space="preserve"> </w:t>
      </w:r>
      <w:r w:rsidRPr="00651ACB">
        <w:rPr>
          <w:bdr w:val="none" w:sz="0" w:space="0" w:color="auto"/>
          <w:lang w:val="lt-LT"/>
        </w:rPr>
        <w:t xml:space="preserve">atsižvelgiant į poveikį finansiniam stabilumui. Pasisakome už tai, kad sprendimas dėl skaitmeninio euro dizaino turėtų būti atidžiai </w:t>
      </w:r>
      <w:r w:rsidR="00970FB0">
        <w:rPr>
          <w:bdr w:val="none" w:sz="0" w:space="0" w:color="auto"/>
          <w:lang w:val="lt-LT"/>
        </w:rPr>
        <w:t>įvertintas</w:t>
      </w:r>
      <w:r w:rsidRPr="00651ACB">
        <w:rPr>
          <w:bdr w:val="none" w:sz="0" w:space="0" w:color="auto"/>
          <w:lang w:val="lt-LT"/>
        </w:rPr>
        <w:t xml:space="preserve">, </w:t>
      </w:r>
      <w:r w:rsidR="00970FB0">
        <w:rPr>
          <w:bdr w:val="none" w:sz="0" w:space="0" w:color="auto"/>
          <w:lang w:val="lt-LT"/>
        </w:rPr>
        <w:t>siekiant</w:t>
      </w:r>
      <w:r w:rsidRPr="00651ACB">
        <w:rPr>
          <w:bdr w:val="none" w:sz="0" w:space="0" w:color="auto"/>
          <w:lang w:val="lt-LT"/>
        </w:rPr>
        <w:t xml:space="preserve"> užtikrint</w:t>
      </w:r>
      <w:r w:rsidR="00970FB0">
        <w:rPr>
          <w:bdr w:val="none" w:sz="0" w:space="0" w:color="auto"/>
          <w:lang w:val="lt-LT"/>
        </w:rPr>
        <w:t>i</w:t>
      </w:r>
      <w:r w:rsidRPr="00651ACB">
        <w:rPr>
          <w:bdr w:val="none" w:sz="0" w:space="0" w:color="auto"/>
          <w:lang w:val="lt-LT"/>
        </w:rPr>
        <w:t xml:space="preserve"> finans</w:t>
      </w:r>
      <w:r w:rsidR="00970FB0">
        <w:rPr>
          <w:bdr w:val="none" w:sz="0" w:space="0" w:color="auto"/>
          <w:lang w:val="lt-LT"/>
        </w:rPr>
        <w:t>ų</w:t>
      </w:r>
      <w:r w:rsidRPr="00651ACB">
        <w:rPr>
          <w:bdr w:val="none" w:sz="0" w:space="0" w:color="auto"/>
          <w:lang w:val="lt-LT"/>
        </w:rPr>
        <w:t xml:space="preserve"> stabilum</w:t>
      </w:r>
      <w:r w:rsidR="00970FB0">
        <w:rPr>
          <w:bdr w:val="none" w:sz="0" w:space="0" w:color="auto"/>
          <w:lang w:val="lt-LT"/>
        </w:rPr>
        <w:t>ą</w:t>
      </w:r>
      <w:r w:rsidRPr="00651ACB">
        <w:rPr>
          <w:bdr w:val="none" w:sz="0" w:space="0" w:color="auto"/>
          <w:lang w:val="lt-LT"/>
        </w:rPr>
        <w:t>, finansų sistemos vientisum</w:t>
      </w:r>
      <w:r w:rsidR="00970FB0">
        <w:rPr>
          <w:bdr w:val="none" w:sz="0" w:space="0" w:color="auto"/>
          <w:lang w:val="lt-LT"/>
        </w:rPr>
        <w:t>ą</w:t>
      </w:r>
      <w:r w:rsidRPr="00651ACB">
        <w:rPr>
          <w:bdr w:val="none" w:sz="0" w:space="0" w:color="auto"/>
          <w:lang w:val="lt-LT"/>
        </w:rPr>
        <w:t xml:space="preserve"> bei monetarinės pol</w:t>
      </w:r>
      <w:r w:rsidRPr="00651ACB">
        <w:rPr>
          <w:bdr w:val="none" w:sz="0" w:space="0" w:color="auto"/>
          <w:lang w:val="lt-LT"/>
        </w:rPr>
        <w:t>i</w:t>
      </w:r>
      <w:r w:rsidRPr="00651ACB">
        <w:rPr>
          <w:bdr w:val="none" w:sz="0" w:space="0" w:color="auto"/>
          <w:lang w:val="lt-LT"/>
        </w:rPr>
        <w:t>tikos tiksl</w:t>
      </w:r>
      <w:r w:rsidR="00970FB0">
        <w:rPr>
          <w:bdr w:val="none" w:sz="0" w:space="0" w:color="auto"/>
          <w:lang w:val="lt-LT"/>
        </w:rPr>
        <w:t>us</w:t>
      </w:r>
      <w:r w:rsidRPr="00651ACB">
        <w:rPr>
          <w:bdr w:val="none" w:sz="0" w:space="0" w:color="auto"/>
          <w:lang w:val="lt-LT"/>
        </w:rPr>
        <w:t>.</w:t>
      </w:r>
    </w:p>
    <w:sectPr w:rsidR="005A71D9" w:rsidRPr="0058519B" w:rsidSect="003A3602">
      <w:headerReference w:type="default" r:id="rId9"/>
      <w:footerReference w:type="default" r:id="rId10"/>
      <w:headerReference w:type="first" r:id="rId11"/>
      <w:pgSz w:w="11900" w:h="16840"/>
      <w:pgMar w:top="992" w:right="1134" w:bottom="567" w:left="1276"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E3A" w:rsidRDefault="00466E3A">
      <w:r>
        <w:separator/>
      </w:r>
    </w:p>
  </w:endnote>
  <w:endnote w:type="continuationSeparator" w:id="0">
    <w:p w:rsidR="00466E3A" w:rsidRDefault="00466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303930"/>
      <w:docPartObj>
        <w:docPartGallery w:val="Page Numbers (Bottom of Page)"/>
        <w:docPartUnique/>
      </w:docPartObj>
    </w:sdtPr>
    <w:sdtEndPr/>
    <w:sdtContent>
      <w:p w:rsidR="0015792A" w:rsidRDefault="0015792A">
        <w:pPr>
          <w:pStyle w:val="Porat"/>
          <w:jc w:val="right"/>
        </w:pPr>
        <w:r>
          <w:fldChar w:fldCharType="begin"/>
        </w:r>
        <w:r>
          <w:instrText>PAGE   \* MERGEFORMAT</w:instrText>
        </w:r>
        <w:r>
          <w:fldChar w:fldCharType="separate"/>
        </w:r>
        <w:r w:rsidR="005E025B" w:rsidRPr="005E025B">
          <w:rPr>
            <w:noProof/>
            <w:lang w:val="lt-LT"/>
          </w:rPr>
          <w:t>2</w:t>
        </w:r>
        <w:r>
          <w:fldChar w:fldCharType="end"/>
        </w:r>
      </w:p>
    </w:sdtContent>
  </w:sdt>
  <w:p w:rsidR="0015792A" w:rsidRDefault="0015792A">
    <w:pPr>
      <w:pStyle w:val="Header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E3A" w:rsidRDefault="00466E3A">
      <w:r>
        <w:separator/>
      </w:r>
    </w:p>
  </w:footnote>
  <w:footnote w:type="continuationSeparator" w:id="0">
    <w:p w:rsidR="00466E3A" w:rsidRDefault="00466E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92A" w:rsidRDefault="0015792A" w:rsidP="00EF0DF3">
    <w:pPr>
      <w:pStyle w:val="BodyA"/>
      <w:tabs>
        <w:tab w:val="center" w:pos="4153"/>
        <w:tab w:val="right" w:pos="8306"/>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92A" w:rsidRPr="0032625D" w:rsidRDefault="0015792A" w:rsidP="00B03FB8">
    <w:pPr>
      <w:pStyle w:val="BodyA"/>
      <w:tabs>
        <w:tab w:val="center" w:pos="4153"/>
        <w:tab w:val="right" w:pos="8306"/>
      </w:tabs>
      <w:jc w:val="right"/>
      <w:rPr>
        <w:rFonts w:hAnsi="Times New Roman" w:cs="Times New Roman"/>
        <w:i/>
        <w:iCs/>
        <w:lang w:val="lt-LT"/>
      </w:rPr>
    </w:pPr>
    <w:r w:rsidRPr="009A0A41">
      <w:rPr>
        <w:rFonts w:hAnsi="Times New Roman" w:cs="Times New Roman"/>
        <w:i/>
        <w:iCs/>
        <w:lang w:val="fr-FR"/>
      </w:rPr>
      <w:t>Finans</w:t>
    </w:r>
    <w:r w:rsidRPr="0032625D">
      <w:rPr>
        <w:rFonts w:hAnsi="Times New Roman" w:cs="Times New Roman"/>
        <w:i/>
        <w:iCs/>
        <w:lang w:val="lt-LT"/>
      </w:rPr>
      <w:t>ų ministerijos</w:t>
    </w:r>
    <w:r>
      <w:rPr>
        <w:rFonts w:hAnsi="Times New Roman" w:cs="Times New Roman"/>
        <w:i/>
        <w:iCs/>
        <w:lang w:val="lt-LT"/>
      </w:rPr>
      <w:t xml:space="preserve"> ES ir tarptautinių reikalų departamentas</w:t>
    </w:r>
  </w:p>
  <w:p w:rsidR="0015792A" w:rsidRPr="002677AA" w:rsidRDefault="0015792A" w:rsidP="00B03FB8">
    <w:pPr>
      <w:pStyle w:val="BodyA"/>
      <w:tabs>
        <w:tab w:val="center" w:pos="4153"/>
        <w:tab w:val="right" w:pos="8306"/>
      </w:tabs>
      <w:jc w:val="right"/>
      <w:rPr>
        <w:rFonts w:hAnsi="Times New Roman" w:cs="Times New Roman"/>
        <w:i/>
        <w:iCs/>
      </w:rPr>
    </w:pPr>
    <w:r>
      <w:rPr>
        <w:rFonts w:hAnsi="Times New Roman" w:cs="Times New Roman"/>
        <w:i/>
        <w:iCs/>
      </w:rPr>
      <w:t>2021-03-08</w:t>
    </w:r>
  </w:p>
  <w:p w:rsidR="0015792A" w:rsidRDefault="0015792A" w:rsidP="00EF0DF3">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98A1F7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01EB43AB"/>
    <w:multiLevelType w:val="multilevel"/>
    <w:tmpl w:val="6D2A71E2"/>
    <w:styleLink w:val="List6"/>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
    <w:nsid w:val="084040D8"/>
    <w:multiLevelType w:val="multilevel"/>
    <w:tmpl w:val="D206C2BE"/>
    <w:styleLink w:val="List7"/>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
    <w:nsid w:val="099D777C"/>
    <w:multiLevelType w:val="hybridMultilevel"/>
    <w:tmpl w:val="9328E98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0ACA16C0"/>
    <w:multiLevelType w:val="hybridMultilevel"/>
    <w:tmpl w:val="D430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0997178"/>
    <w:multiLevelType w:val="multilevel"/>
    <w:tmpl w:val="B28C49F2"/>
    <w:styleLink w:val="List5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6">
    <w:nsid w:val="13E97D1B"/>
    <w:multiLevelType w:val="hybridMultilevel"/>
    <w:tmpl w:val="8A4E59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1D91770D"/>
    <w:multiLevelType w:val="multilevel"/>
    <w:tmpl w:val="246A7C18"/>
    <w:styleLink w:val="Numbered"/>
    <w:lvl w:ilvl="0">
      <w:start w:val="1"/>
      <w:numFmt w:val="decimal"/>
      <w:lvlText w:val="%1."/>
      <w:lvlJc w:val="left"/>
      <w:rPr>
        <w:b/>
        <w:bCs/>
        <w:position w:val="0"/>
      </w:rPr>
    </w:lvl>
    <w:lvl w:ilvl="1">
      <w:start w:val="1"/>
      <w:numFmt w:val="decimal"/>
      <w:lvlText w:val="%2."/>
      <w:lvlJc w:val="left"/>
      <w:rPr>
        <w:b/>
        <w:bCs/>
        <w:position w:val="0"/>
      </w:rPr>
    </w:lvl>
    <w:lvl w:ilvl="2">
      <w:start w:val="1"/>
      <w:numFmt w:val="decimal"/>
      <w:lvlText w:val="%3."/>
      <w:lvlJc w:val="left"/>
      <w:rPr>
        <w:b/>
        <w:bCs/>
        <w:position w:val="0"/>
      </w:rPr>
    </w:lvl>
    <w:lvl w:ilvl="3">
      <w:start w:val="1"/>
      <w:numFmt w:val="decimal"/>
      <w:lvlText w:val="%4."/>
      <w:lvlJc w:val="left"/>
      <w:rPr>
        <w:b/>
        <w:bCs/>
        <w:position w:val="0"/>
      </w:rPr>
    </w:lvl>
    <w:lvl w:ilvl="4">
      <w:start w:val="1"/>
      <w:numFmt w:val="decimal"/>
      <w:lvlText w:val="%5."/>
      <w:lvlJc w:val="left"/>
      <w:rPr>
        <w:b/>
        <w:bCs/>
        <w:position w:val="0"/>
      </w:rPr>
    </w:lvl>
    <w:lvl w:ilvl="5">
      <w:start w:val="1"/>
      <w:numFmt w:val="decimal"/>
      <w:lvlText w:val="%6."/>
      <w:lvlJc w:val="left"/>
      <w:rPr>
        <w:b/>
        <w:bCs/>
        <w:position w:val="0"/>
      </w:rPr>
    </w:lvl>
    <w:lvl w:ilvl="6">
      <w:start w:val="1"/>
      <w:numFmt w:val="decimal"/>
      <w:lvlText w:val="%7."/>
      <w:lvlJc w:val="left"/>
      <w:rPr>
        <w:b/>
        <w:bCs/>
        <w:position w:val="0"/>
      </w:rPr>
    </w:lvl>
    <w:lvl w:ilvl="7">
      <w:start w:val="1"/>
      <w:numFmt w:val="decimal"/>
      <w:lvlText w:val="%8."/>
      <w:lvlJc w:val="left"/>
      <w:rPr>
        <w:b/>
        <w:bCs/>
        <w:position w:val="0"/>
      </w:rPr>
    </w:lvl>
    <w:lvl w:ilvl="8">
      <w:start w:val="1"/>
      <w:numFmt w:val="decimal"/>
      <w:lvlText w:val="%9."/>
      <w:lvlJc w:val="left"/>
      <w:rPr>
        <w:b/>
        <w:bCs/>
        <w:position w:val="0"/>
      </w:rPr>
    </w:lvl>
  </w:abstractNum>
  <w:abstractNum w:abstractNumId="8">
    <w:nsid w:val="1F499822"/>
    <w:multiLevelType w:val="hybridMultilevel"/>
    <w:tmpl w:val="5DBC5CFC"/>
    <w:lvl w:ilvl="0" w:tplc="04FC1316">
      <w:start w:val="1"/>
      <w:numFmt w:val="decimal"/>
      <w:lvlText w:val="%1."/>
      <w:lvlJc w:val="left"/>
      <w:pPr>
        <w:ind w:left="720" w:hanging="360"/>
      </w:pPr>
    </w:lvl>
    <w:lvl w:ilvl="1" w:tplc="18782510">
      <w:start w:val="1"/>
      <w:numFmt w:val="decimal"/>
      <w:lvlText w:val="%2."/>
      <w:lvlJc w:val="left"/>
      <w:pPr>
        <w:ind w:left="1440" w:hanging="360"/>
      </w:pPr>
    </w:lvl>
    <w:lvl w:ilvl="2" w:tplc="030033B1">
      <w:start w:val="1"/>
      <w:numFmt w:val="decimal"/>
      <w:lvlText w:val="%3."/>
      <w:lvlJc w:val="left"/>
      <w:pPr>
        <w:ind w:left="2160" w:hanging="360"/>
      </w:pPr>
    </w:lvl>
    <w:lvl w:ilvl="3" w:tplc="291E9D49">
      <w:start w:val="1"/>
      <w:numFmt w:val="decimal"/>
      <w:lvlText w:val="%4."/>
      <w:lvlJc w:val="left"/>
      <w:pPr>
        <w:ind w:left="2880" w:hanging="360"/>
      </w:pPr>
    </w:lvl>
    <w:lvl w:ilvl="4" w:tplc="2234CEA4">
      <w:start w:val="1"/>
      <w:numFmt w:val="decimal"/>
      <w:lvlText w:val="%5."/>
      <w:lvlJc w:val="left"/>
      <w:pPr>
        <w:ind w:left="3600" w:hanging="360"/>
      </w:pPr>
    </w:lvl>
    <w:lvl w:ilvl="5" w:tplc="41AD93D2">
      <w:start w:val="1"/>
      <w:numFmt w:val="decimal"/>
      <w:lvlText w:val="%6."/>
      <w:lvlJc w:val="left"/>
      <w:pPr>
        <w:ind w:left="4320" w:hanging="360"/>
      </w:pPr>
    </w:lvl>
    <w:lvl w:ilvl="6" w:tplc="31D73518">
      <w:start w:val="1"/>
      <w:numFmt w:val="decimal"/>
      <w:lvlText w:val="%7."/>
      <w:lvlJc w:val="left"/>
      <w:pPr>
        <w:ind w:left="5040" w:hanging="360"/>
      </w:pPr>
    </w:lvl>
    <w:lvl w:ilvl="7" w:tplc="52F6EB91">
      <w:start w:val="1"/>
      <w:numFmt w:val="decimal"/>
      <w:lvlText w:val="%8."/>
      <w:lvlJc w:val="left"/>
      <w:pPr>
        <w:ind w:left="5760" w:hanging="360"/>
      </w:pPr>
    </w:lvl>
    <w:lvl w:ilvl="8" w:tplc="1B115338">
      <w:start w:val="1"/>
      <w:numFmt w:val="decimal"/>
      <w:lvlText w:val="%9."/>
      <w:lvlJc w:val="left"/>
      <w:pPr>
        <w:ind w:left="6480" w:hanging="360"/>
      </w:pPr>
    </w:lvl>
  </w:abstractNum>
  <w:abstractNum w:abstractNumId="9">
    <w:nsid w:val="26345142"/>
    <w:multiLevelType w:val="multilevel"/>
    <w:tmpl w:val="08C27756"/>
    <w:styleLink w:val="List9"/>
    <w:lvl w:ilvl="0">
      <w:start w:val="1"/>
      <w:numFmt w:val="decimal"/>
      <w:lvlText w:val="%1."/>
      <w:lvlJc w:val="left"/>
      <w:pPr>
        <w:tabs>
          <w:tab w:val="num" w:pos="720"/>
        </w:tabs>
        <w:ind w:left="720" w:hanging="436"/>
      </w:pPr>
      <w:rPr>
        <w:position w:val="0"/>
        <w:sz w:val="24"/>
        <w:szCs w:val="24"/>
        <w:rtl w:val="0"/>
        <w:lang w:val="de-DE"/>
      </w:rPr>
    </w:lvl>
    <w:lvl w:ilvl="1">
      <w:start w:val="1"/>
      <w:numFmt w:val="lowerLetter"/>
      <w:lvlText w:val="%2."/>
      <w:lvlJc w:val="left"/>
      <w:pPr>
        <w:tabs>
          <w:tab w:val="num" w:pos="114"/>
        </w:tabs>
      </w:pPr>
      <w:rPr>
        <w:position w:val="0"/>
        <w:sz w:val="24"/>
        <w:szCs w:val="24"/>
        <w:rtl w:val="0"/>
        <w:lang w:val="de-DE"/>
      </w:rPr>
    </w:lvl>
    <w:lvl w:ilvl="2">
      <w:start w:val="1"/>
      <w:numFmt w:val="lowerRoman"/>
      <w:lvlText w:val="%3."/>
      <w:lvlJc w:val="left"/>
      <w:pPr>
        <w:tabs>
          <w:tab w:val="num" w:pos="114"/>
        </w:tabs>
      </w:pPr>
      <w:rPr>
        <w:position w:val="0"/>
        <w:sz w:val="24"/>
        <w:szCs w:val="24"/>
        <w:rtl w:val="0"/>
        <w:lang w:val="de-DE"/>
      </w:rPr>
    </w:lvl>
    <w:lvl w:ilvl="3">
      <w:start w:val="1"/>
      <w:numFmt w:val="decimal"/>
      <w:lvlText w:val="%4."/>
      <w:lvlJc w:val="left"/>
      <w:pPr>
        <w:tabs>
          <w:tab w:val="num" w:pos="114"/>
        </w:tabs>
      </w:pPr>
      <w:rPr>
        <w:position w:val="0"/>
        <w:sz w:val="24"/>
        <w:szCs w:val="24"/>
        <w:rtl w:val="0"/>
        <w:lang w:val="de-DE"/>
      </w:rPr>
    </w:lvl>
    <w:lvl w:ilvl="4">
      <w:start w:val="1"/>
      <w:numFmt w:val="lowerLetter"/>
      <w:lvlText w:val="%5."/>
      <w:lvlJc w:val="left"/>
      <w:pPr>
        <w:tabs>
          <w:tab w:val="num" w:pos="114"/>
        </w:tabs>
      </w:pPr>
      <w:rPr>
        <w:position w:val="0"/>
        <w:sz w:val="24"/>
        <w:szCs w:val="24"/>
        <w:rtl w:val="0"/>
        <w:lang w:val="de-DE"/>
      </w:rPr>
    </w:lvl>
    <w:lvl w:ilvl="5">
      <w:start w:val="1"/>
      <w:numFmt w:val="lowerRoman"/>
      <w:lvlText w:val="%6."/>
      <w:lvlJc w:val="left"/>
      <w:pPr>
        <w:tabs>
          <w:tab w:val="num" w:pos="114"/>
        </w:tabs>
      </w:pPr>
      <w:rPr>
        <w:position w:val="0"/>
        <w:sz w:val="24"/>
        <w:szCs w:val="24"/>
        <w:rtl w:val="0"/>
        <w:lang w:val="de-DE"/>
      </w:rPr>
    </w:lvl>
    <w:lvl w:ilvl="6">
      <w:start w:val="1"/>
      <w:numFmt w:val="decimal"/>
      <w:lvlText w:val="%7."/>
      <w:lvlJc w:val="left"/>
      <w:pPr>
        <w:tabs>
          <w:tab w:val="num" w:pos="114"/>
        </w:tabs>
      </w:pPr>
      <w:rPr>
        <w:position w:val="0"/>
        <w:sz w:val="24"/>
        <w:szCs w:val="24"/>
        <w:rtl w:val="0"/>
        <w:lang w:val="de-DE"/>
      </w:rPr>
    </w:lvl>
    <w:lvl w:ilvl="7">
      <w:start w:val="1"/>
      <w:numFmt w:val="lowerLetter"/>
      <w:lvlText w:val="%8."/>
      <w:lvlJc w:val="left"/>
      <w:pPr>
        <w:tabs>
          <w:tab w:val="num" w:pos="114"/>
        </w:tabs>
      </w:pPr>
      <w:rPr>
        <w:position w:val="0"/>
        <w:sz w:val="24"/>
        <w:szCs w:val="24"/>
        <w:rtl w:val="0"/>
        <w:lang w:val="de-DE"/>
      </w:rPr>
    </w:lvl>
    <w:lvl w:ilvl="8">
      <w:start w:val="1"/>
      <w:numFmt w:val="lowerRoman"/>
      <w:lvlText w:val="%9."/>
      <w:lvlJc w:val="left"/>
      <w:pPr>
        <w:tabs>
          <w:tab w:val="num" w:pos="114"/>
        </w:tabs>
      </w:pPr>
      <w:rPr>
        <w:position w:val="0"/>
        <w:sz w:val="24"/>
        <w:szCs w:val="24"/>
        <w:rtl w:val="0"/>
        <w:lang w:val="de-DE"/>
      </w:rPr>
    </w:lvl>
  </w:abstractNum>
  <w:abstractNum w:abstractNumId="10">
    <w:nsid w:val="2B0C1AE3"/>
    <w:multiLevelType w:val="multilevel"/>
    <w:tmpl w:val="4BAA2ACC"/>
    <w:styleLink w:val="List0"/>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1">
    <w:nsid w:val="335163A2"/>
    <w:multiLevelType w:val="multilevel"/>
    <w:tmpl w:val="2CA4E592"/>
    <w:styleLink w:val="List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2">
    <w:nsid w:val="39E42EBF"/>
    <w:multiLevelType w:val="multilevel"/>
    <w:tmpl w:val="FE32854E"/>
    <w:styleLink w:val="List8"/>
    <w:lvl w:ilvl="0">
      <w:numFmt w:val="bullet"/>
      <w:lvlText w:val="•"/>
      <w:lvlJc w:val="left"/>
      <w:pPr>
        <w:tabs>
          <w:tab w:val="num" w:pos="360"/>
        </w:tabs>
        <w:ind w:left="360" w:hanging="360"/>
      </w:pPr>
      <w:rPr>
        <w:position w:val="0"/>
        <w:sz w:val="24"/>
        <w:szCs w:val="24"/>
        <w:rtl w:val="0"/>
        <w:lang w:val="pt-PT"/>
      </w:rPr>
    </w:lvl>
    <w:lvl w:ilvl="1">
      <w:start w:val="1"/>
      <w:numFmt w:val="bullet"/>
      <w:lvlText w:val="o"/>
      <w:lvlJc w:val="left"/>
      <w:pPr>
        <w:tabs>
          <w:tab w:val="num" w:pos="114"/>
        </w:tabs>
      </w:pPr>
      <w:rPr>
        <w:position w:val="0"/>
        <w:sz w:val="24"/>
        <w:szCs w:val="24"/>
        <w:rtl w:val="0"/>
        <w:lang w:val="pt-PT"/>
      </w:rPr>
    </w:lvl>
    <w:lvl w:ilvl="2">
      <w:start w:val="1"/>
      <w:numFmt w:val="bullet"/>
      <w:lvlText w:val="▪"/>
      <w:lvlJc w:val="left"/>
      <w:pPr>
        <w:tabs>
          <w:tab w:val="num" w:pos="114"/>
        </w:tabs>
      </w:pPr>
      <w:rPr>
        <w:position w:val="0"/>
        <w:sz w:val="24"/>
        <w:szCs w:val="24"/>
        <w:rtl w:val="0"/>
        <w:lang w:val="pt-PT"/>
      </w:rPr>
    </w:lvl>
    <w:lvl w:ilvl="3">
      <w:start w:val="1"/>
      <w:numFmt w:val="bullet"/>
      <w:lvlText w:val="•"/>
      <w:lvlJc w:val="left"/>
      <w:pPr>
        <w:tabs>
          <w:tab w:val="num" w:pos="114"/>
        </w:tabs>
      </w:pPr>
      <w:rPr>
        <w:position w:val="0"/>
        <w:sz w:val="24"/>
        <w:szCs w:val="24"/>
        <w:rtl w:val="0"/>
        <w:lang w:val="pt-PT"/>
      </w:rPr>
    </w:lvl>
    <w:lvl w:ilvl="4">
      <w:start w:val="1"/>
      <w:numFmt w:val="bullet"/>
      <w:lvlText w:val="o"/>
      <w:lvlJc w:val="left"/>
      <w:pPr>
        <w:tabs>
          <w:tab w:val="num" w:pos="114"/>
        </w:tabs>
      </w:pPr>
      <w:rPr>
        <w:position w:val="0"/>
        <w:sz w:val="24"/>
        <w:szCs w:val="24"/>
        <w:rtl w:val="0"/>
        <w:lang w:val="pt-PT"/>
      </w:rPr>
    </w:lvl>
    <w:lvl w:ilvl="5">
      <w:start w:val="1"/>
      <w:numFmt w:val="bullet"/>
      <w:lvlText w:val="▪"/>
      <w:lvlJc w:val="left"/>
      <w:pPr>
        <w:tabs>
          <w:tab w:val="num" w:pos="114"/>
        </w:tabs>
      </w:pPr>
      <w:rPr>
        <w:position w:val="0"/>
        <w:sz w:val="24"/>
        <w:szCs w:val="24"/>
        <w:rtl w:val="0"/>
        <w:lang w:val="pt-PT"/>
      </w:rPr>
    </w:lvl>
    <w:lvl w:ilvl="6">
      <w:start w:val="1"/>
      <w:numFmt w:val="bullet"/>
      <w:lvlText w:val="•"/>
      <w:lvlJc w:val="left"/>
      <w:pPr>
        <w:tabs>
          <w:tab w:val="num" w:pos="114"/>
        </w:tabs>
      </w:pPr>
      <w:rPr>
        <w:position w:val="0"/>
        <w:sz w:val="24"/>
        <w:szCs w:val="24"/>
        <w:rtl w:val="0"/>
        <w:lang w:val="pt-PT"/>
      </w:rPr>
    </w:lvl>
    <w:lvl w:ilvl="7">
      <w:start w:val="1"/>
      <w:numFmt w:val="bullet"/>
      <w:lvlText w:val="o"/>
      <w:lvlJc w:val="left"/>
      <w:pPr>
        <w:tabs>
          <w:tab w:val="num" w:pos="114"/>
        </w:tabs>
      </w:pPr>
      <w:rPr>
        <w:position w:val="0"/>
        <w:sz w:val="24"/>
        <w:szCs w:val="24"/>
        <w:rtl w:val="0"/>
        <w:lang w:val="pt-PT"/>
      </w:rPr>
    </w:lvl>
    <w:lvl w:ilvl="8">
      <w:start w:val="1"/>
      <w:numFmt w:val="bullet"/>
      <w:lvlText w:val="▪"/>
      <w:lvlJc w:val="left"/>
      <w:pPr>
        <w:tabs>
          <w:tab w:val="num" w:pos="114"/>
        </w:tabs>
      </w:pPr>
      <w:rPr>
        <w:position w:val="0"/>
        <w:sz w:val="24"/>
        <w:szCs w:val="24"/>
        <w:rtl w:val="0"/>
        <w:lang w:val="pt-PT"/>
      </w:rPr>
    </w:lvl>
  </w:abstractNum>
  <w:abstractNum w:abstractNumId="13">
    <w:nsid w:val="3BB54D4F"/>
    <w:multiLevelType w:val="multilevel"/>
    <w:tmpl w:val="4E2EB03A"/>
    <w:styleLink w:val="List2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04"/>
        </w:tabs>
      </w:pPr>
      <w:rPr>
        <w:position w:val="0"/>
        <w:sz w:val="24"/>
        <w:szCs w:val="24"/>
        <w:rtl w:val="0"/>
      </w:rPr>
    </w:lvl>
    <w:lvl w:ilvl="2">
      <w:start w:val="1"/>
      <w:numFmt w:val="bullet"/>
      <w:lvlText w:val="▪"/>
      <w:lvlJc w:val="left"/>
      <w:pPr>
        <w:tabs>
          <w:tab w:val="num" w:pos="104"/>
        </w:tabs>
      </w:pPr>
      <w:rPr>
        <w:position w:val="0"/>
        <w:sz w:val="24"/>
        <w:szCs w:val="24"/>
        <w:rtl w:val="0"/>
      </w:rPr>
    </w:lvl>
    <w:lvl w:ilvl="3">
      <w:start w:val="1"/>
      <w:numFmt w:val="bullet"/>
      <w:lvlText w:val="•"/>
      <w:lvlJc w:val="left"/>
      <w:pPr>
        <w:tabs>
          <w:tab w:val="num" w:pos="104"/>
        </w:tabs>
      </w:pPr>
      <w:rPr>
        <w:position w:val="0"/>
        <w:sz w:val="24"/>
        <w:szCs w:val="24"/>
        <w:rtl w:val="0"/>
      </w:rPr>
    </w:lvl>
    <w:lvl w:ilvl="4">
      <w:start w:val="1"/>
      <w:numFmt w:val="bullet"/>
      <w:lvlText w:val="o"/>
      <w:lvlJc w:val="left"/>
      <w:pPr>
        <w:tabs>
          <w:tab w:val="num" w:pos="104"/>
        </w:tabs>
      </w:pPr>
      <w:rPr>
        <w:position w:val="0"/>
        <w:sz w:val="24"/>
        <w:szCs w:val="24"/>
        <w:rtl w:val="0"/>
      </w:rPr>
    </w:lvl>
    <w:lvl w:ilvl="5">
      <w:start w:val="1"/>
      <w:numFmt w:val="bullet"/>
      <w:lvlText w:val="▪"/>
      <w:lvlJc w:val="left"/>
      <w:pPr>
        <w:tabs>
          <w:tab w:val="num" w:pos="104"/>
        </w:tabs>
      </w:pPr>
      <w:rPr>
        <w:position w:val="0"/>
        <w:sz w:val="24"/>
        <w:szCs w:val="24"/>
        <w:rtl w:val="0"/>
      </w:rPr>
    </w:lvl>
    <w:lvl w:ilvl="6">
      <w:start w:val="1"/>
      <w:numFmt w:val="bullet"/>
      <w:lvlText w:val="•"/>
      <w:lvlJc w:val="left"/>
      <w:pPr>
        <w:tabs>
          <w:tab w:val="num" w:pos="104"/>
        </w:tabs>
      </w:pPr>
      <w:rPr>
        <w:position w:val="0"/>
        <w:sz w:val="24"/>
        <w:szCs w:val="24"/>
        <w:rtl w:val="0"/>
      </w:rPr>
    </w:lvl>
    <w:lvl w:ilvl="7">
      <w:start w:val="1"/>
      <w:numFmt w:val="bullet"/>
      <w:lvlText w:val="o"/>
      <w:lvlJc w:val="left"/>
      <w:pPr>
        <w:tabs>
          <w:tab w:val="num" w:pos="104"/>
        </w:tabs>
      </w:pPr>
      <w:rPr>
        <w:position w:val="0"/>
        <w:sz w:val="24"/>
        <w:szCs w:val="24"/>
        <w:rtl w:val="0"/>
      </w:rPr>
    </w:lvl>
    <w:lvl w:ilvl="8">
      <w:start w:val="1"/>
      <w:numFmt w:val="bullet"/>
      <w:lvlText w:val="▪"/>
      <w:lvlJc w:val="left"/>
      <w:pPr>
        <w:tabs>
          <w:tab w:val="num" w:pos="104"/>
        </w:tabs>
      </w:pPr>
      <w:rPr>
        <w:position w:val="0"/>
        <w:sz w:val="24"/>
        <w:szCs w:val="24"/>
        <w:rtl w:val="0"/>
      </w:rPr>
    </w:lvl>
  </w:abstractNum>
  <w:abstractNum w:abstractNumId="14">
    <w:nsid w:val="407A3803"/>
    <w:multiLevelType w:val="hybridMultilevel"/>
    <w:tmpl w:val="E7263AF4"/>
    <w:lvl w:ilvl="0" w:tplc="7302B284">
      <w:start w:val="15"/>
      <w:numFmt w:val="bullet"/>
      <w:lvlText w:val="-"/>
      <w:lvlJc w:val="left"/>
      <w:pPr>
        <w:ind w:left="36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417A2BED"/>
    <w:multiLevelType w:val="hybridMultilevel"/>
    <w:tmpl w:val="A1F81A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429D43A8"/>
    <w:multiLevelType w:val="multilevel"/>
    <w:tmpl w:val="730C09F4"/>
    <w:styleLink w:val="List3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7">
    <w:nsid w:val="465C6BD6"/>
    <w:multiLevelType w:val="multilevel"/>
    <w:tmpl w:val="9DE85620"/>
    <w:styleLink w:val="List4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8">
    <w:nsid w:val="68A138C1"/>
    <w:multiLevelType w:val="hybridMultilevel"/>
    <w:tmpl w:val="31B69DB8"/>
    <w:lvl w:ilvl="0" w:tplc="B4662E1C">
      <w:start w:val="1"/>
      <w:numFmt w:val="lowerLetter"/>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9">
    <w:nsid w:val="691E76B5"/>
    <w:multiLevelType w:val="multilevel"/>
    <w:tmpl w:val="A490CB52"/>
    <w:styleLink w:val="List10"/>
    <w:lvl w:ilvl="0">
      <w:start w:val="1"/>
      <w:numFmt w:val="decimal"/>
      <w:lvlText w:val="%1."/>
      <w:lvlJc w:val="left"/>
      <w:pPr>
        <w:tabs>
          <w:tab w:val="num" w:pos="360"/>
        </w:tabs>
        <w:ind w:left="360" w:hanging="349"/>
      </w:pPr>
      <w:rPr>
        <w:position w:val="0"/>
        <w:sz w:val="24"/>
        <w:szCs w:val="24"/>
        <w:rtl w:val="0"/>
        <w:lang w:val="es-ES_tradnl"/>
      </w:rPr>
    </w:lvl>
    <w:lvl w:ilvl="1">
      <w:start w:val="1"/>
      <w:numFmt w:val="lowerLetter"/>
      <w:lvlText w:val="%2."/>
      <w:lvlJc w:val="left"/>
      <w:pPr>
        <w:tabs>
          <w:tab w:val="num" w:pos="114"/>
        </w:tabs>
      </w:pPr>
      <w:rPr>
        <w:position w:val="0"/>
        <w:sz w:val="24"/>
        <w:szCs w:val="24"/>
        <w:rtl w:val="0"/>
        <w:lang w:val="es-ES_tradnl"/>
      </w:rPr>
    </w:lvl>
    <w:lvl w:ilvl="2">
      <w:start w:val="1"/>
      <w:numFmt w:val="lowerRoman"/>
      <w:lvlText w:val="%3."/>
      <w:lvlJc w:val="left"/>
      <w:pPr>
        <w:tabs>
          <w:tab w:val="num" w:pos="114"/>
        </w:tabs>
      </w:pPr>
      <w:rPr>
        <w:position w:val="0"/>
        <w:sz w:val="24"/>
        <w:szCs w:val="24"/>
        <w:rtl w:val="0"/>
        <w:lang w:val="es-ES_tradnl"/>
      </w:rPr>
    </w:lvl>
    <w:lvl w:ilvl="3">
      <w:start w:val="1"/>
      <w:numFmt w:val="decimal"/>
      <w:lvlText w:val="%4."/>
      <w:lvlJc w:val="left"/>
      <w:pPr>
        <w:tabs>
          <w:tab w:val="num" w:pos="114"/>
        </w:tabs>
      </w:pPr>
      <w:rPr>
        <w:position w:val="0"/>
        <w:sz w:val="24"/>
        <w:szCs w:val="24"/>
        <w:rtl w:val="0"/>
        <w:lang w:val="es-ES_tradnl"/>
      </w:rPr>
    </w:lvl>
    <w:lvl w:ilvl="4">
      <w:start w:val="1"/>
      <w:numFmt w:val="lowerLetter"/>
      <w:lvlText w:val="%5."/>
      <w:lvlJc w:val="left"/>
      <w:pPr>
        <w:tabs>
          <w:tab w:val="num" w:pos="114"/>
        </w:tabs>
      </w:pPr>
      <w:rPr>
        <w:position w:val="0"/>
        <w:sz w:val="24"/>
        <w:szCs w:val="24"/>
        <w:rtl w:val="0"/>
        <w:lang w:val="es-ES_tradnl"/>
      </w:rPr>
    </w:lvl>
    <w:lvl w:ilvl="5">
      <w:start w:val="1"/>
      <w:numFmt w:val="lowerRoman"/>
      <w:lvlText w:val="%6."/>
      <w:lvlJc w:val="left"/>
      <w:pPr>
        <w:tabs>
          <w:tab w:val="num" w:pos="114"/>
        </w:tabs>
      </w:pPr>
      <w:rPr>
        <w:position w:val="0"/>
        <w:sz w:val="24"/>
        <w:szCs w:val="24"/>
        <w:rtl w:val="0"/>
        <w:lang w:val="es-ES_tradnl"/>
      </w:rPr>
    </w:lvl>
    <w:lvl w:ilvl="6">
      <w:start w:val="1"/>
      <w:numFmt w:val="decimal"/>
      <w:lvlText w:val="%7."/>
      <w:lvlJc w:val="left"/>
      <w:pPr>
        <w:tabs>
          <w:tab w:val="num" w:pos="114"/>
        </w:tabs>
      </w:pPr>
      <w:rPr>
        <w:position w:val="0"/>
        <w:sz w:val="24"/>
        <w:szCs w:val="24"/>
        <w:rtl w:val="0"/>
        <w:lang w:val="es-ES_tradnl"/>
      </w:rPr>
    </w:lvl>
    <w:lvl w:ilvl="7">
      <w:start w:val="1"/>
      <w:numFmt w:val="lowerLetter"/>
      <w:lvlText w:val="%8."/>
      <w:lvlJc w:val="left"/>
      <w:pPr>
        <w:tabs>
          <w:tab w:val="num" w:pos="114"/>
        </w:tabs>
      </w:pPr>
      <w:rPr>
        <w:position w:val="0"/>
        <w:sz w:val="24"/>
        <w:szCs w:val="24"/>
        <w:rtl w:val="0"/>
        <w:lang w:val="es-ES_tradnl"/>
      </w:rPr>
    </w:lvl>
    <w:lvl w:ilvl="8">
      <w:start w:val="1"/>
      <w:numFmt w:val="lowerRoman"/>
      <w:lvlText w:val="%9."/>
      <w:lvlJc w:val="left"/>
      <w:pPr>
        <w:tabs>
          <w:tab w:val="num" w:pos="114"/>
        </w:tabs>
      </w:pPr>
      <w:rPr>
        <w:position w:val="0"/>
        <w:sz w:val="24"/>
        <w:szCs w:val="24"/>
        <w:rtl w:val="0"/>
        <w:lang w:val="es-ES_tradnl"/>
      </w:rPr>
    </w:lvl>
  </w:abstractNum>
  <w:num w:numId="1">
    <w:abstractNumId w:val="7"/>
  </w:num>
  <w:num w:numId="2">
    <w:abstractNumId w:val="10"/>
  </w:num>
  <w:num w:numId="3">
    <w:abstractNumId w:val="11"/>
  </w:num>
  <w:num w:numId="4">
    <w:abstractNumId w:val="13"/>
  </w:num>
  <w:num w:numId="5">
    <w:abstractNumId w:val="16"/>
  </w:num>
  <w:num w:numId="6">
    <w:abstractNumId w:val="17"/>
  </w:num>
  <w:num w:numId="7">
    <w:abstractNumId w:val="5"/>
  </w:num>
  <w:num w:numId="8">
    <w:abstractNumId w:val="1"/>
  </w:num>
  <w:num w:numId="9">
    <w:abstractNumId w:val="2"/>
  </w:num>
  <w:num w:numId="10">
    <w:abstractNumId w:val="12"/>
  </w:num>
  <w:num w:numId="11">
    <w:abstractNumId w:val="9"/>
  </w:num>
  <w:num w:numId="12">
    <w:abstractNumId w:val="19"/>
  </w:num>
  <w:num w:numId="13">
    <w:abstractNumId w:val="8"/>
  </w:num>
  <w:num w:numId="14">
    <w:abstractNumId w:val="14"/>
  </w:num>
  <w:num w:numId="15">
    <w:abstractNumId w:val="18"/>
  </w:num>
  <w:num w:numId="16">
    <w:abstractNumId w:val="0"/>
  </w:num>
  <w:num w:numId="17">
    <w:abstractNumId w:val="4"/>
  </w:num>
  <w:num w:numId="18">
    <w:abstractNumId w:val="6"/>
  </w:num>
  <w:num w:numId="19">
    <w:abstractNumId w:val="3"/>
  </w:num>
  <w:num w:numId="2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1296"/>
  <w:autoHyphenation/>
  <w:hyphenationZone w:val="396"/>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17F"/>
    <w:rsid w:val="000355E8"/>
    <w:rsid w:val="000372A7"/>
    <w:rsid w:val="000573E9"/>
    <w:rsid w:val="0007211E"/>
    <w:rsid w:val="00072EDE"/>
    <w:rsid w:val="000742B3"/>
    <w:rsid w:val="00085F32"/>
    <w:rsid w:val="00091F65"/>
    <w:rsid w:val="000B653F"/>
    <w:rsid w:val="00103D35"/>
    <w:rsid w:val="00105437"/>
    <w:rsid w:val="00117121"/>
    <w:rsid w:val="001546C1"/>
    <w:rsid w:val="00155D7C"/>
    <w:rsid w:val="0015792A"/>
    <w:rsid w:val="00162D47"/>
    <w:rsid w:val="0018542E"/>
    <w:rsid w:val="00195F60"/>
    <w:rsid w:val="001B387D"/>
    <w:rsid w:val="001C48BB"/>
    <w:rsid w:val="001D4843"/>
    <w:rsid w:val="001D54D3"/>
    <w:rsid w:val="00206969"/>
    <w:rsid w:val="00225CBA"/>
    <w:rsid w:val="00230167"/>
    <w:rsid w:val="00231801"/>
    <w:rsid w:val="00252CC5"/>
    <w:rsid w:val="00265A54"/>
    <w:rsid w:val="002677AA"/>
    <w:rsid w:val="0027305F"/>
    <w:rsid w:val="00274F66"/>
    <w:rsid w:val="00296AC0"/>
    <w:rsid w:val="002A7046"/>
    <w:rsid w:val="002B4A83"/>
    <w:rsid w:val="002C15B7"/>
    <w:rsid w:val="002F39D0"/>
    <w:rsid w:val="00312DD1"/>
    <w:rsid w:val="0031328A"/>
    <w:rsid w:val="00314CC7"/>
    <w:rsid w:val="0032625D"/>
    <w:rsid w:val="00326924"/>
    <w:rsid w:val="003339B9"/>
    <w:rsid w:val="00333A70"/>
    <w:rsid w:val="00335ED8"/>
    <w:rsid w:val="0035318E"/>
    <w:rsid w:val="00357286"/>
    <w:rsid w:val="00371E7A"/>
    <w:rsid w:val="0039254C"/>
    <w:rsid w:val="00395A7A"/>
    <w:rsid w:val="003A3602"/>
    <w:rsid w:val="003B616C"/>
    <w:rsid w:val="003C6810"/>
    <w:rsid w:val="003E2F37"/>
    <w:rsid w:val="003F3A8E"/>
    <w:rsid w:val="003F58E0"/>
    <w:rsid w:val="004053CB"/>
    <w:rsid w:val="00406FB1"/>
    <w:rsid w:val="004226F1"/>
    <w:rsid w:val="004339F6"/>
    <w:rsid w:val="004450FB"/>
    <w:rsid w:val="0044636B"/>
    <w:rsid w:val="00452B2A"/>
    <w:rsid w:val="00466E3A"/>
    <w:rsid w:val="00487239"/>
    <w:rsid w:val="004900E0"/>
    <w:rsid w:val="0049509B"/>
    <w:rsid w:val="00495B70"/>
    <w:rsid w:val="004A0199"/>
    <w:rsid w:val="004A3298"/>
    <w:rsid w:val="004B217F"/>
    <w:rsid w:val="004B3A64"/>
    <w:rsid w:val="004C1051"/>
    <w:rsid w:val="004C2FDC"/>
    <w:rsid w:val="004F4076"/>
    <w:rsid w:val="00500E5C"/>
    <w:rsid w:val="00501CE5"/>
    <w:rsid w:val="005107B8"/>
    <w:rsid w:val="0051792A"/>
    <w:rsid w:val="00530736"/>
    <w:rsid w:val="00555975"/>
    <w:rsid w:val="00557D5B"/>
    <w:rsid w:val="005721A0"/>
    <w:rsid w:val="0058519B"/>
    <w:rsid w:val="00585312"/>
    <w:rsid w:val="00587B54"/>
    <w:rsid w:val="00592806"/>
    <w:rsid w:val="0059354C"/>
    <w:rsid w:val="005A71D9"/>
    <w:rsid w:val="005D2460"/>
    <w:rsid w:val="005D3625"/>
    <w:rsid w:val="005E025B"/>
    <w:rsid w:val="005E2479"/>
    <w:rsid w:val="005E52A5"/>
    <w:rsid w:val="005F2600"/>
    <w:rsid w:val="005F59B2"/>
    <w:rsid w:val="00604E4D"/>
    <w:rsid w:val="00614DBA"/>
    <w:rsid w:val="0062431D"/>
    <w:rsid w:val="00633882"/>
    <w:rsid w:val="006404C7"/>
    <w:rsid w:val="0064515B"/>
    <w:rsid w:val="0064611F"/>
    <w:rsid w:val="00646F02"/>
    <w:rsid w:val="0064735F"/>
    <w:rsid w:val="00651ACB"/>
    <w:rsid w:val="00675DEA"/>
    <w:rsid w:val="00682188"/>
    <w:rsid w:val="0069629B"/>
    <w:rsid w:val="006A44FA"/>
    <w:rsid w:val="006D395F"/>
    <w:rsid w:val="006E6FE9"/>
    <w:rsid w:val="007043A1"/>
    <w:rsid w:val="00704C38"/>
    <w:rsid w:val="00710ADC"/>
    <w:rsid w:val="00724748"/>
    <w:rsid w:val="00752F42"/>
    <w:rsid w:val="00790FF5"/>
    <w:rsid w:val="00795E46"/>
    <w:rsid w:val="007A0061"/>
    <w:rsid w:val="007A2008"/>
    <w:rsid w:val="007B0CBF"/>
    <w:rsid w:val="007B6B80"/>
    <w:rsid w:val="007B6FDE"/>
    <w:rsid w:val="007C752A"/>
    <w:rsid w:val="007D2553"/>
    <w:rsid w:val="007D2C2B"/>
    <w:rsid w:val="007D7FCE"/>
    <w:rsid w:val="007F27FA"/>
    <w:rsid w:val="0081679C"/>
    <w:rsid w:val="00816959"/>
    <w:rsid w:val="0082066C"/>
    <w:rsid w:val="008251D0"/>
    <w:rsid w:val="00827730"/>
    <w:rsid w:val="00830485"/>
    <w:rsid w:val="00836630"/>
    <w:rsid w:val="00843EAA"/>
    <w:rsid w:val="0085129B"/>
    <w:rsid w:val="00862572"/>
    <w:rsid w:val="00864AF3"/>
    <w:rsid w:val="00872C2A"/>
    <w:rsid w:val="00897D86"/>
    <w:rsid w:val="008B6A7B"/>
    <w:rsid w:val="008C07C3"/>
    <w:rsid w:val="008C2331"/>
    <w:rsid w:val="008C3531"/>
    <w:rsid w:val="008C41CD"/>
    <w:rsid w:val="008E4ECC"/>
    <w:rsid w:val="008E5A20"/>
    <w:rsid w:val="008F3873"/>
    <w:rsid w:val="008F726D"/>
    <w:rsid w:val="00902CF9"/>
    <w:rsid w:val="0091393B"/>
    <w:rsid w:val="00925EB4"/>
    <w:rsid w:val="009329D1"/>
    <w:rsid w:val="009469ED"/>
    <w:rsid w:val="009518B5"/>
    <w:rsid w:val="00956D02"/>
    <w:rsid w:val="0096658E"/>
    <w:rsid w:val="00970FB0"/>
    <w:rsid w:val="00997764"/>
    <w:rsid w:val="009A0A41"/>
    <w:rsid w:val="009A1AD9"/>
    <w:rsid w:val="009A66CC"/>
    <w:rsid w:val="009A7FD0"/>
    <w:rsid w:val="009B0378"/>
    <w:rsid w:val="009B2048"/>
    <w:rsid w:val="009D446E"/>
    <w:rsid w:val="009E6C26"/>
    <w:rsid w:val="009F1D77"/>
    <w:rsid w:val="00A0588B"/>
    <w:rsid w:val="00A06580"/>
    <w:rsid w:val="00A15DF7"/>
    <w:rsid w:val="00A33567"/>
    <w:rsid w:val="00A44441"/>
    <w:rsid w:val="00A45218"/>
    <w:rsid w:val="00A46E6E"/>
    <w:rsid w:val="00A600FE"/>
    <w:rsid w:val="00A61189"/>
    <w:rsid w:val="00A63AD0"/>
    <w:rsid w:val="00A84354"/>
    <w:rsid w:val="00AA492E"/>
    <w:rsid w:val="00AD7E3A"/>
    <w:rsid w:val="00AE4846"/>
    <w:rsid w:val="00AF16A9"/>
    <w:rsid w:val="00AF1B36"/>
    <w:rsid w:val="00AF7A2A"/>
    <w:rsid w:val="00B03FB8"/>
    <w:rsid w:val="00B0541A"/>
    <w:rsid w:val="00B260BC"/>
    <w:rsid w:val="00B51EE3"/>
    <w:rsid w:val="00B54308"/>
    <w:rsid w:val="00B67F14"/>
    <w:rsid w:val="00B70894"/>
    <w:rsid w:val="00B841E3"/>
    <w:rsid w:val="00B869E8"/>
    <w:rsid w:val="00B94E3A"/>
    <w:rsid w:val="00BA186A"/>
    <w:rsid w:val="00BB73F2"/>
    <w:rsid w:val="00BD2968"/>
    <w:rsid w:val="00BE299C"/>
    <w:rsid w:val="00BF1071"/>
    <w:rsid w:val="00BF4A3E"/>
    <w:rsid w:val="00BF701E"/>
    <w:rsid w:val="00C132DF"/>
    <w:rsid w:val="00C201F5"/>
    <w:rsid w:val="00C22532"/>
    <w:rsid w:val="00C23CD5"/>
    <w:rsid w:val="00C24B3F"/>
    <w:rsid w:val="00C31389"/>
    <w:rsid w:val="00C56B43"/>
    <w:rsid w:val="00C648AF"/>
    <w:rsid w:val="00C842BA"/>
    <w:rsid w:val="00C94C3C"/>
    <w:rsid w:val="00CA1F7E"/>
    <w:rsid w:val="00CC7175"/>
    <w:rsid w:val="00CD6507"/>
    <w:rsid w:val="00CE71D0"/>
    <w:rsid w:val="00CF2346"/>
    <w:rsid w:val="00D06073"/>
    <w:rsid w:val="00D07E6A"/>
    <w:rsid w:val="00D33BCF"/>
    <w:rsid w:val="00D34348"/>
    <w:rsid w:val="00D465B8"/>
    <w:rsid w:val="00D65D3A"/>
    <w:rsid w:val="00D8006B"/>
    <w:rsid w:val="00D80DED"/>
    <w:rsid w:val="00D9296E"/>
    <w:rsid w:val="00DB4E6F"/>
    <w:rsid w:val="00DC1F4E"/>
    <w:rsid w:val="00DC6502"/>
    <w:rsid w:val="00DD2F9F"/>
    <w:rsid w:val="00DE4D5E"/>
    <w:rsid w:val="00DF2CDB"/>
    <w:rsid w:val="00E0474B"/>
    <w:rsid w:val="00E1240D"/>
    <w:rsid w:val="00E17C1D"/>
    <w:rsid w:val="00E24F35"/>
    <w:rsid w:val="00E47362"/>
    <w:rsid w:val="00E50056"/>
    <w:rsid w:val="00E612E0"/>
    <w:rsid w:val="00E70A31"/>
    <w:rsid w:val="00EB5F90"/>
    <w:rsid w:val="00ED523A"/>
    <w:rsid w:val="00EE0782"/>
    <w:rsid w:val="00EE0A8F"/>
    <w:rsid w:val="00EE1216"/>
    <w:rsid w:val="00EF0DF3"/>
    <w:rsid w:val="00EF3536"/>
    <w:rsid w:val="00EF39C4"/>
    <w:rsid w:val="00F1429B"/>
    <w:rsid w:val="00F1580F"/>
    <w:rsid w:val="00F225D5"/>
    <w:rsid w:val="00F631C4"/>
    <w:rsid w:val="00F6555B"/>
    <w:rsid w:val="00F95313"/>
    <w:rsid w:val="00F97DFD"/>
    <w:rsid w:val="00FB5FC9"/>
    <w:rsid w:val="00FC00D9"/>
    <w:rsid w:val="00FC3B44"/>
    <w:rsid w:val="00FC6C35"/>
    <w:rsid w:val="00FD20F3"/>
    <w:rsid w:val="00FD34ED"/>
    <w:rsid w:val="00FE3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E24F35"/>
    <w:rPr>
      <w:sz w:val="24"/>
      <w:szCs w:val="24"/>
    </w:rPr>
  </w:style>
  <w:style w:type="paragraph" w:styleId="Antrat1">
    <w:name w:val="heading 1"/>
    <w:basedOn w:val="prastasis"/>
    <w:next w:val="prastasis"/>
    <w:link w:val="Antrat1Diagrama"/>
    <w:uiPriority w:val="9"/>
    <w:qFormat/>
    <w:rsid w:val="00F225D5"/>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A">
    <w:name w:val="Body A"/>
    <w:rPr>
      <w:rFonts w:hAnsi="Arial Unicode MS" w:cs="Arial Unicode MS"/>
      <w:color w:val="000000"/>
      <w:sz w:val="24"/>
      <w:szCs w:val="24"/>
      <w:u w:color="000000"/>
    </w:rPr>
  </w:style>
  <w:style w:type="paragraph" w:customStyle="1" w:styleId="HeaderFooter">
    <w:name w:val="Header &amp; Footer"/>
    <w:pPr>
      <w:tabs>
        <w:tab w:val="right" w:pos="9020"/>
      </w:tabs>
    </w:pPr>
    <w:rPr>
      <w:rFonts w:ascii="Helvetica" w:hAnsi="Arial Unicode MS" w:cs="Arial Unicode MS"/>
      <w:color w:val="000000"/>
      <w:sz w:val="24"/>
      <w:szCs w:val="24"/>
      <w:u w:color="000000"/>
    </w:rPr>
  </w:style>
  <w:style w:type="numbering" w:customStyle="1" w:styleId="Numbered">
    <w:name w:val="Numbered"/>
    <w:pPr>
      <w:numPr>
        <w:numId w:val="1"/>
      </w:numPr>
    </w:pPr>
  </w:style>
  <w:style w:type="paragraph" w:styleId="Sraopastraipa">
    <w:name w:val="List Paragraph"/>
    <w:uiPriority w:val="34"/>
    <w:qFormat/>
    <w:pPr>
      <w:spacing w:after="200" w:line="276" w:lineRule="auto"/>
      <w:ind w:left="720"/>
    </w:pPr>
    <w:rPr>
      <w:rFonts w:hAnsi="Arial Unicode MS" w:cs="Arial Unicode MS"/>
      <w:color w:val="000000"/>
      <w:sz w:val="24"/>
      <w:szCs w:val="24"/>
      <w:u w:color="000000"/>
    </w:rPr>
  </w:style>
  <w:style w:type="numbering" w:customStyle="1" w:styleId="List0">
    <w:name w:val="List 0"/>
    <w:basedOn w:val="ImportedStyle1"/>
    <w:pPr>
      <w:numPr>
        <w:numId w:val="2"/>
      </w:numPr>
    </w:pPr>
  </w:style>
  <w:style w:type="numbering" w:customStyle="1" w:styleId="ImportedStyle1">
    <w:name w:val="Imported Style 1"/>
  </w:style>
  <w:style w:type="numbering" w:customStyle="1" w:styleId="List1">
    <w:name w:val="List 1"/>
    <w:basedOn w:val="ImportedStyle2"/>
    <w:pPr>
      <w:numPr>
        <w:numId w:val="3"/>
      </w:numPr>
    </w:pPr>
  </w:style>
  <w:style w:type="numbering" w:customStyle="1" w:styleId="ImportedStyle2">
    <w:name w:val="Imported Style 2"/>
  </w:style>
  <w:style w:type="numbering" w:customStyle="1" w:styleId="List21">
    <w:name w:val="List 21"/>
    <w:basedOn w:val="ImportedStyle3"/>
    <w:pPr>
      <w:numPr>
        <w:numId w:val="4"/>
      </w:numPr>
    </w:pPr>
  </w:style>
  <w:style w:type="numbering" w:customStyle="1" w:styleId="ImportedStyle3">
    <w:name w:val="Imported Style 3"/>
  </w:style>
  <w:style w:type="numbering" w:customStyle="1" w:styleId="List31">
    <w:name w:val="List 31"/>
    <w:basedOn w:val="ImportedStyle4"/>
    <w:pPr>
      <w:numPr>
        <w:numId w:val="5"/>
      </w:numPr>
    </w:pPr>
  </w:style>
  <w:style w:type="numbering" w:customStyle="1" w:styleId="ImportedStyle4">
    <w:name w:val="Imported Style 4"/>
  </w:style>
  <w:style w:type="numbering" w:customStyle="1" w:styleId="List41">
    <w:name w:val="List 41"/>
    <w:basedOn w:val="ImportedStyle5"/>
    <w:pPr>
      <w:numPr>
        <w:numId w:val="6"/>
      </w:numPr>
    </w:pPr>
  </w:style>
  <w:style w:type="numbering" w:customStyle="1" w:styleId="ImportedStyle5">
    <w:name w:val="Imported Style 5"/>
  </w:style>
  <w:style w:type="numbering" w:customStyle="1" w:styleId="List51">
    <w:name w:val="List 51"/>
    <w:basedOn w:val="ImportedStyle6"/>
    <w:pPr>
      <w:numPr>
        <w:numId w:val="7"/>
      </w:numPr>
    </w:pPr>
  </w:style>
  <w:style w:type="numbering" w:customStyle="1" w:styleId="ImportedStyle6">
    <w:name w:val="Imported Style 6"/>
  </w:style>
  <w:style w:type="numbering" w:customStyle="1" w:styleId="List6">
    <w:name w:val="List 6"/>
    <w:basedOn w:val="ImportedStyle7"/>
    <w:pPr>
      <w:numPr>
        <w:numId w:val="8"/>
      </w:numPr>
    </w:pPr>
  </w:style>
  <w:style w:type="numbering" w:customStyle="1" w:styleId="ImportedStyle7">
    <w:name w:val="Imported Style 7"/>
  </w:style>
  <w:style w:type="numbering" w:customStyle="1" w:styleId="List7">
    <w:name w:val="List 7"/>
    <w:basedOn w:val="ImportedStyle8"/>
    <w:pPr>
      <w:numPr>
        <w:numId w:val="9"/>
      </w:numPr>
    </w:pPr>
  </w:style>
  <w:style w:type="numbering" w:customStyle="1" w:styleId="ImportedStyle8">
    <w:name w:val="Imported Style 8"/>
  </w:style>
  <w:style w:type="numbering" w:customStyle="1" w:styleId="List8">
    <w:name w:val="List 8"/>
    <w:basedOn w:val="ImportedStyle9"/>
    <w:pPr>
      <w:numPr>
        <w:numId w:val="10"/>
      </w:numPr>
    </w:pPr>
  </w:style>
  <w:style w:type="numbering" w:customStyle="1" w:styleId="ImportedStyle9">
    <w:name w:val="Imported Style 9"/>
  </w:style>
  <w:style w:type="numbering" w:customStyle="1" w:styleId="List9">
    <w:name w:val="List 9"/>
    <w:basedOn w:val="ImportedStyle10"/>
    <w:pPr>
      <w:numPr>
        <w:numId w:val="11"/>
      </w:numPr>
    </w:pPr>
  </w:style>
  <w:style w:type="numbering" w:customStyle="1" w:styleId="ImportedStyle10">
    <w:name w:val="Imported Style 10"/>
  </w:style>
  <w:style w:type="numbering" w:customStyle="1" w:styleId="List10">
    <w:name w:val="List 10"/>
    <w:basedOn w:val="ImportedStyle11"/>
    <w:pPr>
      <w:numPr>
        <w:numId w:val="12"/>
      </w:numPr>
    </w:pPr>
  </w:style>
  <w:style w:type="numbering" w:customStyle="1" w:styleId="ImportedStyle11">
    <w:name w:val="Imported Style 11"/>
  </w:style>
  <w:style w:type="paragraph" w:styleId="Antrats">
    <w:name w:val="header"/>
    <w:basedOn w:val="prastasis"/>
    <w:link w:val="AntratsDiagrama"/>
    <w:uiPriority w:val="99"/>
    <w:unhideWhenUsed/>
    <w:rsid w:val="00A33567"/>
    <w:pPr>
      <w:tabs>
        <w:tab w:val="center" w:pos="4819"/>
        <w:tab w:val="right" w:pos="9638"/>
      </w:tabs>
    </w:pPr>
  </w:style>
  <w:style w:type="character" w:customStyle="1" w:styleId="AntratsDiagrama">
    <w:name w:val="Antraštės Diagrama"/>
    <w:basedOn w:val="Numatytasispastraiposriftas"/>
    <w:link w:val="Antrats"/>
    <w:uiPriority w:val="99"/>
    <w:rsid w:val="00A33567"/>
    <w:rPr>
      <w:sz w:val="24"/>
      <w:szCs w:val="24"/>
    </w:rPr>
  </w:style>
  <w:style w:type="paragraph" w:styleId="Porat">
    <w:name w:val="footer"/>
    <w:basedOn w:val="prastasis"/>
    <w:link w:val="PoratDiagrama"/>
    <w:uiPriority w:val="99"/>
    <w:unhideWhenUsed/>
    <w:rsid w:val="00A33567"/>
    <w:pPr>
      <w:tabs>
        <w:tab w:val="center" w:pos="4819"/>
        <w:tab w:val="right" w:pos="9638"/>
      </w:tabs>
    </w:pPr>
  </w:style>
  <w:style w:type="character" w:customStyle="1" w:styleId="PoratDiagrama">
    <w:name w:val="Poraštė Diagrama"/>
    <w:basedOn w:val="Numatytasispastraiposriftas"/>
    <w:link w:val="Porat"/>
    <w:uiPriority w:val="99"/>
    <w:rsid w:val="00A33567"/>
    <w:rPr>
      <w:sz w:val="24"/>
      <w:szCs w:val="24"/>
    </w:rPr>
  </w:style>
  <w:style w:type="paragraph" w:styleId="prastasistinklapis">
    <w:name w:val="Normal (Web)"/>
    <w:basedOn w:val="prastasis"/>
    <w:uiPriority w:val="99"/>
    <w:unhideWhenUsed/>
    <w:rsid w:val="003339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lid-translation">
    <w:name w:val="tlid-translation"/>
    <w:basedOn w:val="Numatytasispastraiposriftas"/>
    <w:rsid w:val="003339B9"/>
  </w:style>
  <w:style w:type="character" w:styleId="Komentaronuoroda">
    <w:name w:val="annotation reference"/>
    <w:basedOn w:val="Numatytasispastraiposriftas"/>
    <w:uiPriority w:val="99"/>
    <w:semiHidden/>
    <w:unhideWhenUsed/>
    <w:rsid w:val="00795E46"/>
    <w:rPr>
      <w:sz w:val="16"/>
      <w:szCs w:val="16"/>
    </w:rPr>
  </w:style>
  <w:style w:type="paragraph" w:styleId="Komentarotekstas">
    <w:name w:val="annotation text"/>
    <w:basedOn w:val="prastasis"/>
    <w:link w:val="KomentarotekstasDiagrama"/>
    <w:uiPriority w:val="99"/>
    <w:semiHidden/>
    <w:unhideWhenUsed/>
    <w:rsid w:val="00795E46"/>
    <w:rPr>
      <w:sz w:val="20"/>
      <w:szCs w:val="20"/>
    </w:rPr>
  </w:style>
  <w:style w:type="character" w:customStyle="1" w:styleId="KomentarotekstasDiagrama">
    <w:name w:val="Komentaro tekstas Diagrama"/>
    <w:basedOn w:val="Numatytasispastraiposriftas"/>
    <w:link w:val="Komentarotekstas"/>
    <w:uiPriority w:val="99"/>
    <w:semiHidden/>
    <w:rsid w:val="00795E46"/>
  </w:style>
  <w:style w:type="paragraph" w:styleId="Komentarotema">
    <w:name w:val="annotation subject"/>
    <w:basedOn w:val="Komentarotekstas"/>
    <w:next w:val="Komentarotekstas"/>
    <w:link w:val="KomentarotemaDiagrama"/>
    <w:uiPriority w:val="99"/>
    <w:semiHidden/>
    <w:unhideWhenUsed/>
    <w:rsid w:val="00795E46"/>
    <w:rPr>
      <w:b/>
      <w:bCs/>
    </w:rPr>
  </w:style>
  <w:style w:type="character" w:customStyle="1" w:styleId="KomentarotemaDiagrama">
    <w:name w:val="Komentaro tema Diagrama"/>
    <w:basedOn w:val="KomentarotekstasDiagrama"/>
    <w:link w:val="Komentarotema"/>
    <w:uiPriority w:val="99"/>
    <w:semiHidden/>
    <w:rsid w:val="00795E46"/>
    <w:rPr>
      <w:b/>
      <w:bCs/>
    </w:rPr>
  </w:style>
  <w:style w:type="paragraph" w:styleId="Debesliotekstas">
    <w:name w:val="Balloon Text"/>
    <w:basedOn w:val="prastasis"/>
    <w:link w:val="DebesliotekstasDiagrama"/>
    <w:uiPriority w:val="99"/>
    <w:semiHidden/>
    <w:unhideWhenUsed/>
    <w:rsid w:val="00795E4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95E46"/>
    <w:rPr>
      <w:rFonts w:ascii="Tahoma" w:hAnsi="Tahoma" w:cs="Tahoma"/>
      <w:sz w:val="16"/>
      <w:szCs w:val="16"/>
    </w:rPr>
  </w:style>
  <w:style w:type="character" w:customStyle="1" w:styleId="Antrat1Diagrama">
    <w:name w:val="Antraštė 1 Diagrama"/>
    <w:basedOn w:val="Numatytasispastraiposriftas"/>
    <w:link w:val="Antrat1"/>
    <w:uiPriority w:val="9"/>
    <w:rsid w:val="00F225D5"/>
    <w:rPr>
      <w:rFonts w:asciiTheme="majorHAnsi" w:eastAsiaTheme="majorEastAsia" w:hAnsiTheme="majorHAnsi" w:cstheme="majorBidi"/>
      <w:b/>
      <w:bCs/>
      <w:color w:val="2F759E" w:themeColor="accent1" w:themeShade="BF"/>
      <w:sz w:val="28"/>
      <w:szCs w:val="28"/>
    </w:rPr>
  </w:style>
  <w:style w:type="paragraph" w:styleId="Sraassuenkleliais">
    <w:name w:val="List Bullet"/>
    <w:basedOn w:val="prastasis"/>
    <w:uiPriority w:val="99"/>
    <w:unhideWhenUsed/>
    <w:rsid w:val="005A71D9"/>
    <w:pPr>
      <w:numPr>
        <w:numId w:val="16"/>
      </w:numPr>
      <w:contextualSpacing/>
    </w:pPr>
  </w:style>
  <w:style w:type="paragraph" w:styleId="Puslapioinaostekstas">
    <w:name w:val="footnote text"/>
    <w:basedOn w:val="prastasis"/>
    <w:link w:val="PuslapioinaostekstasDiagrama"/>
    <w:uiPriority w:val="99"/>
    <w:semiHidden/>
    <w:unhideWhenUsed/>
    <w:rsid w:val="005A71D9"/>
    <w:pPr>
      <w:pBdr>
        <w:top w:val="none" w:sz="0" w:space="0" w:color="auto"/>
        <w:left w:val="none" w:sz="0" w:space="0" w:color="auto"/>
        <w:bottom w:val="none" w:sz="0" w:space="0" w:color="auto"/>
        <w:right w:val="none" w:sz="0" w:space="0" w:color="auto"/>
        <w:between w:val="none" w:sz="0" w:space="0" w:color="auto"/>
        <w:bar w:val="none" w:sz="0" w:color="auto"/>
      </w:pBdr>
    </w:pPr>
    <w:rPr>
      <w:sz w:val="20"/>
      <w:szCs w:val="20"/>
      <w:bdr w:val="none" w:sz="0" w:space="0" w:color="auto"/>
    </w:rPr>
  </w:style>
  <w:style w:type="character" w:customStyle="1" w:styleId="PuslapioinaostekstasDiagrama">
    <w:name w:val="Puslapio išnašos tekstas Diagrama"/>
    <w:basedOn w:val="Numatytasispastraiposriftas"/>
    <w:link w:val="Puslapioinaostekstas"/>
    <w:uiPriority w:val="99"/>
    <w:semiHidden/>
    <w:rsid w:val="005A71D9"/>
    <w:rPr>
      <w:bdr w:val="none" w:sz="0" w:space="0" w:color="auto"/>
    </w:rPr>
  </w:style>
  <w:style w:type="character" w:styleId="Puslapioinaosnuoroda">
    <w:name w:val="footnote reference"/>
    <w:basedOn w:val="Numatytasispastraiposriftas"/>
    <w:uiPriority w:val="99"/>
    <w:semiHidden/>
    <w:unhideWhenUsed/>
    <w:rsid w:val="005A71D9"/>
    <w:rPr>
      <w:vertAlign w:val="superscript"/>
    </w:rPr>
  </w:style>
  <w:style w:type="paragraph" w:customStyle="1" w:styleId="Default">
    <w:name w:val="Default"/>
    <w:rsid w:val="0053073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E24F35"/>
    <w:rPr>
      <w:sz w:val="24"/>
      <w:szCs w:val="24"/>
    </w:rPr>
  </w:style>
  <w:style w:type="paragraph" w:styleId="Antrat1">
    <w:name w:val="heading 1"/>
    <w:basedOn w:val="prastasis"/>
    <w:next w:val="prastasis"/>
    <w:link w:val="Antrat1Diagrama"/>
    <w:uiPriority w:val="9"/>
    <w:qFormat/>
    <w:rsid w:val="00F225D5"/>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A">
    <w:name w:val="Body A"/>
    <w:rPr>
      <w:rFonts w:hAnsi="Arial Unicode MS" w:cs="Arial Unicode MS"/>
      <w:color w:val="000000"/>
      <w:sz w:val="24"/>
      <w:szCs w:val="24"/>
      <w:u w:color="000000"/>
    </w:rPr>
  </w:style>
  <w:style w:type="paragraph" w:customStyle="1" w:styleId="HeaderFooter">
    <w:name w:val="Header &amp; Footer"/>
    <w:pPr>
      <w:tabs>
        <w:tab w:val="right" w:pos="9020"/>
      </w:tabs>
    </w:pPr>
    <w:rPr>
      <w:rFonts w:ascii="Helvetica" w:hAnsi="Arial Unicode MS" w:cs="Arial Unicode MS"/>
      <w:color w:val="000000"/>
      <w:sz w:val="24"/>
      <w:szCs w:val="24"/>
      <w:u w:color="000000"/>
    </w:rPr>
  </w:style>
  <w:style w:type="numbering" w:customStyle="1" w:styleId="Numbered">
    <w:name w:val="Numbered"/>
    <w:pPr>
      <w:numPr>
        <w:numId w:val="1"/>
      </w:numPr>
    </w:pPr>
  </w:style>
  <w:style w:type="paragraph" w:styleId="Sraopastraipa">
    <w:name w:val="List Paragraph"/>
    <w:uiPriority w:val="34"/>
    <w:qFormat/>
    <w:pPr>
      <w:spacing w:after="200" w:line="276" w:lineRule="auto"/>
      <w:ind w:left="720"/>
    </w:pPr>
    <w:rPr>
      <w:rFonts w:hAnsi="Arial Unicode MS" w:cs="Arial Unicode MS"/>
      <w:color w:val="000000"/>
      <w:sz w:val="24"/>
      <w:szCs w:val="24"/>
      <w:u w:color="000000"/>
    </w:rPr>
  </w:style>
  <w:style w:type="numbering" w:customStyle="1" w:styleId="List0">
    <w:name w:val="List 0"/>
    <w:basedOn w:val="ImportedStyle1"/>
    <w:pPr>
      <w:numPr>
        <w:numId w:val="2"/>
      </w:numPr>
    </w:pPr>
  </w:style>
  <w:style w:type="numbering" w:customStyle="1" w:styleId="ImportedStyle1">
    <w:name w:val="Imported Style 1"/>
  </w:style>
  <w:style w:type="numbering" w:customStyle="1" w:styleId="List1">
    <w:name w:val="List 1"/>
    <w:basedOn w:val="ImportedStyle2"/>
    <w:pPr>
      <w:numPr>
        <w:numId w:val="3"/>
      </w:numPr>
    </w:pPr>
  </w:style>
  <w:style w:type="numbering" w:customStyle="1" w:styleId="ImportedStyle2">
    <w:name w:val="Imported Style 2"/>
  </w:style>
  <w:style w:type="numbering" w:customStyle="1" w:styleId="List21">
    <w:name w:val="List 21"/>
    <w:basedOn w:val="ImportedStyle3"/>
    <w:pPr>
      <w:numPr>
        <w:numId w:val="4"/>
      </w:numPr>
    </w:pPr>
  </w:style>
  <w:style w:type="numbering" w:customStyle="1" w:styleId="ImportedStyle3">
    <w:name w:val="Imported Style 3"/>
  </w:style>
  <w:style w:type="numbering" w:customStyle="1" w:styleId="List31">
    <w:name w:val="List 31"/>
    <w:basedOn w:val="ImportedStyle4"/>
    <w:pPr>
      <w:numPr>
        <w:numId w:val="5"/>
      </w:numPr>
    </w:pPr>
  </w:style>
  <w:style w:type="numbering" w:customStyle="1" w:styleId="ImportedStyle4">
    <w:name w:val="Imported Style 4"/>
  </w:style>
  <w:style w:type="numbering" w:customStyle="1" w:styleId="List41">
    <w:name w:val="List 41"/>
    <w:basedOn w:val="ImportedStyle5"/>
    <w:pPr>
      <w:numPr>
        <w:numId w:val="6"/>
      </w:numPr>
    </w:pPr>
  </w:style>
  <w:style w:type="numbering" w:customStyle="1" w:styleId="ImportedStyle5">
    <w:name w:val="Imported Style 5"/>
  </w:style>
  <w:style w:type="numbering" w:customStyle="1" w:styleId="List51">
    <w:name w:val="List 51"/>
    <w:basedOn w:val="ImportedStyle6"/>
    <w:pPr>
      <w:numPr>
        <w:numId w:val="7"/>
      </w:numPr>
    </w:pPr>
  </w:style>
  <w:style w:type="numbering" w:customStyle="1" w:styleId="ImportedStyle6">
    <w:name w:val="Imported Style 6"/>
  </w:style>
  <w:style w:type="numbering" w:customStyle="1" w:styleId="List6">
    <w:name w:val="List 6"/>
    <w:basedOn w:val="ImportedStyle7"/>
    <w:pPr>
      <w:numPr>
        <w:numId w:val="8"/>
      </w:numPr>
    </w:pPr>
  </w:style>
  <w:style w:type="numbering" w:customStyle="1" w:styleId="ImportedStyle7">
    <w:name w:val="Imported Style 7"/>
  </w:style>
  <w:style w:type="numbering" w:customStyle="1" w:styleId="List7">
    <w:name w:val="List 7"/>
    <w:basedOn w:val="ImportedStyle8"/>
    <w:pPr>
      <w:numPr>
        <w:numId w:val="9"/>
      </w:numPr>
    </w:pPr>
  </w:style>
  <w:style w:type="numbering" w:customStyle="1" w:styleId="ImportedStyle8">
    <w:name w:val="Imported Style 8"/>
  </w:style>
  <w:style w:type="numbering" w:customStyle="1" w:styleId="List8">
    <w:name w:val="List 8"/>
    <w:basedOn w:val="ImportedStyle9"/>
    <w:pPr>
      <w:numPr>
        <w:numId w:val="10"/>
      </w:numPr>
    </w:pPr>
  </w:style>
  <w:style w:type="numbering" w:customStyle="1" w:styleId="ImportedStyle9">
    <w:name w:val="Imported Style 9"/>
  </w:style>
  <w:style w:type="numbering" w:customStyle="1" w:styleId="List9">
    <w:name w:val="List 9"/>
    <w:basedOn w:val="ImportedStyle10"/>
    <w:pPr>
      <w:numPr>
        <w:numId w:val="11"/>
      </w:numPr>
    </w:pPr>
  </w:style>
  <w:style w:type="numbering" w:customStyle="1" w:styleId="ImportedStyle10">
    <w:name w:val="Imported Style 10"/>
  </w:style>
  <w:style w:type="numbering" w:customStyle="1" w:styleId="List10">
    <w:name w:val="List 10"/>
    <w:basedOn w:val="ImportedStyle11"/>
    <w:pPr>
      <w:numPr>
        <w:numId w:val="12"/>
      </w:numPr>
    </w:pPr>
  </w:style>
  <w:style w:type="numbering" w:customStyle="1" w:styleId="ImportedStyle11">
    <w:name w:val="Imported Style 11"/>
  </w:style>
  <w:style w:type="paragraph" w:styleId="Antrats">
    <w:name w:val="header"/>
    <w:basedOn w:val="prastasis"/>
    <w:link w:val="AntratsDiagrama"/>
    <w:uiPriority w:val="99"/>
    <w:unhideWhenUsed/>
    <w:rsid w:val="00A33567"/>
    <w:pPr>
      <w:tabs>
        <w:tab w:val="center" w:pos="4819"/>
        <w:tab w:val="right" w:pos="9638"/>
      </w:tabs>
    </w:pPr>
  </w:style>
  <w:style w:type="character" w:customStyle="1" w:styleId="AntratsDiagrama">
    <w:name w:val="Antraštės Diagrama"/>
    <w:basedOn w:val="Numatytasispastraiposriftas"/>
    <w:link w:val="Antrats"/>
    <w:uiPriority w:val="99"/>
    <w:rsid w:val="00A33567"/>
    <w:rPr>
      <w:sz w:val="24"/>
      <w:szCs w:val="24"/>
    </w:rPr>
  </w:style>
  <w:style w:type="paragraph" w:styleId="Porat">
    <w:name w:val="footer"/>
    <w:basedOn w:val="prastasis"/>
    <w:link w:val="PoratDiagrama"/>
    <w:uiPriority w:val="99"/>
    <w:unhideWhenUsed/>
    <w:rsid w:val="00A33567"/>
    <w:pPr>
      <w:tabs>
        <w:tab w:val="center" w:pos="4819"/>
        <w:tab w:val="right" w:pos="9638"/>
      </w:tabs>
    </w:pPr>
  </w:style>
  <w:style w:type="character" w:customStyle="1" w:styleId="PoratDiagrama">
    <w:name w:val="Poraštė Diagrama"/>
    <w:basedOn w:val="Numatytasispastraiposriftas"/>
    <w:link w:val="Porat"/>
    <w:uiPriority w:val="99"/>
    <w:rsid w:val="00A33567"/>
    <w:rPr>
      <w:sz w:val="24"/>
      <w:szCs w:val="24"/>
    </w:rPr>
  </w:style>
  <w:style w:type="paragraph" w:styleId="prastasistinklapis">
    <w:name w:val="Normal (Web)"/>
    <w:basedOn w:val="prastasis"/>
    <w:uiPriority w:val="99"/>
    <w:unhideWhenUsed/>
    <w:rsid w:val="003339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lid-translation">
    <w:name w:val="tlid-translation"/>
    <w:basedOn w:val="Numatytasispastraiposriftas"/>
    <w:rsid w:val="003339B9"/>
  </w:style>
  <w:style w:type="character" w:styleId="Komentaronuoroda">
    <w:name w:val="annotation reference"/>
    <w:basedOn w:val="Numatytasispastraiposriftas"/>
    <w:uiPriority w:val="99"/>
    <w:semiHidden/>
    <w:unhideWhenUsed/>
    <w:rsid w:val="00795E46"/>
    <w:rPr>
      <w:sz w:val="16"/>
      <w:szCs w:val="16"/>
    </w:rPr>
  </w:style>
  <w:style w:type="paragraph" w:styleId="Komentarotekstas">
    <w:name w:val="annotation text"/>
    <w:basedOn w:val="prastasis"/>
    <w:link w:val="KomentarotekstasDiagrama"/>
    <w:uiPriority w:val="99"/>
    <w:semiHidden/>
    <w:unhideWhenUsed/>
    <w:rsid w:val="00795E46"/>
    <w:rPr>
      <w:sz w:val="20"/>
      <w:szCs w:val="20"/>
    </w:rPr>
  </w:style>
  <w:style w:type="character" w:customStyle="1" w:styleId="KomentarotekstasDiagrama">
    <w:name w:val="Komentaro tekstas Diagrama"/>
    <w:basedOn w:val="Numatytasispastraiposriftas"/>
    <w:link w:val="Komentarotekstas"/>
    <w:uiPriority w:val="99"/>
    <w:semiHidden/>
    <w:rsid w:val="00795E46"/>
  </w:style>
  <w:style w:type="paragraph" w:styleId="Komentarotema">
    <w:name w:val="annotation subject"/>
    <w:basedOn w:val="Komentarotekstas"/>
    <w:next w:val="Komentarotekstas"/>
    <w:link w:val="KomentarotemaDiagrama"/>
    <w:uiPriority w:val="99"/>
    <w:semiHidden/>
    <w:unhideWhenUsed/>
    <w:rsid w:val="00795E46"/>
    <w:rPr>
      <w:b/>
      <w:bCs/>
    </w:rPr>
  </w:style>
  <w:style w:type="character" w:customStyle="1" w:styleId="KomentarotemaDiagrama">
    <w:name w:val="Komentaro tema Diagrama"/>
    <w:basedOn w:val="KomentarotekstasDiagrama"/>
    <w:link w:val="Komentarotema"/>
    <w:uiPriority w:val="99"/>
    <w:semiHidden/>
    <w:rsid w:val="00795E46"/>
    <w:rPr>
      <w:b/>
      <w:bCs/>
    </w:rPr>
  </w:style>
  <w:style w:type="paragraph" w:styleId="Debesliotekstas">
    <w:name w:val="Balloon Text"/>
    <w:basedOn w:val="prastasis"/>
    <w:link w:val="DebesliotekstasDiagrama"/>
    <w:uiPriority w:val="99"/>
    <w:semiHidden/>
    <w:unhideWhenUsed/>
    <w:rsid w:val="00795E4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95E46"/>
    <w:rPr>
      <w:rFonts w:ascii="Tahoma" w:hAnsi="Tahoma" w:cs="Tahoma"/>
      <w:sz w:val="16"/>
      <w:szCs w:val="16"/>
    </w:rPr>
  </w:style>
  <w:style w:type="character" w:customStyle="1" w:styleId="Antrat1Diagrama">
    <w:name w:val="Antraštė 1 Diagrama"/>
    <w:basedOn w:val="Numatytasispastraiposriftas"/>
    <w:link w:val="Antrat1"/>
    <w:uiPriority w:val="9"/>
    <w:rsid w:val="00F225D5"/>
    <w:rPr>
      <w:rFonts w:asciiTheme="majorHAnsi" w:eastAsiaTheme="majorEastAsia" w:hAnsiTheme="majorHAnsi" w:cstheme="majorBidi"/>
      <w:b/>
      <w:bCs/>
      <w:color w:val="2F759E" w:themeColor="accent1" w:themeShade="BF"/>
      <w:sz w:val="28"/>
      <w:szCs w:val="28"/>
    </w:rPr>
  </w:style>
  <w:style w:type="paragraph" w:styleId="Sraassuenkleliais">
    <w:name w:val="List Bullet"/>
    <w:basedOn w:val="prastasis"/>
    <w:uiPriority w:val="99"/>
    <w:unhideWhenUsed/>
    <w:rsid w:val="005A71D9"/>
    <w:pPr>
      <w:numPr>
        <w:numId w:val="16"/>
      </w:numPr>
      <w:contextualSpacing/>
    </w:pPr>
  </w:style>
  <w:style w:type="paragraph" w:styleId="Puslapioinaostekstas">
    <w:name w:val="footnote text"/>
    <w:basedOn w:val="prastasis"/>
    <w:link w:val="PuslapioinaostekstasDiagrama"/>
    <w:uiPriority w:val="99"/>
    <w:semiHidden/>
    <w:unhideWhenUsed/>
    <w:rsid w:val="005A71D9"/>
    <w:pPr>
      <w:pBdr>
        <w:top w:val="none" w:sz="0" w:space="0" w:color="auto"/>
        <w:left w:val="none" w:sz="0" w:space="0" w:color="auto"/>
        <w:bottom w:val="none" w:sz="0" w:space="0" w:color="auto"/>
        <w:right w:val="none" w:sz="0" w:space="0" w:color="auto"/>
        <w:between w:val="none" w:sz="0" w:space="0" w:color="auto"/>
        <w:bar w:val="none" w:sz="0" w:color="auto"/>
      </w:pBdr>
    </w:pPr>
    <w:rPr>
      <w:sz w:val="20"/>
      <w:szCs w:val="20"/>
      <w:bdr w:val="none" w:sz="0" w:space="0" w:color="auto"/>
    </w:rPr>
  </w:style>
  <w:style w:type="character" w:customStyle="1" w:styleId="PuslapioinaostekstasDiagrama">
    <w:name w:val="Puslapio išnašos tekstas Diagrama"/>
    <w:basedOn w:val="Numatytasispastraiposriftas"/>
    <w:link w:val="Puslapioinaostekstas"/>
    <w:uiPriority w:val="99"/>
    <w:semiHidden/>
    <w:rsid w:val="005A71D9"/>
    <w:rPr>
      <w:bdr w:val="none" w:sz="0" w:space="0" w:color="auto"/>
    </w:rPr>
  </w:style>
  <w:style w:type="character" w:styleId="Puslapioinaosnuoroda">
    <w:name w:val="footnote reference"/>
    <w:basedOn w:val="Numatytasispastraiposriftas"/>
    <w:uiPriority w:val="99"/>
    <w:semiHidden/>
    <w:unhideWhenUsed/>
    <w:rsid w:val="005A71D9"/>
    <w:rPr>
      <w:vertAlign w:val="superscript"/>
    </w:rPr>
  </w:style>
  <w:style w:type="paragraph" w:customStyle="1" w:styleId="Default">
    <w:name w:val="Default"/>
    <w:rsid w:val="0053073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82296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A6560-1024-43FC-A5E4-0923593F1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Pages>
  <Words>14898</Words>
  <Characters>8492</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 Antanaitė</dc:creator>
  <cp:lastModifiedBy>Simona Narkevičienė</cp:lastModifiedBy>
  <cp:revision>4</cp:revision>
  <dcterms:created xsi:type="dcterms:W3CDTF">2021-03-09T07:45:00Z</dcterms:created>
  <dcterms:modified xsi:type="dcterms:W3CDTF">2021-03-09T12:30:00Z</dcterms:modified>
</cp:coreProperties>
</file>