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0" w:type="auto"/>
        <w:tblLayout w:type="fixed"/>
        <w:tblLook w:val="0000" w:firstRow="0" w:lastRow="0" w:firstColumn="0" w:lastColumn="0" w:noHBand="0" w:noVBand="0"/>
      </w:tblPr>
      <w:tblGrid>
        <w:gridCol w:w="4068"/>
        <w:gridCol w:w="16"/>
      </w:tblGrid>
      <w:tr w:rsidR="00033F22" w:rsidRPr="00CB746B" w14:paraId="16A8DF23" w14:textId="77777777" w:rsidTr="00D22A39">
        <w:trPr>
          <w:cantSplit/>
          <w:trHeight w:val="340"/>
        </w:trPr>
        <w:tc>
          <w:tcPr>
            <w:tcW w:w="4084" w:type="dxa"/>
            <w:gridSpan w:val="2"/>
          </w:tcPr>
          <w:p w14:paraId="7CC11754" w14:textId="723B32A3" w:rsidR="00033F22" w:rsidRPr="00CB746B" w:rsidRDefault="00DF5B36" w:rsidP="00477775">
            <w:pPr>
              <w:framePr w:hSpace="180" w:wrap="around" w:vAnchor="text" w:hAnchor="page" w:x="7286" w:y="12"/>
              <w:ind w:right="24"/>
            </w:pPr>
            <w:r w:rsidRPr="00CB746B">
              <w:t xml:space="preserve">  </w:t>
            </w:r>
            <w:r w:rsidR="00033F22" w:rsidRPr="00CB746B">
              <w:t>20</w:t>
            </w:r>
            <w:r w:rsidR="00BF4628" w:rsidRPr="00CB746B">
              <w:t>21</w:t>
            </w:r>
            <w:r w:rsidR="00033F22" w:rsidRPr="00CB746B">
              <w:t>-</w:t>
            </w:r>
            <w:r w:rsidR="00F509D9" w:rsidRPr="00CB746B">
              <w:t>0</w:t>
            </w:r>
            <w:r w:rsidR="00C90E87" w:rsidRPr="00CB746B">
              <w:t>5</w:t>
            </w:r>
            <w:r w:rsidR="00F509D9" w:rsidRPr="00CB746B">
              <w:t>-</w:t>
            </w:r>
            <w:r w:rsidRPr="00CB746B">
              <w:t xml:space="preserve">    </w:t>
            </w:r>
            <w:r w:rsidR="00E75D83" w:rsidRPr="00CB746B">
              <w:t xml:space="preserve"> </w:t>
            </w:r>
            <w:r w:rsidR="00033F22" w:rsidRPr="00CB746B">
              <w:t xml:space="preserve">Nr. </w:t>
            </w:r>
          </w:p>
        </w:tc>
      </w:tr>
      <w:tr w:rsidR="00033F22" w:rsidRPr="00CB746B" w14:paraId="77037953" w14:textId="77777777" w:rsidTr="00D22A39">
        <w:trPr>
          <w:gridAfter w:val="1"/>
          <w:wAfter w:w="16" w:type="dxa"/>
          <w:cantSplit/>
          <w:trHeight w:val="340"/>
        </w:trPr>
        <w:tc>
          <w:tcPr>
            <w:tcW w:w="4068" w:type="dxa"/>
          </w:tcPr>
          <w:p w14:paraId="7419B18C" w14:textId="0A331736" w:rsidR="00DF5B36" w:rsidRPr="00CB746B" w:rsidRDefault="00BF4628" w:rsidP="00DF5B36">
            <w:pPr>
              <w:framePr w:hSpace="180" w:wrap="around" w:vAnchor="text" w:hAnchor="page" w:x="7286" w:y="12"/>
            </w:pPr>
            <w:r w:rsidRPr="00CB746B">
              <w:t>Į 2021</w:t>
            </w:r>
            <w:r w:rsidR="00E75D83" w:rsidRPr="00CB746B">
              <w:t>-</w:t>
            </w:r>
            <w:r w:rsidR="00DF5B36" w:rsidRPr="00CB746B">
              <w:t>04-</w:t>
            </w:r>
            <w:r w:rsidR="00C90E87" w:rsidRPr="00CB746B">
              <w:t>28</w:t>
            </w:r>
            <w:r w:rsidR="00E75D83" w:rsidRPr="00CB746B">
              <w:t xml:space="preserve"> Nr.</w:t>
            </w:r>
            <w:r w:rsidR="00C90E87" w:rsidRPr="00CB746B">
              <w:t>1D-2430</w:t>
            </w:r>
          </w:p>
          <w:p w14:paraId="678511A9" w14:textId="18BD4080" w:rsidR="00033F22" w:rsidRPr="00CB746B" w:rsidRDefault="00033F22" w:rsidP="007B4A13">
            <w:pPr>
              <w:framePr w:hSpace="180" w:wrap="around" w:vAnchor="text" w:hAnchor="page" w:x="7286" w:y="12"/>
              <w:ind w:right="24"/>
            </w:pPr>
          </w:p>
        </w:tc>
      </w:tr>
    </w:tbl>
    <w:p w14:paraId="5B526BCC" w14:textId="7F1369A6" w:rsidR="00E75D83" w:rsidRPr="00CB746B" w:rsidRDefault="00DF5B36" w:rsidP="00E75D83">
      <w:pPr>
        <w:pStyle w:val="Adresas"/>
      </w:pPr>
      <w:r w:rsidRPr="00CB746B">
        <w:t xml:space="preserve">Lietuvos Respublikos </w:t>
      </w:r>
      <w:r w:rsidR="00C90E87" w:rsidRPr="00CB746B">
        <w:t xml:space="preserve">vidaus reikalų ministerijai </w:t>
      </w:r>
      <w:r w:rsidRPr="00CB746B">
        <w:t xml:space="preserve"> </w:t>
      </w:r>
    </w:p>
    <w:p w14:paraId="03FE5AB0" w14:textId="77777777" w:rsidR="00E75D83" w:rsidRPr="00CB746B" w:rsidRDefault="00E75D83" w:rsidP="00E75D83">
      <w:pPr>
        <w:pStyle w:val="Adresas"/>
      </w:pPr>
    </w:p>
    <w:p w14:paraId="4FE9C2CA" w14:textId="77777777" w:rsidR="00E75D83" w:rsidRPr="00CB746B" w:rsidRDefault="00E75D83" w:rsidP="00E75D83">
      <w:pPr>
        <w:pStyle w:val="Adresas"/>
      </w:pPr>
    </w:p>
    <w:p w14:paraId="55E2A9B4" w14:textId="77777777" w:rsidR="00E75D83" w:rsidRPr="00CB746B" w:rsidRDefault="00E75D83" w:rsidP="00E75D83">
      <w:pPr>
        <w:pStyle w:val="Adresas"/>
      </w:pPr>
    </w:p>
    <w:p w14:paraId="739554ED" w14:textId="77777777" w:rsidR="00E75D83" w:rsidRPr="00CB746B" w:rsidRDefault="00E75D83" w:rsidP="00E75D83">
      <w:pPr>
        <w:pStyle w:val="Kopija"/>
        <w:ind w:right="279"/>
      </w:pPr>
      <w:r w:rsidRPr="00CB746B">
        <w:t xml:space="preserve"> </w:t>
      </w:r>
    </w:p>
    <w:p w14:paraId="494C56BC" w14:textId="680E813B" w:rsidR="009A1BCC" w:rsidRPr="00CB746B" w:rsidRDefault="009A1BCC" w:rsidP="009A1BCC">
      <w:pPr>
        <w:jc w:val="both"/>
        <w:rPr>
          <w:b/>
          <w:bCs/>
        </w:rPr>
      </w:pPr>
      <w:r w:rsidRPr="00CB746B">
        <w:rPr>
          <w:b/>
          <w:bCs/>
          <w:color w:val="000000"/>
        </w:rPr>
        <w:t>DĖL</w:t>
      </w:r>
      <w:r w:rsidR="00C90E87" w:rsidRPr="00CB746B">
        <w:rPr>
          <w:b/>
          <w:bCs/>
          <w:color w:val="000000"/>
        </w:rPr>
        <w:t xml:space="preserve"> </w:t>
      </w:r>
      <w:r w:rsidR="00C90E87" w:rsidRPr="00CB746B">
        <w:rPr>
          <w:b/>
          <w:bCs/>
        </w:rPr>
        <w:t>LIETUVOS RESPUBLIKOS PILIETYBĖS ĮSTATYMO NR. XI-1196 36 STRAIPSNIO PAKEITIMO IR ĮSTATYMO PAPILDYMO 43</w:t>
      </w:r>
      <w:r w:rsidR="00C90E87" w:rsidRPr="00CB746B">
        <w:rPr>
          <w:b/>
          <w:bCs/>
          <w:vertAlign w:val="superscript"/>
        </w:rPr>
        <w:t xml:space="preserve">1 </w:t>
      </w:r>
      <w:r w:rsidR="00C90E87" w:rsidRPr="00CB746B">
        <w:rPr>
          <w:b/>
          <w:bCs/>
        </w:rPr>
        <w:t>STRAIPSNIU ĮSTATYMO PROJEKTO</w:t>
      </w:r>
    </w:p>
    <w:p w14:paraId="56DEAE65" w14:textId="49DD7B0F" w:rsidR="00E75D83" w:rsidRPr="00CB746B" w:rsidRDefault="00E75D83" w:rsidP="00E75D83"/>
    <w:p w14:paraId="50C6C331" w14:textId="77777777" w:rsidR="00311EAE" w:rsidRPr="00CB746B" w:rsidRDefault="00311EAE" w:rsidP="00E75D83"/>
    <w:p w14:paraId="37D54A49" w14:textId="77777777" w:rsidR="00E75D83" w:rsidRPr="00CB746B" w:rsidRDefault="00E75D83" w:rsidP="00E75D83">
      <w:pPr>
        <w:ind w:firstLine="1276"/>
        <w:jc w:val="both"/>
      </w:pPr>
    </w:p>
    <w:p w14:paraId="2E342085" w14:textId="0EAFD86D" w:rsidR="00DF5B36" w:rsidRPr="00CB746B" w:rsidRDefault="00DF5B36" w:rsidP="00C90E87">
      <w:pPr>
        <w:ind w:firstLine="993"/>
        <w:jc w:val="both"/>
        <w:rPr>
          <w:color w:val="000000"/>
        </w:rPr>
      </w:pPr>
      <w:r w:rsidRPr="00CB746B">
        <w:t>Lietuvos Respublikos teisingumo ministerija</w:t>
      </w:r>
      <w:r w:rsidR="00C90E87" w:rsidRPr="00CB746B">
        <w:t>,</w:t>
      </w:r>
      <w:r w:rsidRPr="00CB746B">
        <w:t xml:space="preserve"> </w:t>
      </w:r>
      <w:r w:rsidR="00C90E87" w:rsidRPr="00CB746B">
        <w:t>įvertinusi</w:t>
      </w:r>
      <w:r w:rsidRPr="00CB746B">
        <w:t xml:space="preserve"> </w:t>
      </w:r>
      <w:hyperlink r:id="rId8" w:history="1">
        <w:r w:rsidR="00C90E87" w:rsidRPr="00CB746B">
          <w:rPr>
            <w:rStyle w:val="Hipersaitas"/>
          </w:rPr>
          <w:t>Lietuvos Respublikos pilietybės įstatymo Nr. XI-1196 36 straipsnio pakeitimo ir Įstatymo papildymo 43</w:t>
        </w:r>
        <w:r w:rsidR="00C90E87" w:rsidRPr="00CB746B">
          <w:rPr>
            <w:rStyle w:val="Hipersaitas"/>
            <w:vertAlign w:val="superscript"/>
          </w:rPr>
          <w:t xml:space="preserve">1 </w:t>
        </w:r>
        <w:r w:rsidR="00C90E87" w:rsidRPr="00CB746B">
          <w:rPr>
            <w:rStyle w:val="Hipersaitas"/>
          </w:rPr>
          <w:t>straipsniu įstatymo projektą</w:t>
        </w:r>
      </w:hyperlink>
      <w:r w:rsidR="00C90E87" w:rsidRPr="00CB746B">
        <w:t xml:space="preserve"> </w:t>
      </w:r>
      <w:r w:rsidR="009A1BCC" w:rsidRPr="00CB746B">
        <w:rPr>
          <w:color w:val="000000"/>
        </w:rPr>
        <w:t>(toliau –</w:t>
      </w:r>
      <w:r w:rsidR="0088303D" w:rsidRPr="00CB746B">
        <w:rPr>
          <w:color w:val="000000"/>
        </w:rPr>
        <w:t xml:space="preserve"> P</w:t>
      </w:r>
      <w:r w:rsidR="009A1BCC" w:rsidRPr="00CB746B">
        <w:rPr>
          <w:color w:val="000000"/>
        </w:rPr>
        <w:t>rojektas)</w:t>
      </w:r>
      <w:r w:rsidR="00C90E87" w:rsidRPr="00CB746B">
        <w:t>, pagal</w:t>
      </w:r>
      <w:r w:rsidR="006228FB" w:rsidRPr="00CB746B">
        <w:rPr>
          <w:color w:val="000000"/>
        </w:rPr>
        <w:t xml:space="preserve"> kompetenciją </w:t>
      </w:r>
      <w:r w:rsidR="00C90E87" w:rsidRPr="00CB746B">
        <w:rPr>
          <w:color w:val="000000"/>
        </w:rPr>
        <w:t xml:space="preserve">teikia šias </w:t>
      </w:r>
      <w:r w:rsidR="006228FB" w:rsidRPr="00CB746B">
        <w:rPr>
          <w:color w:val="000000"/>
        </w:rPr>
        <w:t xml:space="preserve">pastabas ir pasiūlymus: </w:t>
      </w:r>
    </w:p>
    <w:p w14:paraId="29C5A3C1" w14:textId="1C39C1DF" w:rsidR="00A37F1D" w:rsidRPr="00CB746B" w:rsidRDefault="00C90E87" w:rsidP="00433861">
      <w:pPr>
        <w:ind w:firstLine="993"/>
        <w:jc w:val="both"/>
        <w:rPr>
          <w:color w:val="000000"/>
        </w:rPr>
      </w:pPr>
      <w:r w:rsidRPr="00CB746B">
        <w:rPr>
          <w:color w:val="000000"/>
        </w:rPr>
        <w:t xml:space="preserve">1. </w:t>
      </w:r>
      <w:r w:rsidR="00A37F1D" w:rsidRPr="00CB746B">
        <w:rPr>
          <w:color w:val="000000"/>
        </w:rPr>
        <w:t xml:space="preserve">Projekto 1 straipsniu keičiamo </w:t>
      </w:r>
      <w:r w:rsidR="00102BEF">
        <w:rPr>
          <w:color w:val="000000"/>
        </w:rPr>
        <w:t>Lietuvos Respublikos p</w:t>
      </w:r>
      <w:r w:rsidR="00A37F1D" w:rsidRPr="00CB746B">
        <w:rPr>
          <w:color w:val="000000"/>
        </w:rPr>
        <w:t>ilietybės įstatymo 36 straipsnį siūloma papildyti nuostata</w:t>
      </w:r>
      <w:r w:rsidR="001A6F64" w:rsidRPr="00CB746B">
        <w:rPr>
          <w:color w:val="000000"/>
        </w:rPr>
        <w:t>, kad</w:t>
      </w:r>
      <w:r w:rsidR="00A37F1D" w:rsidRPr="00CB746B">
        <w:rPr>
          <w:color w:val="000000"/>
        </w:rPr>
        <w:t xml:space="preserve"> </w:t>
      </w:r>
      <w:r w:rsidR="001A6F64" w:rsidRPr="00CB746B">
        <w:rPr>
          <w:color w:val="000000"/>
        </w:rPr>
        <w:t>s</w:t>
      </w:r>
      <w:r w:rsidR="00A37F1D" w:rsidRPr="00CB746B">
        <w:rPr>
          <w:color w:val="000000"/>
        </w:rPr>
        <w:t xml:space="preserve">prendimai dėl Lietuvos Respublikos pilietybės skelbiami juos nuasmeninus, skelbiamame sprendime fizinių asmenų, dėl kurių šie sprendimai priimti, vardus ir pavardes keičiant inicialais – pirmosiomis fizinių asmenų vardų ir pavardžių raidėmis. </w:t>
      </w:r>
    </w:p>
    <w:p w14:paraId="4901E616" w14:textId="2B570B63" w:rsidR="00EA59AC" w:rsidRPr="00CB746B" w:rsidRDefault="00EA59AC" w:rsidP="00433861">
      <w:pPr>
        <w:ind w:firstLine="993"/>
        <w:jc w:val="both"/>
        <w:rPr>
          <w:i/>
          <w:iCs/>
          <w:color w:val="000000"/>
        </w:rPr>
      </w:pPr>
      <w:r w:rsidRPr="00CB746B">
        <w:rPr>
          <w:i/>
          <w:iCs/>
          <w:color w:val="000000"/>
        </w:rPr>
        <w:t>Dėl nuasmeninimo</w:t>
      </w:r>
    </w:p>
    <w:p w14:paraId="21851D6D" w14:textId="45687EFB" w:rsidR="00A37F1D" w:rsidRPr="00CB746B" w:rsidRDefault="00A37F1D" w:rsidP="00433861">
      <w:pPr>
        <w:ind w:firstLine="993"/>
        <w:jc w:val="both"/>
        <w:rPr>
          <w:color w:val="000000"/>
          <w:lang w:eastAsia="lt-LT"/>
        </w:rPr>
      </w:pPr>
      <w:r w:rsidRPr="00CB746B">
        <w:rPr>
          <w:color w:val="000000"/>
        </w:rPr>
        <w:t xml:space="preserve">2016 m. balandžio 27 d. Europos Parlamento ir Tarybos reglamento (ES) 2016/679 dėl fizinių asmenų apsaugos tvarkant asmens duomenis ir dėl laisvo tokių duomenų judėjimo ir kuriuo panaikinama Direktyva 95/46/EB (Bendrasis duomenų apsaugos reglamentas) </w:t>
      </w:r>
      <w:r w:rsidR="009B39CD" w:rsidRPr="00CB746B">
        <w:rPr>
          <w:color w:val="000000"/>
        </w:rPr>
        <w:t xml:space="preserve">(toliau – </w:t>
      </w:r>
      <w:r w:rsidR="009B39CD" w:rsidRPr="00CB746B">
        <w:rPr>
          <w:color w:val="000000"/>
          <w:lang w:eastAsia="lt-LT"/>
        </w:rPr>
        <w:t xml:space="preserve">Reglamentas (ES) 2016/679) </w:t>
      </w:r>
      <w:r w:rsidRPr="00CB746B">
        <w:rPr>
          <w:color w:val="000000"/>
        </w:rPr>
        <w:t xml:space="preserve">4 straipsnyje pateikiama asmens duomenų sąvoka, pagal kurią asmens duomenys –  </w:t>
      </w:r>
      <w:r w:rsidRPr="00CB746B">
        <w:rPr>
          <w:color w:val="000000"/>
          <w:lang w:eastAsia="lt-LT"/>
        </w:rPr>
        <w:t xml:space="preserve">bet kokia informacija apie fizinį asmenį, kurio tapatybė nustatyta arba kurio tapatybę galima nustatyti (duomenų subjektas); fizinis asmuo, kurio tapatybę galima nustatyti, yra asmuo, kurio tapatybę tiesiogiai arba netiesiogiai galima nustatyti, visų pirma pagal identifikatorių, kaip antai vardą ir pavardę, asmens identifikavimo numerį, buvimo vietos duomenis ir interneto identifikatorių arba pagal vieną ar kelis to fizinio asmens fizinės, fiziologinės, genetinės, psichinės, ekonominės, kultūrinės ar socialinės tapatybės požymius. </w:t>
      </w:r>
    </w:p>
    <w:p w14:paraId="3E5E007E" w14:textId="3C4CC95A" w:rsidR="00C3302D" w:rsidRPr="00CB746B" w:rsidRDefault="00A37F1D" w:rsidP="002C63C4">
      <w:pPr>
        <w:ind w:firstLine="993"/>
        <w:jc w:val="both"/>
        <w:rPr>
          <w:color w:val="000000"/>
          <w:lang w:eastAsia="lt-LT"/>
        </w:rPr>
      </w:pPr>
      <w:r w:rsidRPr="00CB746B">
        <w:rPr>
          <w:color w:val="000000"/>
          <w:lang w:eastAsia="lt-LT"/>
        </w:rPr>
        <w:t>Atsižvelgiant į tai, kad pagal pirmąsias vardo ir pavardės raides (</w:t>
      </w:r>
      <w:r w:rsidR="00C3302D" w:rsidRPr="00CB746B">
        <w:rPr>
          <w:color w:val="000000"/>
          <w:lang w:eastAsia="lt-LT"/>
        </w:rPr>
        <w:t>ypač</w:t>
      </w:r>
      <w:r w:rsidRPr="00CB746B">
        <w:rPr>
          <w:color w:val="000000"/>
          <w:lang w:eastAsia="lt-LT"/>
        </w:rPr>
        <w:t xml:space="preserve"> kai</w:t>
      </w:r>
      <w:r w:rsidR="00121C65" w:rsidRPr="00CB746B">
        <w:rPr>
          <w:color w:val="000000"/>
          <w:lang w:eastAsia="lt-LT"/>
        </w:rPr>
        <w:t xml:space="preserve"> </w:t>
      </w:r>
      <w:r w:rsidR="00121C65" w:rsidRPr="00CB746B">
        <w:rPr>
          <w:color w:val="000000"/>
        </w:rPr>
        <w:t>Teisės aktų registre paskelbtuose</w:t>
      </w:r>
      <w:r w:rsidR="00121C65" w:rsidRPr="00CB746B">
        <w:rPr>
          <w:color w:val="000000"/>
          <w:lang w:eastAsia="lt-LT"/>
        </w:rPr>
        <w:t xml:space="preserve"> </w:t>
      </w:r>
      <w:r w:rsidRPr="00CB746B">
        <w:rPr>
          <w:color w:val="000000"/>
          <w:lang w:eastAsia="lt-LT"/>
        </w:rPr>
        <w:t xml:space="preserve">sprendimuose dėl Lietuvos Respublikos pilietybės pateikiami </w:t>
      </w:r>
      <w:r w:rsidR="001C60E8" w:rsidRPr="00CB746B">
        <w:rPr>
          <w:color w:val="000000"/>
          <w:lang w:eastAsia="lt-LT"/>
        </w:rPr>
        <w:t xml:space="preserve">ir </w:t>
      </w:r>
      <w:r w:rsidRPr="00CB746B">
        <w:rPr>
          <w:color w:val="000000"/>
          <w:lang w:eastAsia="lt-LT"/>
        </w:rPr>
        <w:t>kiti duomenys –</w:t>
      </w:r>
      <w:r w:rsidR="001B7F6F" w:rsidRPr="00CB746B">
        <w:rPr>
          <w:color w:val="000000"/>
          <w:lang w:eastAsia="lt-LT"/>
        </w:rPr>
        <w:t xml:space="preserve"> asmens </w:t>
      </w:r>
      <w:r w:rsidRPr="00CB746B">
        <w:rPr>
          <w:color w:val="000000"/>
          <w:lang w:eastAsia="lt-LT"/>
        </w:rPr>
        <w:t>gimimo data,</w:t>
      </w:r>
      <w:r w:rsidR="00C3302D" w:rsidRPr="00CB746B">
        <w:rPr>
          <w:color w:val="000000"/>
          <w:lang w:eastAsia="lt-LT"/>
        </w:rPr>
        <w:t xml:space="preserve"> valstybė, kurioje asmuo gimė, ir valstybė, kurioje jis gyvena) gal</w:t>
      </w:r>
      <w:r w:rsidR="00C315FE" w:rsidRPr="00CB746B">
        <w:rPr>
          <w:color w:val="000000"/>
          <w:lang w:eastAsia="lt-LT"/>
        </w:rPr>
        <w:t>imybė</w:t>
      </w:r>
      <w:r w:rsidR="00C3302D" w:rsidRPr="00CB746B">
        <w:rPr>
          <w:color w:val="000000"/>
          <w:lang w:eastAsia="lt-LT"/>
        </w:rPr>
        <w:t xml:space="preserve"> identifikuoti</w:t>
      </w:r>
      <w:r w:rsidR="00C315FE" w:rsidRPr="00CB746B">
        <w:rPr>
          <w:color w:val="000000"/>
          <w:lang w:eastAsia="lt-LT"/>
        </w:rPr>
        <w:t xml:space="preserve"> konkretų </w:t>
      </w:r>
      <w:r w:rsidR="001B7F6F" w:rsidRPr="00CB746B">
        <w:rPr>
          <w:color w:val="000000"/>
          <w:lang w:eastAsia="lt-LT"/>
        </w:rPr>
        <w:t xml:space="preserve">fizinį </w:t>
      </w:r>
      <w:r w:rsidR="00C315FE" w:rsidRPr="00CB746B">
        <w:rPr>
          <w:color w:val="000000"/>
          <w:lang w:eastAsia="lt-LT"/>
        </w:rPr>
        <w:t>asmenį išlieka</w:t>
      </w:r>
      <w:r w:rsidR="00C3302D" w:rsidRPr="00CB746B">
        <w:rPr>
          <w:color w:val="000000"/>
          <w:lang w:eastAsia="lt-LT"/>
        </w:rPr>
        <w:t xml:space="preserve">, toks duomenų nuasmeninimas nebūtų </w:t>
      </w:r>
      <w:r w:rsidR="00121C65" w:rsidRPr="00CB746B">
        <w:rPr>
          <w:color w:val="000000"/>
          <w:lang w:eastAsia="lt-LT"/>
        </w:rPr>
        <w:t xml:space="preserve">prilyginamas </w:t>
      </w:r>
      <w:r w:rsidR="008B3BB9" w:rsidRPr="00CB746B">
        <w:rPr>
          <w:color w:val="000000"/>
          <w:lang w:eastAsia="lt-LT"/>
        </w:rPr>
        <w:t xml:space="preserve">visiškam </w:t>
      </w:r>
      <w:r w:rsidR="00121C65" w:rsidRPr="00CB746B">
        <w:rPr>
          <w:color w:val="000000"/>
          <w:lang w:eastAsia="lt-LT"/>
        </w:rPr>
        <w:t>anonimiškumui</w:t>
      </w:r>
      <w:r w:rsidR="00C3302D" w:rsidRPr="00CB746B">
        <w:rPr>
          <w:color w:val="000000"/>
          <w:lang w:eastAsia="lt-LT"/>
        </w:rPr>
        <w:t xml:space="preserve"> ir tokiam asmens duomenų tvarkymui būtų taikomi Reglamento (ES) 2016/679 reikalavimai, kadangi </w:t>
      </w:r>
      <w:r w:rsidR="00C315FE" w:rsidRPr="00CB746B">
        <w:rPr>
          <w:color w:val="000000"/>
          <w:lang w:eastAsia="lt-LT"/>
        </w:rPr>
        <w:t xml:space="preserve">su asmens </w:t>
      </w:r>
      <w:r w:rsidR="00C3302D" w:rsidRPr="00CB746B">
        <w:rPr>
          <w:color w:val="000000"/>
          <w:lang w:eastAsia="lt-LT"/>
        </w:rPr>
        <w:t xml:space="preserve">duomenų </w:t>
      </w:r>
      <w:r w:rsidR="00C315FE" w:rsidRPr="00CB746B">
        <w:rPr>
          <w:color w:val="000000"/>
          <w:lang w:eastAsia="lt-LT"/>
        </w:rPr>
        <w:t>tvarkymu susiję</w:t>
      </w:r>
      <w:r w:rsidR="00C3302D" w:rsidRPr="00CB746B">
        <w:rPr>
          <w:color w:val="000000"/>
          <w:lang w:eastAsia="lt-LT"/>
        </w:rPr>
        <w:t xml:space="preserve"> principai taikomi bet kokiai informacijai apie fizinį asmenį, kurio asmens tapatybė yra nustatyta arba </w:t>
      </w:r>
      <w:r w:rsidR="00C3302D" w:rsidRPr="00CB746B">
        <w:rPr>
          <w:i/>
          <w:color w:val="000000"/>
          <w:lang w:eastAsia="lt-LT"/>
        </w:rPr>
        <w:t>gali būti nustatyta</w:t>
      </w:r>
      <w:r w:rsidR="00C3302D" w:rsidRPr="00CB746B">
        <w:rPr>
          <w:color w:val="000000"/>
          <w:lang w:eastAsia="lt-LT"/>
        </w:rPr>
        <w:t>.</w:t>
      </w:r>
      <w:r w:rsidR="00121C65" w:rsidRPr="00CB746B">
        <w:rPr>
          <w:color w:val="000000"/>
          <w:lang w:eastAsia="lt-LT"/>
        </w:rPr>
        <w:t xml:space="preserve"> Pažymėtina, kad p</w:t>
      </w:r>
      <w:r w:rsidR="00C3302D" w:rsidRPr="00CB746B">
        <w:rPr>
          <w:color w:val="000000"/>
          <w:lang w:eastAsia="lt-LT"/>
        </w:rPr>
        <w:t>agal Reglament</w:t>
      </w:r>
      <w:r w:rsidR="00310BF1" w:rsidRPr="00CB746B">
        <w:rPr>
          <w:color w:val="000000"/>
          <w:lang w:eastAsia="lt-LT"/>
        </w:rPr>
        <w:t xml:space="preserve">o </w:t>
      </w:r>
      <w:r w:rsidR="00C3302D" w:rsidRPr="00CB746B">
        <w:rPr>
          <w:color w:val="000000"/>
          <w:lang w:eastAsia="lt-LT"/>
        </w:rPr>
        <w:t xml:space="preserve">(ES) 2016/679 </w:t>
      </w:r>
      <w:r w:rsidR="00310BF1" w:rsidRPr="00CB746B">
        <w:rPr>
          <w:color w:val="000000"/>
          <w:lang w:eastAsia="lt-LT"/>
        </w:rPr>
        <w:t xml:space="preserve">preambulės 26 punktą </w:t>
      </w:r>
      <w:r w:rsidR="00C3302D" w:rsidRPr="00CB746B">
        <w:rPr>
          <w:color w:val="000000"/>
          <w:lang w:eastAsia="lt-LT"/>
        </w:rPr>
        <w:t xml:space="preserve">duomenų apsaugos principai neturėtų būti taikomi anonimiškai informacijai, t. y. informacijai, kuri nėra susijusi su fiziniu asmeniu, kurio tapatybė yra nustatyta arba gali būti nustatyta, arba asmens duomenims, kurių anonimiškumas užtikrintas taip, kad duomenų subjekto tapatybė negali arba nebegali būti nustatyta. </w:t>
      </w:r>
      <w:r w:rsidR="00866AC6" w:rsidRPr="00CB746B">
        <w:rPr>
          <w:color w:val="000000"/>
          <w:lang w:eastAsia="lt-LT"/>
        </w:rPr>
        <w:t xml:space="preserve">Taigi, jei Projektu siekiama </w:t>
      </w:r>
      <w:r w:rsidR="004D5252" w:rsidRPr="00CB746B">
        <w:rPr>
          <w:color w:val="000000"/>
          <w:lang w:eastAsia="lt-LT"/>
        </w:rPr>
        <w:t xml:space="preserve">nuasmeninimo, kuris būtų prilyginamas </w:t>
      </w:r>
      <w:r w:rsidR="00866AC6" w:rsidRPr="00CB746B">
        <w:rPr>
          <w:color w:val="000000"/>
          <w:lang w:eastAsia="lt-LT"/>
        </w:rPr>
        <w:t>anonimiškum</w:t>
      </w:r>
      <w:r w:rsidR="004D5252" w:rsidRPr="00CB746B">
        <w:rPr>
          <w:color w:val="000000"/>
          <w:lang w:eastAsia="lt-LT"/>
        </w:rPr>
        <w:t>ui</w:t>
      </w:r>
      <w:r w:rsidR="00866AC6" w:rsidRPr="00CB746B">
        <w:rPr>
          <w:color w:val="000000"/>
          <w:lang w:eastAsia="lt-LT"/>
        </w:rPr>
        <w:t>, iš informacijos turi būti pašalin</w:t>
      </w:r>
      <w:r w:rsidR="007B2BD8" w:rsidRPr="00CB746B">
        <w:rPr>
          <w:color w:val="000000"/>
          <w:lang w:eastAsia="lt-LT"/>
        </w:rPr>
        <w:t>t</w:t>
      </w:r>
      <w:r w:rsidR="00866AC6" w:rsidRPr="00CB746B">
        <w:rPr>
          <w:color w:val="000000"/>
          <w:lang w:eastAsia="lt-LT"/>
        </w:rPr>
        <w:t xml:space="preserve">a tiek elementų, kad nebūtų galima nustatyti duomenų subjekto. </w:t>
      </w:r>
      <w:r w:rsidR="002C63C4" w:rsidRPr="00CB746B">
        <w:rPr>
          <w:color w:val="000000"/>
        </w:rPr>
        <w:t xml:space="preserve">29 </w:t>
      </w:r>
      <w:r w:rsidR="002C63C4" w:rsidRPr="00CB746B">
        <w:rPr>
          <w:color w:val="000000"/>
        </w:rPr>
        <w:lastRenderedPageBreak/>
        <w:t>straipsnio duomenų apsaugos darbo grupė, įkurta 1995 m. spalio 24 d. Europos Parlamento ir Tarybos Direktyvos 95/46 EB dėl asmenų apsaugos tvarkant asmens duomenis ir dėl laisvo tokių duomenų judėjimo pagrindu (toliau – Darbo grupė), 2014 m. balandžio 10 d. priimtoje nuomonėje Nr. 05/2014 „Nuomonė dėl nuasmeninimo metodų“ (WP216)</w:t>
      </w:r>
      <w:r w:rsidR="008D08AD" w:rsidRPr="00CB746B">
        <w:rPr>
          <w:color w:val="000000"/>
        </w:rPr>
        <w:t xml:space="preserve"> (toliau – Nuomonė dėl nuasmeninimo metodų) </w:t>
      </w:r>
      <w:r w:rsidR="002C63C4" w:rsidRPr="00CB746B">
        <w:rPr>
          <w:color w:val="000000"/>
        </w:rPr>
        <w:t xml:space="preserve">pasisakė, kad </w:t>
      </w:r>
      <w:r w:rsidR="002C63C4" w:rsidRPr="00CB746B">
        <w:t>nuasmeninimo metodais galima suteikti privatumo garantijų, tačiau tik tuo atveju, jeigu šių metodų taikymas tinkamai organizuojamas, t. y., norint pasiekti reikiamą nuasmeninimo lygį ir kartu parengti naudingus duomenis, turi būti aiškiai nustatytos nuasmeninimo procedūros prielaidos (aplinkybės) ir tikslas (-ai).</w:t>
      </w:r>
    </w:p>
    <w:p w14:paraId="1E9D2DB0" w14:textId="6ECF4D2B" w:rsidR="00BE2F2D" w:rsidRPr="00CB746B" w:rsidRDefault="00BE2F2D" w:rsidP="00BE2F2D">
      <w:pPr>
        <w:ind w:firstLine="993"/>
        <w:jc w:val="both"/>
        <w:rPr>
          <w:color w:val="000000"/>
          <w:lang w:eastAsia="lt-LT"/>
        </w:rPr>
      </w:pPr>
      <w:r w:rsidRPr="00CB746B">
        <w:rPr>
          <w:color w:val="000000"/>
        </w:rPr>
        <w:t xml:space="preserve">Jei </w:t>
      </w:r>
      <w:r w:rsidR="00D73D4E" w:rsidRPr="00CB746B">
        <w:rPr>
          <w:color w:val="000000"/>
        </w:rPr>
        <w:t>P</w:t>
      </w:r>
      <w:r w:rsidRPr="00CB746B">
        <w:rPr>
          <w:color w:val="000000"/>
        </w:rPr>
        <w:t xml:space="preserve">rojekte </w:t>
      </w:r>
      <w:r w:rsidR="002C63C4" w:rsidRPr="00CB746B">
        <w:rPr>
          <w:color w:val="000000"/>
        </w:rPr>
        <w:t>nurodytu</w:t>
      </w:r>
      <w:r w:rsidRPr="00CB746B">
        <w:rPr>
          <w:color w:val="000000"/>
        </w:rPr>
        <w:t xml:space="preserve"> metodu yra siekiama įtvirtinti duomenų apsaugos priemonę – duomenų kodavimą pseudonimais pagal Reglamentą (ES) 2016/679, turime atkreipti dėmesį, kad pseudonimų suteikimas nėra nuasmeninimo metodas. </w:t>
      </w:r>
      <w:r w:rsidR="002556B1" w:rsidRPr="00CB746B">
        <w:rPr>
          <w:color w:val="000000"/>
        </w:rPr>
        <w:t>Pagal Reglament</w:t>
      </w:r>
      <w:r w:rsidR="009B39CD" w:rsidRPr="00CB746B">
        <w:rPr>
          <w:color w:val="000000"/>
        </w:rPr>
        <w:t>o</w:t>
      </w:r>
      <w:r w:rsidR="002556B1" w:rsidRPr="00CB746B">
        <w:rPr>
          <w:color w:val="000000"/>
        </w:rPr>
        <w:t xml:space="preserve"> (ES) 2016/679 4 straipsnio 5 punktą pseudonimų suteikimas – asmens duomenų tvarkymas taip, kad asmens duomenys nebegalėtų būti priskirti konkrečiam duomenų subjektui nesinaudojant papildoma informacija, jeigu tokia papildoma informacija yra saugoma atskirai ir jos atžvilgiu taikomos techninės bei organizacinės priemonės</w:t>
      </w:r>
      <w:r w:rsidR="009B39CD" w:rsidRPr="00CB746B">
        <w:rPr>
          <w:color w:val="000000"/>
        </w:rPr>
        <w:t>,</w:t>
      </w:r>
      <w:r w:rsidR="002556B1" w:rsidRPr="00CB746B">
        <w:rPr>
          <w:color w:val="000000"/>
        </w:rPr>
        <w:t xml:space="preserve"> siekiant užtikrinti asmens duomenų nepriskyrimą fiziniam asmeniui, kurio tapatybė yra nustatyta arba kurio tapatybę galima nustatyti. Reglament</w:t>
      </w:r>
      <w:r w:rsidR="00D52960" w:rsidRPr="00CB746B">
        <w:rPr>
          <w:color w:val="000000"/>
        </w:rPr>
        <w:t>o</w:t>
      </w:r>
      <w:r w:rsidR="002556B1" w:rsidRPr="00CB746B">
        <w:rPr>
          <w:color w:val="000000"/>
        </w:rPr>
        <w:t xml:space="preserve"> (ES) 2016/679 preambulės 28 punkte pasakyta, kad </w:t>
      </w:r>
      <w:r w:rsidR="002556B1" w:rsidRPr="00CB746B">
        <w:rPr>
          <w:color w:val="000000"/>
          <w:lang w:eastAsia="lt-LT"/>
        </w:rPr>
        <w:t xml:space="preserve">pseudonimų suteikimas asmens duomenims gali sumažinti atitinkamiems duomenų subjektams kylančius pavojus ir padėti duomenų valdytojams ir duomenų tvarkytojams įvykdyti savo duomenų apsaugos prievoles. </w:t>
      </w:r>
    </w:p>
    <w:p w14:paraId="368540FD" w14:textId="2171D8B9" w:rsidR="008B3BB9" w:rsidRPr="00CB746B" w:rsidRDefault="008B3BB9" w:rsidP="00BE2F2D">
      <w:pPr>
        <w:ind w:firstLine="993"/>
        <w:jc w:val="both"/>
        <w:rPr>
          <w:color w:val="000000"/>
        </w:rPr>
      </w:pPr>
      <w:r w:rsidRPr="00CB746B">
        <w:rPr>
          <w:color w:val="000000"/>
        </w:rPr>
        <w:t xml:space="preserve">Darbo grupė </w:t>
      </w:r>
      <w:r w:rsidR="008D08AD" w:rsidRPr="00CB746B">
        <w:rPr>
          <w:color w:val="000000"/>
        </w:rPr>
        <w:t>N</w:t>
      </w:r>
      <w:r w:rsidRPr="00CB746B">
        <w:rPr>
          <w:color w:val="000000"/>
        </w:rPr>
        <w:t>uomonė</w:t>
      </w:r>
      <w:r w:rsidR="008D08AD" w:rsidRPr="00CB746B">
        <w:rPr>
          <w:color w:val="000000"/>
        </w:rPr>
        <w:t>je</w:t>
      </w:r>
      <w:r w:rsidRPr="00CB746B">
        <w:rPr>
          <w:color w:val="000000"/>
        </w:rPr>
        <w:t xml:space="preserve"> dėl nuasmeninimo metodų </w:t>
      </w:r>
      <w:r w:rsidR="00163243" w:rsidRPr="00CB746B">
        <w:rPr>
          <w:color w:val="000000"/>
        </w:rPr>
        <w:t>yra pasisakiusi</w:t>
      </w:r>
      <w:r w:rsidRPr="00CB746B">
        <w:rPr>
          <w:color w:val="000000"/>
        </w:rPr>
        <w:t xml:space="preserve">, kad </w:t>
      </w:r>
      <w:r w:rsidR="00BE2F2D" w:rsidRPr="00CB746B">
        <w:rPr>
          <w:color w:val="000000"/>
        </w:rPr>
        <w:t>d</w:t>
      </w:r>
      <w:r w:rsidRPr="00CB746B">
        <w:rPr>
          <w:color w:val="000000"/>
        </w:rPr>
        <w:t>ažnai klaidingai manoma, kad pseudonimais užkoduoti duomenys ir nuasmeninti duomenys yra lygiaverčiai. Pseudonimais užkoduotų duomenų negalima prilyginti nuasmenintai informacijai, nes, naudojantis tokiais duomenimis, išlieka galimybė išskirti pavienį duomenų subjektą ir jį susieti su įvairiais duomenų rinkiniais. Suteikiant pseudonimą, veikiausiai bus įmanoma nustatyti asmens tapatybę, todėl tokiems duomenims taikoma teisinė duomenų apsaugos sistema</w:t>
      </w:r>
      <w:r w:rsidR="00BE2F2D" w:rsidRPr="00CB746B">
        <w:rPr>
          <w:color w:val="000000"/>
        </w:rPr>
        <w:t xml:space="preserve">. </w:t>
      </w:r>
    </w:p>
    <w:p w14:paraId="2793FFBC" w14:textId="21D05D90" w:rsidR="00DD5470" w:rsidRPr="00CB746B" w:rsidRDefault="004D0934" w:rsidP="00BE2F2D">
      <w:pPr>
        <w:ind w:firstLine="993"/>
        <w:jc w:val="both"/>
        <w:rPr>
          <w:color w:val="000000"/>
        </w:rPr>
      </w:pPr>
      <w:r w:rsidRPr="00CB746B">
        <w:rPr>
          <w:color w:val="000000"/>
        </w:rPr>
        <w:t xml:space="preserve">Norime pažymėti, kad </w:t>
      </w:r>
      <w:r w:rsidR="00DD5470" w:rsidRPr="00CB746B">
        <w:rPr>
          <w:color w:val="000000"/>
        </w:rPr>
        <w:t xml:space="preserve">abejotina, kad </w:t>
      </w:r>
      <w:r w:rsidR="00FE396D" w:rsidRPr="00CB746B">
        <w:rPr>
          <w:color w:val="000000"/>
        </w:rPr>
        <w:t>būdas</w:t>
      </w:r>
      <w:r w:rsidR="00DD5470" w:rsidRPr="00CB746B">
        <w:rPr>
          <w:color w:val="000000"/>
        </w:rPr>
        <w:t xml:space="preserve">, kai vietoj vardo ir pavardės naudojamos pirmosios jų raidės, būtų laikomas tinkamu pseudonimų suteikimu duomenims, kadangi toks </w:t>
      </w:r>
      <w:r w:rsidR="00FE396D" w:rsidRPr="00CB746B">
        <w:rPr>
          <w:color w:val="000000"/>
        </w:rPr>
        <w:t>būdas</w:t>
      </w:r>
      <w:r w:rsidR="00DD5470" w:rsidRPr="00CB746B">
        <w:rPr>
          <w:color w:val="000000"/>
        </w:rPr>
        <w:t xml:space="preserve"> ženkliai nesumažina pavojaus, kylančio duomenų subjektams, nes galimybė identifikuoti konkretų asmen</w:t>
      </w:r>
      <w:r w:rsidR="00CB746B" w:rsidRPr="00CB746B">
        <w:rPr>
          <w:color w:val="000000"/>
        </w:rPr>
        <w:t>į</w:t>
      </w:r>
      <w:r w:rsidR="00DD5470" w:rsidRPr="00CB746B">
        <w:rPr>
          <w:color w:val="000000"/>
        </w:rPr>
        <w:t xml:space="preserve"> </w:t>
      </w:r>
      <w:r w:rsidR="00FE396D" w:rsidRPr="00CB746B">
        <w:rPr>
          <w:color w:val="000000"/>
        </w:rPr>
        <w:t>išlieka</w:t>
      </w:r>
      <w:r w:rsidR="00DD5470" w:rsidRPr="00CB746B">
        <w:rPr>
          <w:color w:val="000000"/>
        </w:rPr>
        <w:t xml:space="preserve"> gana didelė. </w:t>
      </w:r>
    </w:p>
    <w:p w14:paraId="0BEA90D2" w14:textId="7C1EE911" w:rsidR="00121C65" w:rsidRPr="00CB746B" w:rsidRDefault="00121C65" w:rsidP="00A41DDE">
      <w:pPr>
        <w:ind w:firstLine="993"/>
        <w:jc w:val="both"/>
        <w:rPr>
          <w:color w:val="000000"/>
          <w:lang w:eastAsia="lt-LT"/>
        </w:rPr>
      </w:pPr>
      <w:r w:rsidRPr="00CB746B">
        <w:rPr>
          <w:color w:val="000000"/>
          <w:lang w:eastAsia="lt-LT"/>
        </w:rPr>
        <w:t xml:space="preserve">Atsižvelgiant į tai, kas išdėstyta, siūlytina įvertinti, </w:t>
      </w:r>
      <w:r w:rsidR="00DE2A24" w:rsidRPr="00CB746B">
        <w:rPr>
          <w:color w:val="000000"/>
          <w:lang w:eastAsia="lt-LT"/>
        </w:rPr>
        <w:t>ko siekiama</w:t>
      </w:r>
      <w:r w:rsidRPr="00CB746B">
        <w:rPr>
          <w:color w:val="000000"/>
          <w:lang w:eastAsia="lt-LT"/>
        </w:rPr>
        <w:t xml:space="preserve"> tok</w:t>
      </w:r>
      <w:r w:rsidR="000F632A" w:rsidRPr="00CB746B">
        <w:rPr>
          <w:color w:val="000000"/>
          <w:lang w:eastAsia="lt-LT"/>
        </w:rPr>
        <w:t>iu</w:t>
      </w:r>
      <w:r w:rsidRPr="00CB746B">
        <w:rPr>
          <w:color w:val="000000"/>
          <w:lang w:eastAsia="lt-LT"/>
        </w:rPr>
        <w:t xml:space="preserve"> pasirinkt</w:t>
      </w:r>
      <w:r w:rsidR="000F632A" w:rsidRPr="00CB746B">
        <w:rPr>
          <w:color w:val="000000"/>
          <w:lang w:eastAsia="lt-LT"/>
        </w:rPr>
        <w:t>u</w:t>
      </w:r>
      <w:r w:rsidRPr="00CB746B">
        <w:rPr>
          <w:color w:val="000000"/>
          <w:lang w:eastAsia="lt-LT"/>
        </w:rPr>
        <w:t xml:space="preserve"> </w:t>
      </w:r>
      <w:r w:rsidR="00D73D4E" w:rsidRPr="00CB746B">
        <w:rPr>
          <w:color w:val="000000"/>
          <w:lang w:eastAsia="lt-LT"/>
        </w:rPr>
        <w:t>metodu</w:t>
      </w:r>
      <w:r w:rsidR="004D5252" w:rsidRPr="00CB746B">
        <w:rPr>
          <w:color w:val="000000"/>
          <w:lang w:eastAsia="lt-LT"/>
        </w:rPr>
        <w:t xml:space="preserve">, kai </w:t>
      </w:r>
      <w:r w:rsidR="00852DB9" w:rsidRPr="00CB746B">
        <w:rPr>
          <w:color w:val="000000"/>
          <w:lang w:eastAsia="lt-LT"/>
        </w:rPr>
        <w:t>vard</w:t>
      </w:r>
      <w:r w:rsidR="004D5252" w:rsidRPr="00CB746B">
        <w:rPr>
          <w:color w:val="000000"/>
          <w:lang w:eastAsia="lt-LT"/>
        </w:rPr>
        <w:t>ai</w:t>
      </w:r>
      <w:r w:rsidR="00852DB9" w:rsidRPr="00CB746B">
        <w:rPr>
          <w:color w:val="000000"/>
          <w:lang w:eastAsia="lt-LT"/>
        </w:rPr>
        <w:t xml:space="preserve"> ir pavard</w:t>
      </w:r>
      <w:r w:rsidR="004D5252" w:rsidRPr="00CB746B">
        <w:rPr>
          <w:color w:val="000000"/>
          <w:lang w:eastAsia="lt-LT"/>
        </w:rPr>
        <w:t>ė</w:t>
      </w:r>
      <w:r w:rsidR="00852DB9" w:rsidRPr="00CB746B">
        <w:rPr>
          <w:color w:val="000000"/>
          <w:lang w:eastAsia="lt-LT"/>
        </w:rPr>
        <w:t>s keičia</w:t>
      </w:r>
      <w:r w:rsidR="004D5252" w:rsidRPr="00CB746B">
        <w:rPr>
          <w:color w:val="000000"/>
          <w:lang w:eastAsia="lt-LT"/>
        </w:rPr>
        <w:t>mi</w:t>
      </w:r>
      <w:r w:rsidR="00852DB9" w:rsidRPr="00CB746B">
        <w:rPr>
          <w:color w:val="000000"/>
          <w:lang w:eastAsia="lt-LT"/>
        </w:rPr>
        <w:t xml:space="preserve"> inicialais – pirmosiomis fizinių asmenų vardų ir pavardžių raidėmis </w:t>
      </w:r>
      <w:r w:rsidR="004D5252" w:rsidRPr="00CB746B">
        <w:rPr>
          <w:color w:val="000000"/>
          <w:lang w:eastAsia="lt-LT"/>
        </w:rPr>
        <w:t>(</w:t>
      </w:r>
      <w:r w:rsidR="00852DB9" w:rsidRPr="00CB746B">
        <w:rPr>
          <w:color w:val="000000"/>
          <w:lang w:eastAsia="lt-LT"/>
        </w:rPr>
        <w:t>kartu</w:t>
      </w:r>
      <w:r w:rsidR="004D5252" w:rsidRPr="00CB746B">
        <w:rPr>
          <w:color w:val="000000"/>
          <w:lang w:eastAsia="lt-LT"/>
        </w:rPr>
        <w:t xml:space="preserve"> skelbiant ir kitus su asmeniu susijusius</w:t>
      </w:r>
      <w:r w:rsidR="00852DB9" w:rsidRPr="00CB746B">
        <w:rPr>
          <w:color w:val="000000"/>
          <w:lang w:eastAsia="lt-LT"/>
        </w:rPr>
        <w:t xml:space="preserve"> duomen</w:t>
      </w:r>
      <w:r w:rsidR="00CB746B" w:rsidRPr="00CB746B">
        <w:rPr>
          <w:color w:val="000000"/>
          <w:lang w:eastAsia="lt-LT"/>
        </w:rPr>
        <w:t>i</w:t>
      </w:r>
      <w:r w:rsidR="00852DB9" w:rsidRPr="00CB746B">
        <w:rPr>
          <w:color w:val="000000"/>
          <w:lang w:eastAsia="lt-LT"/>
        </w:rPr>
        <w:t>s)</w:t>
      </w:r>
      <w:r w:rsidR="00DE2A24" w:rsidRPr="00CB746B">
        <w:rPr>
          <w:color w:val="000000"/>
          <w:lang w:eastAsia="lt-LT"/>
        </w:rPr>
        <w:t xml:space="preserve"> – ar duomen</w:t>
      </w:r>
      <w:r w:rsidR="00163243" w:rsidRPr="00CB746B">
        <w:rPr>
          <w:color w:val="000000"/>
          <w:lang w:eastAsia="lt-LT"/>
        </w:rPr>
        <w:t>ų</w:t>
      </w:r>
      <w:r w:rsidR="00DE2A24" w:rsidRPr="00CB746B">
        <w:rPr>
          <w:color w:val="000000"/>
          <w:lang w:eastAsia="lt-LT"/>
        </w:rPr>
        <w:t xml:space="preserve"> nuasmen</w:t>
      </w:r>
      <w:r w:rsidR="00163243" w:rsidRPr="00CB746B">
        <w:rPr>
          <w:color w:val="000000"/>
          <w:lang w:eastAsia="lt-LT"/>
        </w:rPr>
        <w:t>inimo (anonimiškumo)</w:t>
      </w:r>
      <w:r w:rsidR="00DE2A24" w:rsidRPr="00CB746B">
        <w:rPr>
          <w:color w:val="000000"/>
          <w:lang w:eastAsia="lt-LT"/>
        </w:rPr>
        <w:t>, ar duomen</w:t>
      </w:r>
      <w:r w:rsidR="00163243" w:rsidRPr="00CB746B">
        <w:rPr>
          <w:color w:val="000000"/>
          <w:lang w:eastAsia="lt-LT"/>
        </w:rPr>
        <w:t>ų pseudonimizavimo</w:t>
      </w:r>
      <w:r w:rsidRPr="00CB746B">
        <w:rPr>
          <w:color w:val="000000"/>
          <w:lang w:eastAsia="lt-LT"/>
        </w:rPr>
        <w:t xml:space="preserve">. </w:t>
      </w:r>
      <w:r w:rsidR="00A41DDE" w:rsidRPr="00CB746B">
        <w:rPr>
          <w:color w:val="000000"/>
          <w:lang w:eastAsia="lt-LT"/>
        </w:rPr>
        <w:t xml:space="preserve">Visgi, vertinant Projektu siūlomus keitimus </w:t>
      </w:r>
      <w:r w:rsidR="00BA2E95" w:rsidRPr="00CB746B">
        <w:rPr>
          <w:color w:val="000000"/>
          <w:lang w:eastAsia="lt-LT"/>
        </w:rPr>
        <w:t>principų, susijusių su asmens duomenų tvarkymu,</w:t>
      </w:r>
      <w:r w:rsidR="00A41DDE" w:rsidRPr="00CB746B">
        <w:rPr>
          <w:color w:val="000000"/>
          <w:lang w:eastAsia="lt-LT"/>
        </w:rPr>
        <w:t xml:space="preserve"> ir teisėkūros principų užtikrinimo aspektu, tampa neaišku, kokiu tikslu ir siekiant kokį viešąjį interesą užtikrinti ir apsaugoti toliau būtų vykdomas sprendimų skelbimas, bei kaip šį interesą užtikrinti ar apsaugoti padėtų nuasmenintų sprendimų skelbimas.</w:t>
      </w:r>
    </w:p>
    <w:p w14:paraId="6A2BEB0F" w14:textId="51A2295D" w:rsidR="00A41DDE" w:rsidRPr="00CB746B" w:rsidRDefault="00C57BE0" w:rsidP="00A41DDE">
      <w:pPr>
        <w:ind w:firstLine="993"/>
        <w:jc w:val="both"/>
        <w:rPr>
          <w:color w:val="000000"/>
        </w:rPr>
      </w:pPr>
      <w:r w:rsidRPr="00CB746B">
        <w:rPr>
          <w:color w:val="000000"/>
        </w:rPr>
        <w:t>Taip pat atkreiptinas dėmesys, kad</w:t>
      </w:r>
      <w:r w:rsidR="00102BEF">
        <w:rPr>
          <w:color w:val="000000"/>
        </w:rPr>
        <w:t>,</w:t>
      </w:r>
      <w:r w:rsidRPr="00CB746B">
        <w:rPr>
          <w:color w:val="000000"/>
        </w:rPr>
        <w:t xml:space="preserve"> j</w:t>
      </w:r>
      <w:r w:rsidR="00A41DDE" w:rsidRPr="00CB746B">
        <w:rPr>
          <w:color w:val="000000"/>
        </w:rPr>
        <w:t xml:space="preserve">ei būtų priimtas sprendimas skelbiamus </w:t>
      </w:r>
      <w:r w:rsidR="00163243" w:rsidRPr="00CB746B">
        <w:rPr>
          <w:color w:val="000000"/>
        </w:rPr>
        <w:t xml:space="preserve">asmens duomenis </w:t>
      </w:r>
      <w:r w:rsidR="00A41DDE" w:rsidRPr="00CB746B">
        <w:rPr>
          <w:color w:val="000000"/>
        </w:rPr>
        <w:t>sprendimu</w:t>
      </w:r>
      <w:r w:rsidR="00163243" w:rsidRPr="00CB746B">
        <w:rPr>
          <w:color w:val="000000"/>
        </w:rPr>
        <w:t>ose</w:t>
      </w:r>
      <w:r w:rsidR="00A41DDE" w:rsidRPr="00CB746B">
        <w:rPr>
          <w:color w:val="000000"/>
        </w:rPr>
        <w:t xml:space="preserve"> nuasmeninti, </w:t>
      </w:r>
      <w:r w:rsidR="00163243" w:rsidRPr="00CB746B">
        <w:rPr>
          <w:color w:val="000000"/>
        </w:rPr>
        <w:t xml:space="preserve">suteikti duomenims pseudonimus ar taikyti kitas asmens duomenų apsaugos priemones, </w:t>
      </w:r>
      <w:r w:rsidR="00A41DDE" w:rsidRPr="00CB746B">
        <w:rPr>
          <w:color w:val="000000"/>
        </w:rPr>
        <w:t xml:space="preserve">siūlytina įvertinti, ar įstatyme nepakaktų </w:t>
      </w:r>
      <w:r w:rsidR="00312750" w:rsidRPr="00CB746B">
        <w:rPr>
          <w:color w:val="000000"/>
        </w:rPr>
        <w:t>pačios pareigos</w:t>
      </w:r>
      <w:r w:rsidR="00311EAE" w:rsidRPr="00CB746B">
        <w:rPr>
          <w:color w:val="000000"/>
        </w:rPr>
        <w:t xml:space="preserve"> duomenis nuasmeninti ar suteikti jiems pseudonimus</w:t>
      </w:r>
      <w:r w:rsidR="00312750" w:rsidRPr="00CB746B">
        <w:rPr>
          <w:color w:val="000000"/>
        </w:rPr>
        <w:t xml:space="preserve"> </w:t>
      </w:r>
      <w:r w:rsidR="00A41DDE" w:rsidRPr="00CB746B">
        <w:rPr>
          <w:color w:val="000000"/>
        </w:rPr>
        <w:t xml:space="preserve">įtvirtinimo, </w:t>
      </w:r>
      <w:r w:rsidR="00163243" w:rsidRPr="00CB746B">
        <w:rPr>
          <w:color w:val="000000"/>
        </w:rPr>
        <w:t xml:space="preserve">pasirinktos priemonės (būdo) </w:t>
      </w:r>
      <w:r w:rsidR="00102BEF">
        <w:rPr>
          <w:color w:val="000000"/>
        </w:rPr>
        <w:t xml:space="preserve">realizavimo </w:t>
      </w:r>
      <w:r w:rsidR="00A41DDE" w:rsidRPr="00CB746B">
        <w:rPr>
          <w:color w:val="000000"/>
        </w:rPr>
        <w:t xml:space="preserve">tvarką </w:t>
      </w:r>
      <w:r w:rsidR="00312750" w:rsidRPr="00CB746B">
        <w:rPr>
          <w:color w:val="000000"/>
        </w:rPr>
        <w:t xml:space="preserve">numatant </w:t>
      </w:r>
      <w:r w:rsidR="00A41DDE" w:rsidRPr="00CB746B">
        <w:rPr>
          <w:color w:val="000000"/>
        </w:rPr>
        <w:t>įgyvendinam</w:t>
      </w:r>
      <w:r w:rsidR="00312750" w:rsidRPr="00CB746B">
        <w:rPr>
          <w:color w:val="000000"/>
        </w:rPr>
        <w:t>ųjų</w:t>
      </w:r>
      <w:r w:rsidR="00A41DDE" w:rsidRPr="00CB746B">
        <w:rPr>
          <w:color w:val="000000"/>
        </w:rPr>
        <w:t xml:space="preserve"> teisės akt</w:t>
      </w:r>
      <w:r w:rsidR="00CB746B" w:rsidRPr="00CB746B">
        <w:rPr>
          <w:color w:val="000000"/>
        </w:rPr>
        <w:t>ų</w:t>
      </w:r>
      <w:r w:rsidR="00312750" w:rsidRPr="00CB746B">
        <w:rPr>
          <w:color w:val="000000"/>
        </w:rPr>
        <w:t xml:space="preserve"> reguliavimui</w:t>
      </w:r>
      <w:r w:rsidR="00A41DDE" w:rsidRPr="00CB746B">
        <w:rPr>
          <w:color w:val="000000"/>
        </w:rPr>
        <w:t xml:space="preserve"> (pvz., Teisės aktų registro nuostatuose, patvirtintuose Lietuvos Respublikos Seimo 2013 m. gruodžio 17 d. nutarimu Nr. XII-694, ar </w:t>
      </w:r>
      <w:r w:rsidR="00A41DDE" w:rsidRPr="00CB746B">
        <w:rPr>
          <w:color w:val="000000"/>
          <w:shd w:val="clear" w:color="auto" w:fill="FFFFFF"/>
        </w:rPr>
        <w:t>Teisės aktų pateikimo, registravimo ir skelbimo Teisės aktų registre tvarkos apraš</w:t>
      </w:r>
      <w:r w:rsidR="00BA2E95" w:rsidRPr="00CB746B">
        <w:rPr>
          <w:color w:val="000000"/>
          <w:shd w:val="clear" w:color="auto" w:fill="FFFFFF"/>
        </w:rPr>
        <w:t>e</w:t>
      </w:r>
      <w:r w:rsidR="00A41DDE" w:rsidRPr="00CB746B">
        <w:rPr>
          <w:color w:val="000000"/>
          <w:shd w:val="clear" w:color="auto" w:fill="FFFFFF"/>
        </w:rPr>
        <w:t>, patvirtintam</w:t>
      </w:r>
      <w:r w:rsidR="00BA2E95" w:rsidRPr="00CB746B">
        <w:rPr>
          <w:color w:val="000000"/>
          <w:shd w:val="clear" w:color="auto" w:fill="FFFFFF"/>
        </w:rPr>
        <w:t>e</w:t>
      </w:r>
      <w:r w:rsidR="00A41DDE" w:rsidRPr="00CB746B">
        <w:rPr>
          <w:color w:val="000000"/>
          <w:shd w:val="clear" w:color="auto" w:fill="FFFFFF"/>
        </w:rPr>
        <w:t xml:space="preserve"> Lietuvos Respublikos Seimo kanclerio 2013 m. gruodžio 5 d. įsakymu Nr. 400-ĮVK-369</w:t>
      </w:r>
      <w:r w:rsidR="00D029DD">
        <w:rPr>
          <w:color w:val="000000"/>
          <w:shd w:val="clear" w:color="auto" w:fill="FFFFFF"/>
        </w:rPr>
        <w:t xml:space="preserve"> (toliau – Aprašas)</w:t>
      </w:r>
      <w:r w:rsidR="00A41DDE" w:rsidRPr="00CB746B">
        <w:rPr>
          <w:color w:val="000000"/>
          <w:shd w:val="clear" w:color="auto" w:fill="FFFFFF"/>
        </w:rPr>
        <w:t>, ar kitam</w:t>
      </w:r>
      <w:r w:rsidR="00BA2E95" w:rsidRPr="00CB746B">
        <w:rPr>
          <w:color w:val="000000"/>
          <w:shd w:val="clear" w:color="auto" w:fill="FFFFFF"/>
        </w:rPr>
        <w:t>e</w:t>
      </w:r>
      <w:r w:rsidR="00A41DDE" w:rsidRPr="00CB746B">
        <w:rPr>
          <w:color w:val="000000"/>
          <w:shd w:val="clear" w:color="auto" w:fill="FFFFFF"/>
        </w:rPr>
        <w:t>, specialiam</w:t>
      </w:r>
      <w:r w:rsidR="00BA2E95" w:rsidRPr="00CB746B">
        <w:rPr>
          <w:color w:val="000000"/>
          <w:shd w:val="clear" w:color="auto" w:fill="FFFFFF"/>
        </w:rPr>
        <w:t>e</w:t>
      </w:r>
      <w:r w:rsidR="00A41DDE" w:rsidRPr="00CB746B">
        <w:rPr>
          <w:color w:val="000000"/>
          <w:shd w:val="clear" w:color="auto" w:fill="FFFFFF"/>
        </w:rPr>
        <w:t xml:space="preserve"> įgyvendinamajam</w:t>
      </w:r>
      <w:r w:rsidR="00BA2E95" w:rsidRPr="00CB746B">
        <w:rPr>
          <w:color w:val="000000"/>
          <w:shd w:val="clear" w:color="auto" w:fill="FFFFFF"/>
        </w:rPr>
        <w:t>e</w:t>
      </w:r>
      <w:r w:rsidR="00A41DDE" w:rsidRPr="00CB746B">
        <w:rPr>
          <w:color w:val="000000"/>
          <w:shd w:val="clear" w:color="auto" w:fill="FFFFFF"/>
        </w:rPr>
        <w:t xml:space="preserve"> teisės akt</w:t>
      </w:r>
      <w:r w:rsidR="00BA2E95" w:rsidRPr="00CB746B">
        <w:rPr>
          <w:color w:val="000000"/>
          <w:shd w:val="clear" w:color="auto" w:fill="FFFFFF"/>
        </w:rPr>
        <w:t>e</w:t>
      </w:r>
      <w:r w:rsidR="00A41DDE" w:rsidRPr="00CB746B">
        <w:rPr>
          <w:color w:val="000000"/>
        </w:rPr>
        <w:t>).</w:t>
      </w:r>
    </w:p>
    <w:p w14:paraId="17373CE7" w14:textId="74E431CE" w:rsidR="00EA59AC" w:rsidRPr="00CB746B" w:rsidRDefault="00EA59AC" w:rsidP="00433861">
      <w:pPr>
        <w:ind w:firstLine="993"/>
        <w:jc w:val="both"/>
        <w:rPr>
          <w:i/>
          <w:iCs/>
          <w:color w:val="000000"/>
          <w:lang w:eastAsia="lt-LT"/>
        </w:rPr>
      </w:pPr>
      <w:r w:rsidRPr="00CB746B">
        <w:rPr>
          <w:i/>
          <w:iCs/>
          <w:color w:val="000000"/>
          <w:lang w:eastAsia="lt-LT"/>
        </w:rPr>
        <w:t xml:space="preserve">Dėl viešo asmens duomenų skelbimo </w:t>
      </w:r>
    </w:p>
    <w:p w14:paraId="40B569EA" w14:textId="64971DC4" w:rsidR="00B320D9" w:rsidRPr="00CB746B" w:rsidRDefault="00B320D9" w:rsidP="00B320D9">
      <w:pPr>
        <w:ind w:firstLine="993"/>
        <w:jc w:val="both"/>
        <w:rPr>
          <w:color w:val="000000"/>
        </w:rPr>
      </w:pPr>
      <w:r w:rsidRPr="00CB746B">
        <w:rPr>
          <w:color w:val="000000"/>
        </w:rPr>
        <w:t xml:space="preserve">Reglamento (ES) 2016/679 5 straipsnio 1 dalies a punkte įtvirtinta, kad asmens duomenys </w:t>
      </w:r>
      <w:r w:rsidRPr="00CB746B">
        <w:rPr>
          <w:color w:val="000000"/>
          <w:lang w:eastAsia="lt-LT"/>
        </w:rPr>
        <w:t xml:space="preserve">duomenų subjekto atžvilgiu tvarkomi teisėtu, sąžiningu ir skaidriu būdu (teisėtumo, sąžiningumo ir skaidrumo principas), </w:t>
      </w:r>
      <w:r w:rsidRPr="00CB746B">
        <w:rPr>
          <w:color w:val="000000"/>
        </w:rPr>
        <w:t xml:space="preserve">c punkte – </w:t>
      </w:r>
      <w:r w:rsidR="00102BEF">
        <w:rPr>
          <w:color w:val="000000"/>
        </w:rPr>
        <w:t xml:space="preserve">kad </w:t>
      </w:r>
      <w:r w:rsidRPr="00CB746B">
        <w:rPr>
          <w:color w:val="000000"/>
        </w:rPr>
        <w:t xml:space="preserve">asmens duomenys turi būti adekvatūs, tinkami ir tik tokie, </w:t>
      </w:r>
      <w:r w:rsidRPr="00CB746B">
        <w:rPr>
          <w:color w:val="000000"/>
        </w:rPr>
        <w:lastRenderedPageBreak/>
        <w:t>kurių reikia siekiant tikslų, dėl kurių jie tvarkomi (duomenų kiekio mažinimo principas)</w:t>
      </w:r>
      <w:r w:rsidR="009B39CD" w:rsidRPr="00CB746B">
        <w:rPr>
          <w:color w:val="000000"/>
        </w:rPr>
        <w:t>,</w:t>
      </w:r>
      <w:r w:rsidRPr="00CB746B">
        <w:rPr>
          <w:color w:val="000000"/>
        </w:rPr>
        <w:t xml:space="preserve"> ir e punkte – </w:t>
      </w:r>
      <w:r w:rsidR="00102BEF">
        <w:rPr>
          <w:color w:val="000000"/>
        </w:rPr>
        <w:t xml:space="preserve">kad jie </w:t>
      </w:r>
      <w:r w:rsidRPr="00CB746B">
        <w:rPr>
          <w:color w:val="000000"/>
        </w:rPr>
        <w:t xml:space="preserve">laikomi tokia forma, kad duomenų subjektų tapatybę būtų galima nustatyti ne ilgiau, nei tai yra būtina tais tikslais, kuriais asmens duomenys yra tvarkomi (saugojimo trukmės apribojimo principas). </w:t>
      </w:r>
    </w:p>
    <w:p w14:paraId="0AAD0356" w14:textId="2C99938F" w:rsidR="00B320D9" w:rsidRPr="00CB746B" w:rsidRDefault="00B320D9" w:rsidP="00B320D9">
      <w:pPr>
        <w:ind w:firstLine="993"/>
        <w:jc w:val="both"/>
        <w:rPr>
          <w:color w:val="000000"/>
        </w:rPr>
      </w:pPr>
      <w:r w:rsidRPr="00CB746B">
        <w:rPr>
          <w:color w:val="000000"/>
        </w:rPr>
        <w:t xml:space="preserve">Pagal </w:t>
      </w:r>
      <w:r w:rsidRPr="00CB746B">
        <w:rPr>
          <w:color w:val="000000"/>
          <w:lang w:eastAsia="lt-LT"/>
        </w:rPr>
        <w:t xml:space="preserve">Reglamento (ES) 2016/679 </w:t>
      </w:r>
      <w:r w:rsidRPr="00CB746B">
        <w:rPr>
          <w:color w:val="000000"/>
        </w:rPr>
        <w:t xml:space="preserve"> 6 straipsnio 3 dalį, tuo atveju, kai nacionalinėje teisėje įtvirtinama prievolė tvarkyti asmens duomenis, tame teisės akte privalo būti nurodomas duomenų tvarkymo tikslas, taip pat galėtų būti išdėstytos konkrečios nuostatos pagal šį reglamentą taikomų taisyklių pritaikymui, įskaitant bendrąsias sąlygas, reglamentuojančias duomenų valdytojo atliekamo duomenų tvarkymo teisėtumą, tvarkytinų duomenų rūšis, atitinkamus duomenų subjektus, subjektus, kuriems asmens duomenys gali būti atskleisti</w:t>
      </w:r>
      <w:r w:rsidR="009B39CD" w:rsidRPr="00CB746B">
        <w:rPr>
          <w:color w:val="000000"/>
        </w:rPr>
        <w:t>,</w:t>
      </w:r>
      <w:r w:rsidRPr="00CB746B">
        <w:rPr>
          <w:color w:val="000000"/>
        </w:rPr>
        <w:t xml:space="preserve"> ir tikslus, dėl kurių asmens duomenys gali būti atskleisti, tikslo apribojimo principą, saugojimo laikotarpius ir duomenų tvarkymo operacijas bei duomenų tvarkymo procedūras, įskaitant priemones, kuriomis būtų užtikrintas teisėtas ir sąžiningas duomenų tvarkymas.</w:t>
      </w:r>
    </w:p>
    <w:p w14:paraId="05478B79" w14:textId="5766899D" w:rsidR="00B320D9" w:rsidRPr="00CB746B" w:rsidRDefault="00B320D9" w:rsidP="00B320D9">
      <w:pPr>
        <w:ind w:firstLine="993"/>
        <w:jc w:val="both"/>
        <w:rPr>
          <w:color w:val="000000"/>
        </w:rPr>
      </w:pPr>
      <w:r w:rsidRPr="00CB746B">
        <w:rPr>
          <w:color w:val="000000"/>
        </w:rPr>
        <w:t xml:space="preserve">Lietuvos Respublikos Prezidento dekretai pagal Lietuvos Respublikos teisėkūros pagrindų įstatymo 6 straipsnio 2 dalies 8 punktą yra Teisės aktų registro objektai, todėl skelbiami </w:t>
      </w:r>
      <w:r w:rsidR="00852DB9" w:rsidRPr="00CB746B">
        <w:rPr>
          <w:color w:val="000000"/>
        </w:rPr>
        <w:t>šiame registre</w:t>
      </w:r>
      <w:r w:rsidRPr="00CB746B">
        <w:rPr>
          <w:color w:val="000000"/>
        </w:rPr>
        <w:t>, kurio duomenys yra vieši.</w:t>
      </w:r>
      <w:r w:rsidR="00182296" w:rsidRPr="00CB746B">
        <w:rPr>
          <w:color w:val="000000"/>
        </w:rPr>
        <w:t xml:space="preserve"> Ministrų priimti teisės taikymo aktai skelbiami Teisės aktų registre</w:t>
      </w:r>
      <w:r w:rsidR="00182296" w:rsidRPr="00CB746B">
        <w:t>, jeigu šiuos teisės aktus skelbti Teisės aktų registre privaloma pagal teisės aktus (Teisėkūros pagrindų įstatymo 6 straipsnio 2 dalies 18 p</w:t>
      </w:r>
      <w:r w:rsidR="00F71FCA" w:rsidRPr="00CB746B">
        <w:t>unktas</w:t>
      </w:r>
      <w:r w:rsidR="00182296" w:rsidRPr="00CB746B">
        <w:t xml:space="preserve">). Būtent toks atvejis numatytas </w:t>
      </w:r>
      <w:r w:rsidR="00102BEF">
        <w:rPr>
          <w:color w:val="000000"/>
        </w:rPr>
        <w:t>P</w:t>
      </w:r>
      <w:r w:rsidR="00182296" w:rsidRPr="00CB746B">
        <w:t>ilietybės įstatymo 36 straipsnyje.</w:t>
      </w:r>
    </w:p>
    <w:p w14:paraId="0A5CE610" w14:textId="141DAA18" w:rsidR="001C60E8" w:rsidRPr="00CB746B" w:rsidRDefault="00B320D9" w:rsidP="001C60E8">
      <w:pPr>
        <w:ind w:firstLine="993"/>
        <w:jc w:val="both"/>
        <w:rPr>
          <w:color w:val="000000"/>
          <w:lang w:eastAsia="lt-LT"/>
        </w:rPr>
      </w:pPr>
      <w:r w:rsidRPr="00CB746B">
        <w:rPr>
          <w:color w:val="000000"/>
        </w:rPr>
        <w:t>N</w:t>
      </w:r>
      <w:r w:rsidR="00282F8E" w:rsidRPr="00CB746B">
        <w:rPr>
          <w:color w:val="000000"/>
        </w:rPr>
        <w:t xml:space="preserve">ei </w:t>
      </w:r>
      <w:r w:rsidR="00182296" w:rsidRPr="00CB746B">
        <w:rPr>
          <w:color w:val="000000"/>
        </w:rPr>
        <w:t>P</w:t>
      </w:r>
      <w:r w:rsidR="00282F8E" w:rsidRPr="00CB746B">
        <w:rPr>
          <w:color w:val="000000"/>
        </w:rPr>
        <w:t xml:space="preserve">ilietybės įstatymas, nei Teisėkūros </w:t>
      </w:r>
      <w:r w:rsidR="00DE5896" w:rsidRPr="00CB746B">
        <w:rPr>
          <w:color w:val="000000"/>
        </w:rPr>
        <w:t xml:space="preserve">pagrindų </w:t>
      </w:r>
      <w:r w:rsidR="00282F8E" w:rsidRPr="00CB746B">
        <w:rPr>
          <w:color w:val="000000"/>
        </w:rPr>
        <w:t xml:space="preserve">įstatymas nenumato asmens duomenų viešo skelbimo tikslo, taip pat juose nėra įvardijama, kokie asmens duomenys turėtų būti skelbiami ir kiek laiko, bei kiti aukščiau nurodyti su asmens duomenų tvarkymu susiję aspektai, kaip to reikalauja Reglamento </w:t>
      </w:r>
      <w:r w:rsidR="009B39CD" w:rsidRPr="00CB746B">
        <w:rPr>
          <w:color w:val="000000"/>
          <w:lang w:eastAsia="lt-LT"/>
        </w:rPr>
        <w:t xml:space="preserve">(ES) 2016/679 </w:t>
      </w:r>
      <w:r w:rsidR="00282F8E" w:rsidRPr="00CB746B">
        <w:rPr>
          <w:color w:val="000000"/>
        </w:rPr>
        <w:t xml:space="preserve">6 straipsnio 3 dalis. Atsižvelgiant į tai, kad nėra įtvirtintas asmens duomenų, esančių sprendimuose </w:t>
      </w:r>
      <w:r w:rsidR="00282F8E" w:rsidRPr="00CB746B">
        <w:rPr>
          <w:color w:val="000000"/>
          <w:lang w:eastAsia="lt-LT"/>
        </w:rPr>
        <w:t xml:space="preserve">dėl Lietuvos Respublikos pilietybės, skelbimo tikslas, sudėtinga įvertinti ir Reglamento (ES) 2016/679 </w:t>
      </w:r>
      <w:r w:rsidR="00282F8E" w:rsidRPr="00CB746B">
        <w:rPr>
          <w:color w:val="000000"/>
        </w:rPr>
        <w:t xml:space="preserve">5 straipsnio 1 dalies </w:t>
      </w:r>
      <w:r w:rsidR="001A0B92" w:rsidRPr="00CB746B">
        <w:rPr>
          <w:color w:val="000000"/>
        </w:rPr>
        <w:t xml:space="preserve">a, </w:t>
      </w:r>
      <w:r w:rsidR="00282F8E" w:rsidRPr="00CB746B">
        <w:rPr>
          <w:color w:val="000000"/>
        </w:rPr>
        <w:t xml:space="preserve">c </w:t>
      </w:r>
      <w:r w:rsidR="001A0B92" w:rsidRPr="00CB746B">
        <w:rPr>
          <w:color w:val="000000"/>
        </w:rPr>
        <w:t xml:space="preserve">ir e </w:t>
      </w:r>
      <w:r w:rsidR="00282F8E" w:rsidRPr="00CB746B">
        <w:rPr>
          <w:color w:val="000000"/>
        </w:rPr>
        <w:t>punkte įtvirtint</w:t>
      </w:r>
      <w:r w:rsidR="001A0B92" w:rsidRPr="00CB746B">
        <w:rPr>
          <w:color w:val="000000"/>
        </w:rPr>
        <w:t xml:space="preserve">ų teisėtumo, duomenų kiekio mažinimo bei saugojimo trukmės apribojimo principų </w:t>
      </w:r>
      <w:r w:rsidR="00A37EFA" w:rsidRPr="00CB746B">
        <w:rPr>
          <w:color w:val="000000"/>
        </w:rPr>
        <w:t xml:space="preserve">tinkamą užtikrinimą. </w:t>
      </w:r>
      <w:r w:rsidR="001C60E8" w:rsidRPr="00CB746B">
        <w:rPr>
          <w:color w:val="000000"/>
          <w:lang w:eastAsia="lt-LT"/>
        </w:rPr>
        <w:t>Be to, norime atkreipti dėmesį, kad nėra niekur reglamentuota, kokie asmens duomenys, priimant sprendimus dėl pilietybės, turi būti tiek vidaus reikalų ministro įsakymuose, tiek Lietuvos Respublikos Prezidento dekretuose. T</w:t>
      </w:r>
      <w:r w:rsidR="00D4032B" w:rsidRPr="00CB746B">
        <w:rPr>
          <w:color w:val="000000"/>
          <w:lang w:eastAsia="lt-LT"/>
        </w:rPr>
        <w:t>ad</w:t>
      </w:r>
      <w:r w:rsidR="001C60E8" w:rsidRPr="00CB746B">
        <w:rPr>
          <w:color w:val="000000"/>
          <w:lang w:eastAsia="lt-LT"/>
        </w:rPr>
        <w:t xml:space="preserve"> ir šiuo aspektu turėtų būti įvertinta teisės aktų, reglamentuojančių pilietybės klausimus, atitiktis </w:t>
      </w:r>
      <w:r w:rsidR="001C60E8" w:rsidRPr="00CB746B">
        <w:rPr>
          <w:color w:val="000000"/>
        </w:rPr>
        <w:t xml:space="preserve">Reglamento (ES) 2016/679 reikalavimams. </w:t>
      </w:r>
    </w:p>
    <w:p w14:paraId="641BF317" w14:textId="361AFA5F" w:rsidR="009A6C0D" w:rsidRPr="00CB746B" w:rsidRDefault="009A6C0D" w:rsidP="009A6C0D">
      <w:pPr>
        <w:ind w:firstLine="993"/>
        <w:jc w:val="both"/>
        <w:rPr>
          <w:color w:val="000000"/>
        </w:rPr>
      </w:pPr>
      <w:r w:rsidRPr="00CB746B">
        <w:rPr>
          <w:color w:val="000000"/>
        </w:rPr>
        <w:t xml:space="preserve">Dėl asmens duomenų tvarkymo ir viešinimo skaidrumo tikslais yra pasisakiusi ir  Darbo grupė 2016 m. birželio 8 d. priimtoje nuomonėje Nr. 02/2016 „Dėl asmens duomenų viešinimo viešojo sektoriaus skaidrumo tikslu“ (WP239) (toliau – Nuomonė dėl asmens duomenų viešinimo). Sprendžiant, ar tam tikri asmens duomenys gali būti skelbiami viešai interneto svetainėje (angl. </w:t>
      </w:r>
      <w:r w:rsidRPr="00CB746B">
        <w:rPr>
          <w:i/>
          <w:iCs/>
          <w:color w:val="000000"/>
        </w:rPr>
        <w:t>online</w:t>
      </w:r>
      <w:r w:rsidRPr="00CB746B">
        <w:rPr>
          <w:color w:val="000000"/>
        </w:rPr>
        <w:t xml:space="preserve">), turi būti įvertintos pasekmės, kurias sukels toks asmens duomenų tvarkymas. Pažymėtina, kad internete paskelbti duomenys tampa prieinami neapibrėžtam ratui asmenų, t. y. ne tik tiems asmenims, kurie galbūt turi teisėtą interesą tokius asmens duomenis gauti. Nuomonėje dėl asmens duomenų viešinimo Darbo grupė pažymėjo, kad visuomenės interesas nėra tapatus viešajam interesui, todėl </w:t>
      </w:r>
      <w:r w:rsidRPr="00CB746B">
        <w:rPr>
          <w:i/>
          <w:iCs/>
          <w:color w:val="000000"/>
        </w:rPr>
        <w:t xml:space="preserve">online </w:t>
      </w:r>
      <w:r w:rsidRPr="00CB746B">
        <w:rPr>
          <w:color w:val="000000"/>
        </w:rPr>
        <w:t xml:space="preserve">režimu viešai skelbiamų asmens duomenų siekiant užtikrinti viešojo sektoriaus skaidrumą apimtis gali skirtis nuo tos, kuri yra pateikiama kompetentingoms institucijoms. </w:t>
      </w:r>
    </w:p>
    <w:p w14:paraId="1BF572C8" w14:textId="1E4B33CF" w:rsidR="009A6C0D" w:rsidRPr="00CB746B" w:rsidRDefault="009A6C0D" w:rsidP="009A6C0D">
      <w:pPr>
        <w:ind w:firstLine="993"/>
        <w:jc w:val="both"/>
        <w:rPr>
          <w:color w:val="000000"/>
        </w:rPr>
      </w:pPr>
      <w:r w:rsidRPr="00CB746B">
        <w:rPr>
          <w:color w:val="000000"/>
        </w:rPr>
        <w:t>Papildomai pastebėtina, kad Europos Sąjungos Teisingumo Teismas yra pažymėjęs, kad skaidrumo principas leidžia piliečiams artimiau dalyvauti sprendimų priėmimo procese, taip pat garantuoja didesnį valdymo teisėtumą ir veiksmingumą bei aukštesnį atskaitomybės piliečiams mastą demokratinėje sistemoje, tačiau tuo pačiu pažymėjo, kad automatiškai teikti pirmenybės skaidrumo tikslui, palyginti su teise į asmens duomenų apsaugą, negalima, net jei tai susiję su svarbiais ekonominiais interesais (</w:t>
      </w:r>
      <w:r w:rsidR="009B39CD" w:rsidRPr="00CB746B">
        <w:rPr>
          <w:color w:val="000000"/>
        </w:rPr>
        <w:t>Europos Sąjungos Teisingumo Teismo</w:t>
      </w:r>
      <w:r w:rsidRPr="00CB746B">
        <w:rPr>
          <w:color w:val="000000"/>
        </w:rPr>
        <w:t xml:space="preserve"> sprendimas sujungtose bylose Nr. C-92/09 ir C-93/09).</w:t>
      </w:r>
    </w:p>
    <w:p w14:paraId="4FCFE571" w14:textId="7FEA144D" w:rsidR="00032A40" w:rsidRPr="00CB746B" w:rsidRDefault="00032A40" w:rsidP="009A6C0D">
      <w:pPr>
        <w:ind w:firstLine="993"/>
        <w:jc w:val="both"/>
        <w:rPr>
          <w:color w:val="000000"/>
        </w:rPr>
      </w:pPr>
      <w:r w:rsidRPr="00CB746B">
        <w:rPr>
          <w:color w:val="000000"/>
        </w:rPr>
        <w:t xml:space="preserve">Aiškinamajame rašte pažymėta, kad Valstybinė duomenų apsaugos inspekcija 2020 m. lapkričio 23 d. sprendime Nr. 3R-1016(2.13-1.) nurodė, kad, nustačius poreikį viešai skelbti asmens </w:t>
      </w:r>
      <w:r w:rsidRPr="00CB746B">
        <w:rPr>
          <w:color w:val="000000"/>
        </w:rPr>
        <w:lastRenderedPageBreak/>
        <w:t>duomenis, įstatyme, kuriame numatoma prievolė tai daryti, turėtų būti nustatyti bent asmens duomenų viešo skelbimo tikslas, kokie konkrečiai asmens duomenys yra skelbiami bei kokį laikotarpį yra viešinami, taip pat turi būti įvertinama, ar visais atvejais asmens duomenys gali būti skelbiami. Norime atkreipti dėmesį, kad</w:t>
      </w:r>
      <w:r w:rsidR="00D73D4E" w:rsidRPr="00CB746B">
        <w:rPr>
          <w:color w:val="000000"/>
        </w:rPr>
        <w:t>, kaip ir minėjome, fizinių asmenų vardų ir pavardžių pirmųjų raidžių ir kitų su asmeniu susijusių duomenų skelbimas vis tik būtų laikomas asmens duomenų viešu skelbimu,</w:t>
      </w:r>
      <w:r w:rsidRPr="00CB746B">
        <w:rPr>
          <w:color w:val="000000"/>
        </w:rPr>
        <w:t xml:space="preserve"> </w:t>
      </w:r>
      <w:r w:rsidR="00BA06C2" w:rsidRPr="00CB746B">
        <w:rPr>
          <w:color w:val="000000"/>
        </w:rPr>
        <w:t xml:space="preserve">todėl </w:t>
      </w:r>
      <w:r w:rsidRPr="00CB746B">
        <w:rPr>
          <w:color w:val="000000"/>
        </w:rPr>
        <w:t xml:space="preserve">teikiamame Projekte </w:t>
      </w:r>
      <w:r w:rsidR="00D73D4E" w:rsidRPr="00CB746B">
        <w:rPr>
          <w:color w:val="000000"/>
        </w:rPr>
        <w:t xml:space="preserve">turėtų būti </w:t>
      </w:r>
      <w:r w:rsidRPr="00CB746B">
        <w:rPr>
          <w:color w:val="000000"/>
        </w:rPr>
        <w:t>įtvirtintas asmens duomenų viešo skelbimo tikslas, asmens duomenų kategorijos, skelbimo laikotarpis</w:t>
      </w:r>
      <w:r w:rsidR="00D73D4E" w:rsidRPr="00CB746B">
        <w:rPr>
          <w:color w:val="000000"/>
        </w:rPr>
        <w:t>.</w:t>
      </w:r>
      <w:r w:rsidRPr="00CB746B">
        <w:rPr>
          <w:color w:val="000000"/>
        </w:rPr>
        <w:t xml:space="preserve"> </w:t>
      </w:r>
    </w:p>
    <w:p w14:paraId="2B47D3B3" w14:textId="6B0B9153" w:rsidR="00032A40" w:rsidRPr="00CB746B" w:rsidRDefault="00032A40" w:rsidP="009A6C0D">
      <w:pPr>
        <w:ind w:firstLine="993"/>
        <w:jc w:val="both"/>
        <w:rPr>
          <w:color w:val="000000"/>
        </w:rPr>
      </w:pPr>
      <w:r w:rsidRPr="00CB746B">
        <w:rPr>
          <w:color w:val="000000"/>
        </w:rPr>
        <w:t>Taip pat aiškinamajame rašte nėra pateikta informacijos, ar buvo svarstyta dėl visų spendimų, susijusių su Lietuvos Respublikos pilietybe, viešo skelbimo būtinybės. Siūlytume įvertinti, ar visais atvejais tokie sprendimai turi būti skelbiami. Šiuo aspektu paminėtini Konstitucinio Teismo nutarimai (2002 m. kovo 14 d., 2004 m. gruodžio 29 d., 2005 m. liepos 8 d., 2009 m. gruodžio 11 d. nutarimai), kuriuose ne kartą yra konstatuota, kad pagal Konstituciją riboti žmogaus teises ir laisves galima, jeigu yra laikomasi šių sąlygų: tai daroma įstatymu; ribojimai yra būtini demokratinėje visuomenėje</w:t>
      </w:r>
      <w:r w:rsidR="00134C5E" w:rsidRPr="00CB746B">
        <w:rPr>
          <w:color w:val="000000"/>
        </w:rPr>
        <w:t>,</w:t>
      </w:r>
      <w:r w:rsidRPr="00CB746B">
        <w:rPr>
          <w:color w:val="000000"/>
        </w:rPr>
        <w:t xml:space="preserve"> siekiant apsaugoti kitų asmenų teises bei laisves ir Konstitucijoje įtvirtintas vertybes, taip pat konstituciškai svarbius tikslus; ribojimais nėra paneigiama teisių ir laisvių prigimtis bei jų esmė; laikomasi konstitucinio proporcingumo principo. Konstitucinis Teismas 2004 m. gruodžio 29 d. nutarime  yra pažymėjęs, kad tarp, viena, asmens teisių ir laisvių ir, antra, visuomenės interesų neretai kyla konfliktų, o kartais atsiranda ir prieštaravimų, kad demokratinėje visuomenėje tokie prieštaravimai sprendžiami derinant skirtingus interesus ir siekiant nepažeisti jų pusiausvyros ir kad vienas iš interesų derinimo būdų yra asmens teisių ir laisvių įgyvendinimo ribojimas. Reikalavimas laikantis konstitucinio proporcingumo principo asmens teisių ir laisvių įstatymu neriboti labiau, negu reikia teisėtiems ir visuomenei svarbiems tikslams pasiekti, </w:t>
      </w:r>
      <w:r w:rsidRPr="00CB746B">
        <w:rPr>
          <w:i/>
          <w:iCs/>
          <w:color w:val="000000"/>
        </w:rPr>
        <w:t>inter alia</w:t>
      </w:r>
      <w:r w:rsidRPr="00CB746B">
        <w:rPr>
          <w:color w:val="000000"/>
        </w:rPr>
        <w:t xml:space="preserve"> suponuoja reikalavimą įstatymų leidėjui nustatyti tokį teisinį reguliavimą, kuris sudarytų prielaidas pakankamai individualizuoti asmens teisių ir laisvių apribojimus: ribojantis asmens teises ir laisves įstatymo nustatytas teisinis reguliavimas turi būti toks, kad sudarytų prielaidas kiek įmanoma įvertinti individualią kiekvieno asmens padėtį ir, atsižvelgiant į visas svarbias aplinkybes, atitinkamai individualizuoti konkrečias tam asmeniui taikytinas ribojančias jo teises priemones (Konstitucinio Teismo 2011 m. liepos 7 d., 2014 m. balandžio 14 d. nutarimai).</w:t>
      </w:r>
    </w:p>
    <w:p w14:paraId="73C2B47E" w14:textId="62C21973" w:rsidR="00AB1D83" w:rsidRPr="00CB746B" w:rsidRDefault="00AB1D83" w:rsidP="009A6C0D">
      <w:pPr>
        <w:ind w:firstLine="993"/>
        <w:jc w:val="both"/>
        <w:rPr>
          <w:color w:val="000000"/>
        </w:rPr>
      </w:pPr>
      <w:r w:rsidRPr="00CB746B">
        <w:rPr>
          <w:color w:val="000000"/>
        </w:rPr>
        <w:t>Aiškinamajame rašte remiamasi Konstitucinio Teismo praktika, pagal kurią galioja tik paskelbti teisės aktai. Visgi</w:t>
      </w:r>
      <w:r w:rsidR="008459A0">
        <w:rPr>
          <w:color w:val="000000"/>
        </w:rPr>
        <w:t>,</w:t>
      </w:r>
      <w:r w:rsidRPr="00CB746B">
        <w:rPr>
          <w:color w:val="000000"/>
        </w:rPr>
        <w:t xml:space="preserve"> Teisingumo ministerijos nuomone, ši Konstitucinio Teismo praktika </w:t>
      </w:r>
      <w:r w:rsidR="008459A0">
        <w:rPr>
          <w:color w:val="000000"/>
        </w:rPr>
        <w:t xml:space="preserve">Projekto rengėjų </w:t>
      </w:r>
      <w:r w:rsidRPr="00CB746B">
        <w:rPr>
          <w:color w:val="000000"/>
        </w:rPr>
        <w:t xml:space="preserve">ne visiškai teisingai suprantama ir aiškinama, nepagrįstai </w:t>
      </w:r>
      <w:r w:rsidR="008459A0">
        <w:rPr>
          <w:color w:val="000000"/>
        </w:rPr>
        <w:t>siūlant</w:t>
      </w:r>
      <w:r w:rsidR="008459A0" w:rsidRPr="00CB746B">
        <w:rPr>
          <w:color w:val="000000"/>
        </w:rPr>
        <w:t xml:space="preserve"> </w:t>
      </w:r>
      <w:r w:rsidRPr="00CB746B">
        <w:rPr>
          <w:color w:val="000000"/>
        </w:rPr>
        <w:t xml:space="preserve">ją pritaikyti ir </w:t>
      </w:r>
      <w:r w:rsidR="006C0D17" w:rsidRPr="00CB746B">
        <w:rPr>
          <w:color w:val="000000"/>
        </w:rPr>
        <w:t xml:space="preserve">ministrų lygmens </w:t>
      </w:r>
      <w:r w:rsidRPr="00CB746B">
        <w:rPr>
          <w:color w:val="000000"/>
        </w:rPr>
        <w:t>tei</w:t>
      </w:r>
      <w:r w:rsidR="00F51075" w:rsidRPr="00CB746B">
        <w:rPr>
          <w:color w:val="000000"/>
        </w:rPr>
        <w:t>s</w:t>
      </w:r>
      <w:r w:rsidRPr="00CB746B">
        <w:rPr>
          <w:color w:val="000000"/>
        </w:rPr>
        <w:t>ės taikymo aktų atžvilgiu. Pasteb</w:t>
      </w:r>
      <w:r w:rsidR="00DC634B" w:rsidRPr="00CB746B">
        <w:rPr>
          <w:color w:val="000000"/>
        </w:rPr>
        <w:t>ė</w:t>
      </w:r>
      <w:r w:rsidRPr="00CB746B">
        <w:rPr>
          <w:color w:val="000000"/>
        </w:rPr>
        <w:t xml:space="preserve">tina, kad tiek aiškinamajame rašte nurodomas Konstitucinio Teismo 2001 m. </w:t>
      </w:r>
      <w:r w:rsidR="00DC634B" w:rsidRPr="00CB746B">
        <w:rPr>
          <w:color w:val="000000"/>
        </w:rPr>
        <w:t>sausio 11 d. nutarimas, tiek kiti Konstitucinio Teismo nutarimai, kuriuose nuosekliai buvo plėtojama teisės aktų paskelbimo privalomumo doktrina (2001</w:t>
      </w:r>
      <w:r w:rsidR="002D49BA" w:rsidRPr="00CB746B">
        <w:rPr>
          <w:color w:val="000000"/>
        </w:rPr>
        <w:t> </w:t>
      </w:r>
      <w:r w:rsidR="00DC634B" w:rsidRPr="00CB746B">
        <w:rPr>
          <w:color w:val="000000"/>
        </w:rPr>
        <w:t>m. lapkričio 29 d., 2003 m. spalio 29 d.,</w:t>
      </w:r>
      <w:r w:rsidR="00DC634B" w:rsidRPr="00CB746B">
        <w:t xml:space="preserve"> </w:t>
      </w:r>
      <w:r w:rsidR="00DC634B" w:rsidRPr="00CB746B">
        <w:rPr>
          <w:color w:val="000000"/>
        </w:rPr>
        <w:t xml:space="preserve">2007 m. birželio 27 d., </w:t>
      </w:r>
      <w:r w:rsidR="00DC634B" w:rsidRPr="00CB746B">
        <w:t>2012 m. birželio 29 d</w:t>
      </w:r>
      <w:r w:rsidR="008459A0">
        <w:t>. nutarimai</w:t>
      </w:r>
      <w:r w:rsidR="00DC634B" w:rsidRPr="00CB746B">
        <w:rPr>
          <w:color w:val="000000"/>
        </w:rPr>
        <w:t>)</w:t>
      </w:r>
      <w:r w:rsidR="006C0D17" w:rsidRPr="00CB746B">
        <w:rPr>
          <w:color w:val="000000"/>
        </w:rPr>
        <w:t xml:space="preserve"> priimti dėl įstatymų ar Vyriausybės lygmens sprendimų, o aiškinamajame rašte pasirinkta išeitinė pozicija, kad tai suponuoja bet kokio lygmens teisės taikymo aktų viešą skelbimą, paneigtų nuo pat </w:t>
      </w:r>
      <w:r w:rsidR="00D029DD">
        <w:rPr>
          <w:color w:val="000000"/>
        </w:rPr>
        <w:t xml:space="preserve">Lietuvos </w:t>
      </w:r>
      <w:r w:rsidR="006C0D17" w:rsidRPr="00CB746B">
        <w:rPr>
          <w:color w:val="000000"/>
        </w:rPr>
        <w:t>nepriklausomybės atkūrimo buvusį reguliavimą, pagal kurį ministrų ir žemesnio lygmens teisės taikymo aktams nėra taikomas viešo paskelbimo reikalavimas. Atsižvelgiant į tai, manytina, kad</w:t>
      </w:r>
      <w:r w:rsidR="008459A0">
        <w:rPr>
          <w:color w:val="000000"/>
        </w:rPr>
        <w:t>,</w:t>
      </w:r>
      <w:r w:rsidR="006C0D17" w:rsidRPr="00CB746B">
        <w:rPr>
          <w:color w:val="000000"/>
        </w:rPr>
        <w:t xml:space="preserve"> sprendžiant klausimą dėl </w:t>
      </w:r>
      <w:r w:rsidR="00EF4711" w:rsidRPr="00CB746B">
        <w:rPr>
          <w:color w:val="000000"/>
        </w:rPr>
        <w:t>vidaus reikalų ministro sprendimų – įsakymų dėl Lietuvos Respublikos pilietybės atkūrimo ar Lietuvos Respublikos pilietybės netekimo</w:t>
      </w:r>
      <w:r w:rsidR="008459A0">
        <w:rPr>
          <w:color w:val="000000"/>
        </w:rPr>
        <w:t xml:space="preserve"> – viešo skelbimo</w:t>
      </w:r>
      <w:r w:rsidR="00EF4711" w:rsidRPr="00CB746B">
        <w:rPr>
          <w:color w:val="000000"/>
        </w:rPr>
        <w:t>, Seimas nebūtų apribotas Konstitucijoje nustatyto reguliavimo ir Konstitucinio Teismo praktikos</w:t>
      </w:r>
      <w:r w:rsidR="008459A0">
        <w:rPr>
          <w:color w:val="000000"/>
        </w:rPr>
        <w:t xml:space="preserve"> </w:t>
      </w:r>
      <w:r w:rsidR="008459A0" w:rsidRPr="00CB746B">
        <w:rPr>
          <w:color w:val="000000"/>
        </w:rPr>
        <w:t>dėl įstatymų ar Vyriausybės lygmens sprendimų</w:t>
      </w:r>
      <w:r w:rsidR="008459A0">
        <w:rPr>
          <w:color w:val="000000"/>
        </w:rPr>
        <w:t xml:space="preserve"> viešo skelbimo</w:t>
      </w:r>
      <w:r w:rsidR="00EF4711" w:rsidRPr="00CB746B">
        <w:rPr>
          <w:color w:val="000000"/>
        </w:rPr>
        <w:t xml:space="preserve">, o šiuo metu esantis reikalavimas šiuos įsakymus skelbti yra ne Konstitucijos </w:t>
      </w:r>
      <w:r w:rsidR="008459A0">
        <w:rPr>
          <w:color w:val="000000"/>
        </w:rPr>
        <w:t>nulemta</w:t>
      </w:r>
      <w:r w:rsidR="008459A0" w:rsidRPr="00CB746B">
        <w:rPr>
          <w:color w:val="000000"/>
        </w:rPr>
        <w:t xml:space="preserve"> </w:t>
      </w:r>
      <w:r w:rsidR="00EF4711" w:rsidRPr="00CB746B">
        <w:rPr>
          <w:color w:val="000000"/>
        </w:rPr>
        <w:t>būtinybė, bet labiau buvusių politini</w:t>
      </w:r>
      <w:r w:rsidR="00D029DD">
        <w:rPr>
          <w:color w:val="000000"/>
        </w:rPr>
        <w:t>ų</w:t>
      </w:r>
      <w:r w:rsidR="00EF4711" w:rsidRPr="00CB746B">
        <w:rPr>
          <w:color w:val="000000"/>
        </w:rPr>
        <w:t xml:space="preserve"> </w:t>
      </w:r>
      <w:r w:rsidR="00D029DD">
        <w:rPr>
          <w:color w:val="000000"/>
        </w:rPr>
        <w:t>sprendimų</w:t>
      </w:r>
      <w:r w:rsidR="00D029DD" w:rsidRPr="00CB746B">
        <w:rPr>
          <w:color w:val="000000"/>
        </w:rPr>
        <w:t xml:space="preserve"> </w:t>
      </w:r>
      <w:r w:rsidR="00EF4711" w:rsidRPr="00CB746B">
        <w:rPr>
          <w:color w:val="000000"/>
        </w:rPr>
        <w:t xml:space="preserve">pasekmė. </w:t>
      </w:r>
    </w:p>
    <w:p w14:paraId="7A16AAA4" w14:textId="67C67711" w:rsidR="00BB6507" w:rsidRPr="00CB746B" w:rsidRDefault="00BB6507" w:rsidP="009A6C0D">
      <w:pPr>
        <w:ind w:firstLine="993"/>
        <w:jc w:val="both"/>
        <w:rPr>
          <w:color w:val="000000"/>
        </w:rPr>
      </w:pPr>
      <w:r w:rsidRPr="00CB746B">
        <w:rPr>
          <w:color w:val="000000"/>
        </w:rPr>
        <w:t xml:space="preserve">Kalbant apie įgyvendinamuosius teisės aktus, manytina, </w:t>
      </w:r>
      <w:r w:rsidR="001879C1">
        <w:rPr>
          <w:color w:val="000000"/>
        </w:rPr>
        <w:t xml:space="preserve">kad </w:t>
      </w:r>
      <w:r w:rsidRPr="00CB746B">
        <w:rPr>
          <w:color w:val="000000"/>
        </w:rPr>
        <w:t xml:space="preserve">priėmus įstatymą turėtų būti peržiūrėtos ir pildomos </w:t>
      </w:r>
      <w:r w:rsidR="00D029DD">
        <w:rPr>
          <w:color w:val="000000"/>
        </w:rPr>
        <w:t>A</w:t>
      </w:r>
      <w:r w:rsidRPr="00CB746B">
        <w:rPr>
          <w:color w:val="000000"/>
        </w:rPr>
        <w:t xml:space="preserve">prašo nuostatos, jeigu </w:t>
      </w:r>
      <w:r w:rsidR="00D029DD">
        <w:rPr>
          <w:color w:val="000000"/>
        </w:rPr>
        <w:t>P</w:t>
      </w:r>
      <w:r w:rsidRPr="00CB746B">
        <w:rPr>
          <w:color w:val="000000"/>
        </w:rPr>
        <w:t xml:space="preserve">rojekte </w:t>
      </w:r>
      <w:r w:rsidR="00D029DD">
        <w:rPr>
          <w:color w:val="000000"/>
        </w:rPr>
        <w:t>nebus įtrauktos</w:t>
      </w:r>
      <w:r w:rsidR="00D029DD" w:rsidRPr="00CB746B">
        <w:rPr>
          <w:color w:val="000000"/>
        </w:rPr>
        <w:t xml:space="preserve"> </w:t>
      </w:r>
      <w:r w:rsidRPr="00CB746B">
        <w:rPr>
          <w:color w:val="000000"/>
        </w:rPr>
        <w:t>nuorod</w:t>
      </w:r>
      <w:r w:rsidR="00D029DD">
        <w:rPr>
          <w:color w:val="000000"/>
        </w:rPr>
        <w:t>os</w:t>
      </w:r>
      <w:r w:rsidRPr="00CB746B">
        <w:rPr>
          <w:color w:val="000000"/>
        </w:rPr>
        <w:t xml:space="preserve"> į kitokius įgyvendinamuosius teisės aktus. Šiame kontekste turėtų būti koreguojamos Projekto 3 straipsnio 2 dalies nuostatos bei pildoma aiškinamajame rašte teikiama informacija.</w:t>
      </w:r>
    </w:p>
    <w:p w14:paraId="5A707445" w14:textId="4D1D4480" w:rsidR="006A6AF4" w:rsidRPr="00CB746B" w:rsidRDefault="006A6AF4" w:rsidP="006A6AF4">
      <w:pPr>
        <w:ind w:firstLine="993"/>
        <w:jc w:val="both"/>
        <w:rPr>
          <w:color w:val="000000"/>
        </w:rPr>
      </w:pPr>
      <w:r w:rsidRPr="00CB746B">
        <w:rPr>
          <w:color w:val="000000"/>
        </w:rPr>
        <w:lastRenderedPageBreak/>
        <w:t xml:space="preserve">Taip pat aiškinamajame rašte nėra informacijos, ar buvo atliktas poveikio duomenų apsaugai vertinimas. Pagal Reglamento </w:t>
      </w:r>
      <w:r w:rsidR="009B39CD" w:rsidRPr="00CB746B">
        <w:rPr>
          <w:color w:val="000000"/>
          <w:lang w:eastAsia="lt-LT"/>
        </w:rPr>
        <w:t xml:space="preserve">(ES) 2016/679 </w:t>
      </w:r>
      <w:r w:rsidRPr="00CB746B">
        <w:rPr>
          <w:color w:val="000000"/>
        </w:rPr>
        <w:t xml:space="preserve">35 straipsnio 10 dalį, jeigu duomenų tvarkymas pagal </w:t>
      </w:r>
      <w:r w:rsidR="009B39CD" w:rsidRPr="00CB746B">
        <w:rPr>
          <w:color w:val="000000"/>
        </w:rPr>
        <w:t>šio r</w:t>
      </w:r>
      <w:r w:rsidRPr="00CB746B">
        <w:rPr>
          <w:color w:val="000000"/>
        </w:rPr>
        <w:t xml:space="preserve">eglamento 6 straipsnio 1 dalies c arba e punktą turi teisinį pagrindą Europos Sąjungos arba valstybės narės teisėje, kuri yra taikoma duomenų valdytojui, ir tokia teisė reglamentuoja atitinkamą konkrečią duomenų tvarkymo operaciją ar operacijų seką, o poveikio duomenų apsaugai vertinimas jau buvo atliktas kaip dalis bendro poveikio vertinimo priimant tą teisinį pagrindą, </w:t>
      </w:r>
      <w:r w:rsidR="009B39CD" w:rsidRPr="00CB746B">
        <w:rPr>
          <w:color w:val="000000"/>
        </w:rPr>
        <w:t>šio r</w:t>
      </w:r>
      <w:r w:rsidRPr="00CB746B">
        <w:rPr>
          <w:color w:val="000000"/>
        </w:rPr>
        <w:t xml:space="preserve">eglamento 35 straipsnio 1–7 dalys netaikomos, išskyrus atvejus, kai valstybės narės mano, kad prieš pradedant duomenų tvarkymo veiklą būtina atlikti tokį vertinimą. </w:t>
      </w:r>
    </w:p>
    <w:p w14:paraId="2E6F17FB" w14:textId="036C3D23" w:rsidR="001A6F64" w:rsidRPr="00CB746B" w:rsidRDefault="001A6F64" w:rsidP="001A6F64">
      <w:pPr>
        <w:ind w:firstLine="993"/>
        <w:jc w:val="both"/>
        <w:rPr>
          <w:color w:val="000000"/>
        </w:rPr>
      </w:pPr>
      <w:r w:rsidRPr="00CB746B">
        <w:rPr>
          <w:color w:val="000000"/>
        </w:rPr>
        <w:t>2. Projekto 2 straipsniu siūloma papildyti Pilietybės įstatymą 43</w:t>
      </w:r>
      <w:r w:rsidRPr="00CB746B">
        <w:rPr>
          <w:color w:val="000000"/>
          <w:vertAlign w:val="superscript"/>
        </w:rPr>
        <w:t>1</w:t>
      </w:r>
      <w:r w:rsidRPr="00CB746B">
        <w:rPr>
          <w:color w:val="000000"/>
        </w:rPr>
        <w:t xml:space="preserve"> straipsniu – nuostata, kad vidaus reikalų ministro ir Lietuvos Respublikos Vyriausybės įgaliotos institucijos sprendimai dėl Lietuvos Respublikos pilietybės, priimti pagal Pilietybės įstatymą, gali būti skundžiami administraciniam teismui Lietuvos Respublikos administracinių bylų teisenos įstatymo nustatyta tvarka. Aptariama nuostata eliminuoja galimybę asmenims pasinaudoti </w:t>
      </w:r>
      <w:r w:rsidR="00102BEF">
        <w:rPr>
          <w:color w:val="000000"/>
        </w:rPr>
        <w:t>Lietuvos Respublikos v</w:t>
      </w:r>
      <w:r w:rsidRPr="00CB746B">
        <w:rPr>
          <w:color w:val="000000"/>
        </w:rPr>
        <w:t xml:space="preserve">iešojo administravimo įstatymo 14 straipsnyje numatytais neteisminiais skundų nagrinėjimo būdais, t. y. eliminuoja tiek galimybę paduoti skundą viešojo administravimo subjektui, priėmusiam administracinį sprendimą, tiek ir galimybę paduoti skundą išankstinio ginčų nagrinėjimo ne teismo tvarka institucijai – Lietuvos administracinių ginčų komisijai (žr. </w:t>
      </w:r>
      <w:r w:rsidR="00102BEF">
        <w:rPr>
          <w:color w:val="000000"/>
        </w:rPr>
        <w:t xml:space="preserve">Lietuvos Respublikos </w:t>
      </w:r>
      <w:r w:rsidR="00102BEF">
        <w:t>i</w:t>
      </w:r>
      <w:hyperlink r:id="rId9" w:tgtFrame="_blank" w:tooltip="Lietuvos Respublikos ikiteisminio administracinių ginčų nagrinėjimo tvarkos įstatymas" w:history="1">
        <w:r w:rsidRPr="00CB746B">
          <w:t>kiteisminio administracinių ginčų nagrinėjimo tvarkos įstatymo</w:t>
        </w:r>
      </w:hyperlink>
      <w:r w:rsidRPr="00CB746B">
        <w:t xml:space="preserve"> 5 straipsnį).</w:t>
      </w:r>
      <w:r w:rsidRPr="00CB746B">
        <w:rPr>
          <w:color w:val="000000"/>
        </w:rPr>
        <w:t xml:space="preserve"> </w:t>
      </w:r>
    </w:p>
    <w:p w14:paraId="76F7C0A3" w14:textId="6A7215B8" w:rsidR="001A6F64" w:rsidRPr="00CB746B" w:rsidRDefault="001A6F64" w:rsidP="001A6F64">
      <w:pPr>
        <w:ind w:firstLine="993"/>
        <w:jc w:val="both"/>
        <w:rPr>
          <w:color w:val="000000"/>
        </w:rPr>
      </w:pPr>
      <w:r w:rsidRPr="00CB746B">
        <w:rPr>
          <w:color w:val="000000"/>
        </w:rPr>
        <w:t xml:space="preserve">Pažymėtina, kad neteisminiai skundų dėl viešojo administravimo subjektų priimtų sprendimų nagrinėjimo būdai sudaro prielaidas kilusį konfliktą tarp asmens ir viešojo administravimo subjekto išspręsti greičiau, mažiau formalizuotai ir mažesnėmis sąnaudomis. Atkreiptinas dėmesys, kad Europos Tarybos Ministrų Komiteto 2001 m. rugsėjo 5 d. rekomendacijoje Rec (2001)9 „Dėl alternatyvių ginčų tarp viešojo administravimo institucijų ir privačių asmenų sprendimo priemonių“ valstybės skatinamos imtis priemonių dėl alternatyvių administracinių ginčų nagrinėjimo procedūrų nustatymo ir įgyvendinimo. Taip pat pažymima, kad neteisminio administracinių ginčų nagrinėjimo mechanizmo privalumai lemia paprastesnes ir lankstesnes ginčo nagrinėjimo procedūras, leidžiančias greičiau ir pigiau išspręsti kilusį ginčą, </w:t>
      </w:r>
      <w:r w:rsidR="00D029DD">
        <w:rPr>
          <w:color w:val="000000"/>
        </w:rPr>
        <w:t>užtikrina</w:t>
      </w:r>
      <w:r w:rsidR="00D029DD" w:rsidRPr="00CB746B">
        <w:rPr>
          <w:color w:val="000000"/>
        </w:rPr>
        <w:t xml:space="preserve"> </w:t>
      </w:r>
      <w:r w:rsidRPr="00CB746B">
        <w:rPr>
          <w:color w:val="000000"/>
        </w:rPr>
        <w:t xml:space="preserve">didesnes galimybes ginčą baigti taikos sutartimi, leidžia ginčą spręsti asmenims, kurie turi specialių žinių, neįpareigoja asmenų, nagrinėjančių ginčą, laikytis griežtų ir formalių procedūrinių taisyklių, bet leidžia naudotis didesne diskrecijos teise priimant sprendimą. Minėtoje rekomendacijoje siūloma teisės aktuose įtvirtinti ir praktikoje taikyti tokius alternatyvius administracinių ginčų nagrinėjimo būdus kaip </w:t>
      </w:r>
      <w:r w:rsidRPr="00CB746B">
        <w:rPr>
          <w:i/>
          <w:iCs/>
          <w:color w:val="000000"/>
        </w:rPr>
        <w:t>vidinė administracinio akto peržiūra</w:t>
      </w:r>
      <w:r w:rsidRPr="00CB746B">
        <w:rPr>
          <w:color w:val="000000"/>
        </w:rPr>
        <w:t>, taikinimas, mediacija, susitarimo paieškos ir arbitražas.</w:t>
      </w:r>
    </w:p>
    <w:p w14:paraId="19A61FDC" w14:textId="468A4967" w:rsidR="001A6F64" w:rsidRDefault="001A6F64" w:rsidP="001A6F64">
      <w:pPr>
        <w:ind w:firstLine="993"/>
        <w:jc w:val="both"/>
        <w:rPr>
          <w:color w:val="000000"/>
        </w:rPr>
      </w:pPr>
      <w:r w:rsidRPr="00CB746B">
        <w:rPr>
          <w:color w:val="000000"/>
        </w:rPr>
        <w:t>Manome, kad aiškinamajame rašte nurodyti argumentai nelaikytini pagrindu aptariamos Pilietybės įstatymo 43</w:t>
      </w:r>
      <w:r w:rsidRPr="00CB746B">
        <w:rPr>
          <w:color w:val="000000"/>
          <w:vertAlign w:val="superscript"/>
        </w:rPr>
        <w:t>1</w:t>
      </w:r>
      <w:r w:rsidRPr="00CB746B">
        <w:rPr>
          <w:color w:val="000000"/>
        </w:rPr>
        <w:t xml:space="preserve"> straipsnio nuostatos įtvirtinimui: 1) nors aiškinamajame rašte teigiama, kad siūlomas reglamentavimas </w:t>
      </w:r>
      <w:r w:rsidRPr="00CB746B">
        <w:t xml:space="preserve">leistų užtikrinti objektyvesnį, efektyvesnį ir racionalesnį asmens skundų nagrinėjimą, tačiau </w:t>
      </w:r>
      <w:r w:rsidRPr="00CB746B">
        <w:rPr>
          <w:color w:val="000000"/>
        </w:rPr>
        <w:t>nepateikiama objektyvių faktinių duomenų, dėl kurių viešojo administravimo subjekto vykdomas skundo nagrinėjimas ar ginčo nagrinėjimas Lietuvos administracinių ginčų komisijoje galėtų būti laikomas neobjektyviu, neefektyviu ar neracionaliu; 2) aiškinamojo rašto argumentas, kad asmuo turi teisę apskųsti pilietybės klausimais priimtą sprendimą tam pačiam viešojo administravimo subjektui arba aukštesniam pagal pavaldumą viešojo administravimo subjektui ne vieną kartą (todėl vidaus reikalų ministras ar Vyriausybės įgaliota institucija privalo keletą kartų nagrinėti asmens skundą ir peržiūrėti savo priimtus sprendimus)</w:t>
      </w:r>
      <w:r w:rsidR="00134C5E" w:rsidRPr="00CB746B">
        <w:rPr>
          <w:color w:val="000000"/>
        </w:rPr>
        <w:t>,</w:t>
      </w:r>
      <w:r w:rsidRPr="00CB746B">
        <w:rPr>
          <w:color w:val="000000"/>
        </w:rPr>
        <w:t xml:space="preserve"> galėtų būti pagrindas ne Pilietybės įstatymo, bet Viešojo administravimo įstatymo tobulinimui, galimai egzistuojančias problemas dėl viešojo administravimo subjektų vykdomo skundų nagrinėjimo sprendžiant kompleksiškai.</w:t>
      </w:r>
    </w:p>
    <w:p w14:paraId="422ECF15" w14:textId="4E501C08" w:rsidR="00D029DD" w:rsidRPr="00CB746B" w:rsidRDefault="00D029DD" w:rsidP="001A6F64">
      <w:pPr>
        <w:ind w:firstLine="993"/>
        <w:jc w:val="both"/>
        <w:rPr>
          <w:color w:val="000000"/>
        </w:rPr>
      </w:pPr>
      <w:r>
        <w:rPr>
          <w:color w:val="000000"/>
        </w:rPr>
        <w:t xml:space="preserve">Pažymėtina ir tai, kad Aštuonioliktosios Lietuvos Respublikos Vyriausybės programos, kuriai pritarta Lietuvos Respublikos Seimo 2020 m. gruodžio 11 d. nutarimu Nr. XIV-72, 186 punkte įtvirtintas siekis </w:t>
      </w:r>
      <w:r w:rsidRPr="00D029DD">
        <w:rPr>
          <w:i/>
          <w:iCs/>
          <w:color w:val="000000"/>
        </w:rPr>
        <w:t>plėsti ikiteisminį ginčų sprendimą</w:t>
      </w:r>
      <w:r>
        <w:rPr>
          <w:color w:val="000000"/>
        </w:rPr>
        <w:t>.</w:t>
      </w:r>
    </w:p>
    <w:p w14:paraId="1520EB1B" w14:textId="0FF4217F" w:rsidR="001A6F64" w:rsidRPr="00CB746B" w:rsidRDefault="001A6F64" w:rsidP="001A6F64">
      <w:pPr>
        <w:ind w:firstLine="993"/>
        <w:jc w:val="both"/>
        <w:rPr>
          <w:color w:val="000000"/>
        </w:rPr>
      </w:pPr>
      <w:r w:rsidRPr="00CB746B">
        <w:rPr>
          <w:color w:val="000000"/>
        </w:rPr>
        <w:lastRenderedPageBreak/>
        <w:t>Atsižvelgiant į tai, kas išdėstyta, siūlytina atsisakyti Projektu numatytos Pilietybės įstatymo 43</w:t>
      </w:r>
      <w:r w:rsidRPr="00CB746B">
        <w:rPr>
          <w:color w:val="000000"/>
          <w:vertAlign w:val="superscript"/>
        </w:rPr>
        <w:t>1</w:t>
      </w:r>
      <w:r w:rsidRPr="00CB746B">
        <w:rPr>
          <w:color w:val="000000"/>
        </w:rPr>
        <w:t xml:space="preserve"> straipsnio nuostatos.</w:t>
      </w:r>
    </w:p>
    <w:p w14:paraId="623E7A4C" w14:textId="77777777" w:rsidR="00BF56C9" w:rsidRPr="00CB746B" w:rsidRDefault="00BF56C9" w:rsidP="006A6AF4">
      <w:pPr>
        <w:ind w:firstLine="993"/>
        <w:jc w:val="both"/>
        <w:rPr>
          <w:color w:val="000000"/>
        </w:rPr>
      </w:pPr>
    </w:p>
    <w:p w14:paraId="6B3B9508" w14:textId="67D14053" w:rsidR="00032A40" w:rsidRPr="00CB746B" w:rsidRDefault="00032A40" w:rsidP="009A6C0D">
      <w:pPr>
        <w:ind w:firstLine="993"/>
        <w:jc w:val="both"/>
        <w:rPr>
          <w:color w:val="000000"/>
        </w:rPr>
      </w:pPr>
    </w:p>
    <w:p w14:paraId="34D1A176" w14:textId="77777777" w:rsidR="00492E3E" w:rsidRPr="00CB746B" w:rsidRDefault="00492E3E" w:rsidP="00492E3E">
      <w:r w:rsidRPr="00CB746B">
        <w:t xml:space="preserve">Teisingumo ministrė </w:t>
      </w:r>
      <w:r w:rsidRPr="00CB746B">
        <w:tab/>
      </w:r>
      <w:r w:rsidRPr="00CB746B">
        <w:tab/>
      </w:r>
      <w:r w:rsidRPr="00CB746B">
        <w:tab/>
      </w:r>
      <w:r w:rsidRPr="00CB746B">
        <w:tab/>
      </w:r>
      <w:r w:rsidRPr="00CB746B">
        <w:tab/>
      </w:r>
      <w:r w:rsidRPr="00CB746B">
        <w:tab/>
      </w:r>
      <w:r w:rsidRPr="00CB746B">
        <w:tab/>
      </w:r>
      <w:r w:rsidRPr="00CB746B">
        <w:tab/>
        <w:t xml:space="preserve">   Evelina Dobrovolska</w:t>
      </w:r>
    </w:p>
    <w:p w14:paraId="14C118F5" w14:textId="77777777" w:rsidR="00492E3E" w:rsidRPr="00CB746B" w:rsidRDefault="00492E3E" w:rsidP="00492E3E">
      <w:pPr>
        <w:rPr>
          <w:sz w:val="20"/>
        </w:rPr>
      </w:pPr>
    </w:p>
    <w:p w14:paraId="4EE728EC" w14:textId="77777777" w:rsidR="00492E3E" w:rsidRPr="00CB746B" w:rsidRDefault="00492E3E" w:rsidP="00492E3E">
      <w:pPr>
        <w:rPr>
          <w:sz w:val="20"/>
        </w:rPr>
      </w:pPr>
    </w:p>
    <w:p w14:paraId="1519CF3D" w14:textId="77777777" w:rsidR="00492E3E" w:rsidRPr="00CB746B" w:rsidRDefault="00492E3E" w:rsidP="00492E3E">
      <w:pPr>
        <w:rPr>
          <w:sz w:val="20"/>
        </w:rPr>
      </w:pPr>
    </w:p>
    <w:p w14:paraId="5B791C24" w14:textId="77777777" w:rsidR="00DD61D4" w:rsidRPr="00CB746B" w:rsidRDefault="00DD61D4" w:rsidP="00492E3E">
      <w:pPr>
        <w:rPr>
          <w:sz w:val="20"/>
        </w:rPr>
      </w:pPr>
    </w:p>
    <w:p w14:paraId="50396C0A" w14:textId="77777777" w:rsidR="00DD61D4" w:rsidRPr="00CB746B" w:rsidRDefault="00DD61D4" w:rsidP="00492E3E">
      <w:pPr>
        <w:rPr>
          <w:sz w:val="20"/>
        </w:rPr>
      </w:pPr>
    </w:p>
    <w:p w14:paraId="45F2A91A" w14:textId="77777777" w:rsidR="00DD61D4" w:rsidRPr="00CB746B" w:rsidRDefault="00DD61D4" w:rsidP="00492E3E">
      <w:pPr>
        <w:rPr>
          <w:sz w:val="20"/>
        </w:rPr>
      </w:pPr>
    </w:p>
    <w:p w14:paraId="61C07028" w14:textId="77777777" w:rsidR="00DD61D4" w:rsidRPr="00CB746B" w:rsidRDefault="00DD61D4" w:rsidP="00492E3E">
      <w:pPr>
        <w:rPr>
          <w:sz w:val="20"/>
        </w:rPr>
      </w:pPr>
    </w:p>
    <w:p w14:paraId="2E9BAB97" w14:textId="77777777" w:rsidR="00DD61D4" w:rsidRPr="00CB746B" w:rsidRDefault="00DD61D4" w:rsidP="00492E3E">
      <w:pPr>
        <w:rPr>
          <w:sz w:val="20"/>
        </w:rPr>
      </w:pPr>
    </w:p>
    <w:p w14:paraId="25127967" w14:textId="77777777" w:rsidR="00DD61D4" w:rsidRPr="00CB746B" w:rsidRDefault="00DD61D4" w:rsidP="00492E3E">
      <w:pPr>
        <w:rPr>
          <w:sz w:val="20"/>
        </w:rPr>
      </w:pPr>
    </w:p>
    <w:p w14:paraId="50C82B13" w14:textId="77777777" w:rsidR="00DD61D4" w:rsidRPr="00CB746B" w:rsidRDefault="00DD61D4" w:rsidP="00492E3E">
      <w:pPr>
        <w:rPr>
          <w:sz w:val="20"/>
        </w:rPr>
      </w:pPr>
    </w:p>
    <w:p w14:paraId="2A295CC2" w14:textId="77777777" w:rsidR="00DD61D4" w:rsidRPr="00CB746B" w:rsidRDefault="00DD61D4" w:rsidP="00492E3E">
      <w:pPr>
        <w:rPr>
          <w:sz w:val="20"/>
        </w:rPr>
      </w:pPr>
    </w:p>
    <w:p w14:paraId="0FD844B0" w14:textId="77777777" w:rsidR="00DD61D4" w:rsidRPr="00CB746B" w:rsidRDefault="00DD61D4" w:rsidP="00492E3E">
      <w:pPr>
        <w:rPr>
          <w:sz w:val="20"/>
        </w:rPr>
      </w:pPr>
    </w:p>
    <w:p w14:paraId="76CFCEFA" w14:textId="77777777" w:rsidR="00DD61D4" w:rsidRPr="00CB746B" w:rsidRDefault="00DD61D4" w:rsidP="00492E3E">
      <w:pPr>
        <w:rPr>
          <w:sz w:val="20"/>
        </w:rPr>
      </w:pPr>
    </w:p>
    <w:p w14:paraId="1D44521F" w14:textId="77777777" w:rsidR="00DD61D4" w:rsidRPr="00CB746B" w:rsidRDefault="00DD61D4" w:rsidP="00492E3E">
      <w:pPr>
        <w:rPr>
          <w:sz w:val="20"/>
        </w:rPr>
      </w:pPr>
    </w:p>
    <w:p w14:paraId="610F2821" w14:textId="77777777" w:rsidR="00DD61D4" w:rsidRPr="00CB746B" w:rsidRDefault="00DD61D4" w:rsidP="00492E3E">
      <w:pPr>
        <w:rPr>
          <w:sz w:val="20"/>
        </w:rPr>
      </w:pPr>
    </w:p>
    <w:p w14:paraId="1D837506" w14:textId="77777777" w:rsidR="00DD61D4" w:rsidRPr="00CB746B" w:rsidRDefault="00DD61D4" w:rsidP="00492E3E">
      <w:pPr>
        <w:rPr>
          <w:sz w:val="20"/>
        </w:rPr>
      </w:pPr>
    </w:p>
    <w:p w14:paraId="572D2465" w14:textId="77777777" w:rsidR="00DD61D4" w:rsidRPr="00CB746B" w:rsidRDefault="00DD61D4" w:rsidP="00492E3E">
      <w:pPr>
        <w:rPr>
          <w:sz w:val="20"/>
        </w:rPr>
      </w:pPr>
    </w:p>
    <w:p w14:paraId="79DA1FE3" w14:textId="77777777" w:rsidR="00DD61D4" w:rsidRPr="00CB746B" w:rsidRDefault="00DD61D4" w:rsidP="00492E3E">
      <w:pPr>
        <w:rPr>
          <w:sz w:val="20"/>
        </w:rPr>
      </w:pPr>
    </w:p>
    <w:p w14:paraId="40064891" w14:textId="77777777" w:rsidR="00DD61D4" w:rsidRPr="00CB746B" w:rsidRDefault="00DD61D4" w:rsidP="00492E3E">
      <w:pPr>
        <w:rPr>
          <w:sz w:val="20"/>
        </w:rPr>
      </w:pPr>
    </w:p>
    <w:p w14:paraId="4C1ABB51" w14:textId="77777777" w:rsidR="00DD61D4" w:rsidRPr="00CB746B" w:rsidRDefault="00DD61D4" w:rsidP="00492E3E">
      <w:pPr>
        <w:rPr>
          <w:sz w:val="20"/>
        </w:rPr>
      </w:pPr>
    </w:p>
    <w:p w14:paraId="3890E7B2" w14:textId="77777777" w:rsidR="00DD61D4" w:rsidRPr="00CB746B" w:rsidRDefault="00DD61D4" w:rsidP="00492E3E">
      <w:pPr>
        <w:rPr>
          <w:sz w:val="20"/>
        </w:rPr>
      </w:pPr>
    </w:p>
    <w:p w14:paraId="2A156644" w14:textId="77777777" w:rsidR="00DD61D4" w:rsidRPr="00CB746B" w:rsidRDefault="00DD61D4" w:rsidP="00492E3E">
      <w:pPr>
        <w:rPr>
          <w:sz w:val="20"/>
        </w:rPr>
      </w:pPr>
    </w:p>
    <w:p w14:paraId="120106F0" w14:textId="77777777" w:rsidR="00DD61D4" w:rsidRPr="00CB746B" w:rsidRDefault="00DD61D4" w:rsidP="00492E3E">
      <w:pPr>
        <w:rPr>
          <w:sz w:val="20"/>
        </w:rPr>
      </w:pPr>
    </w:p>
    <w:p w14:paraId="4C73DC8F" w14:textId="77777777" w:rsidR="00DD61D4" w:rsidRPr="00CB746B" w:rsidRDefault="00DD61D4" w:rsidP="00492E3E">
      <w:pPr>
        <w:rPr>
          <w:sz w:val="20"/>
        </w:rPr>
      </w:pPr>
    </w:p>
    <w:p w14:paraId="26F8A66C" w14:textId="77777777" w:rsidR="00DD61D4" w:rsidRPr="00CB746B" w:rsidRDefault="00DD61D4" w:rsidP="00492E3E">
      <w:pPr>
        <w:rPr>
          <w:sz w:val="20"/>
        </w:rPr>
      </w:pPr>
    </w:p>
    <w:p w14:paraId="2C153A4D" w14:textId="77777777" w:rsidR="00DD61D4" w:rsidRPr="00CB746B" w:rsidRDefault="00DD61D4" w:rsidP="00492E3E">
      <w:pPr>
        <w:rPr>
          <w:sz w:val="20"/>
        </w:rPr>
      </w:pPr>
    </w:p>
    <w:p w14:paraId="19E9F9C5" w14:textId="77777777" w:rsidR="00852DB9" w:rsidRPr="00CB746B" w:rsidRDefault="00852DB9" w:rsidP="00A26CE5">
      <w:pPr>
        <w:tabs>
          <w:tab w:val="decimal" w:pos="9638"/>
        </w:tabs>
        <w:contextualSpacing/>
        <w:rPr>
          <w:color w:val="000000" w:themeColor="text1"/>
          <w:sz w:val="16"/>
          <w:szCs w:val="16"/>
        </w:rPr>
      </w:pPr>
    </w:p>
    <w:p w14:paraId="1BC91DA2" w14:textId="6966F906" w:rsidR="00852DB9" w:rsidRPr="00CB746B" w:rsidRDefault="00852DB9" w:rsidP="00A26CE5">
      <w:pPr>
        <w:tabs>
          <w:tab w:val="decimal" w:pos="9638"/>
        </w:tabs>
        <w:contextualSpacing/>
        <w:rPr>
          <w:color w:val="000000" w:themeColor="text1"/>
          <w:sz w:val="16"/>
          <w:szCs w:val="16"/>
        </w:rPr>
      </w:pPr>
    </w:p>
    <w:p w14:paraId="2E6C3A31" w14:textId="09012992" w:rsidR="00311EAE" w:rsidRPr="00CB746B" w:rsidRDefault="00311EAE" w:rsidP="00A26CE5">
      <w:pPr>
        <w:tabs>
          <w:tab w:val="decimal" w:pos="9638"/>
        </w:tabs>
        <w:contextualSpacing/>
        <w:rPr>
          <w:color w:val="000000" w:themeColor="text1"/>
          <w:sz w:val="16"/>
          <w:szCs w:val="16"/>
        </w:rPr>
      </w:pPr>
    </w:p>
    <w:p w14:paraId="0CA46942" w14:textId="1A66CAB1" w:rsidR="00311EAE" w:rsidRPr="00CB746B" w:rsidRDefault="00311EAE" w:rsidP="00A26CE5">
      <w:pPr>
        <w:tabs>
          <w:tab w:val="decimal" w:pos="9638"/>
        </w:tabs>
        <w:contextualSpacing/>
        <w:rPr>
          <w:color w:val="000000" w:themeColor="text1"/>
          <w:sz w:val="16"/>
          <w:szCs w:val="16"/>
        </w:rPr>
      </w:pPr>
    </w:p>
    <w:p w14:paraId="747AA73D" w14:textId="206EBF2E" w:rsidR="00311EAE" w:rsidRPr="00CB746B" w:rsidRDefault="00311EAE" w:rsidP="00A26CE5">
      <w:pPr>
        <w:tabs>
          <w:tab w:val="decimal" w:pos="9638"/>
        </w:tabs>
        <w:contextualSpacing/>
        <w:rPr>
          <w:color w:val="000000" w:themeColor="text1"/>
          <w:sz w:val="16"/>
          <w:szCs w:val="16"/>
        </w:rPr>
      </w:pPr>
    </w:p>
    <w:p w14:paraId="53A91077" w14:textId="17E98D62" w:rsidR="00311EAE" w:rsidRPr="00CB746B" w:rsidRDefault="00311EAE" w:rsidP="00A26CE5">
      <w:pPr>
        <w:tabs>
          <w:tab w:val="decimal" w:pos="9638"/>
        </w:tabs>
        <w:contextualSpacing/>
        <w:rPr>
          <w:color w:val="000000" w:themeColor="text1"/>
          <w:sz w:val="16"/>
          <w:szCs w:val="16"/>
        </w:rPr>
      </w:pPr>
    </w:p>
    <w:p w14:paraId="75E1AE82" w14:textId="6DF09D1F" w:rsidR="00311EAE" w:rsidRPr="00CB746B" w:rsidRDefault="00311EAE" w:rsidP="00A26CE5">
      <w:pPr>
        <w:tabs>
          <w:tab w:val="decimal" w:pos="9638"/>
        </w:tabs>
        <w:contextualSpacing/>
        <w:rPr>
          <w:color w:val="000000" w:themeColor="text1"/>
          <w:sz w:val="16"/>
          <w:szCs w:val="16"/>
        </w:rPr>
      </w:pPr>
    </w:p>
    <w:p w14:paraId="42C89DAE" w14:textId="2555F9F3" w:rsidR="00311EAE" w:rsidRPr="00CB746B" w:rsidRDefault="00311EAE" w:rsidP="00A26CE5">
      <w:pPr>
        <w:tabs>
          <w:tab w:val="decimal" w:pos="9638"/>
        </w:tabs>
        <w:contextualSpacing/>
        <w:rPr>
          <w:color w:val="000000" w:themeColor="text1"/>
          <w:sz w:val="16"/>
          <w:szCs w:val="16"/>
        </w:rPr>
      </w:pPr>
    </w:p>
    <w:p w14:paraId="6E629BAB" w14:textId="57FAD865" w:rsidR="00311EAE" w:rsidRPr="00CB746B" w:rsidRDefault="00311EAE" w:rsidP="00A26CE5">
      <w:pPr>
        <w:tabs>
          <w:tab w:val="decimal" w:pos="9638"/>
        </w:tabs>
        <w:contextualSpacing/>
        <w:rPr>
          <w:color w:val="000000" w:themeColor="text1"/>
          <w:sz w:val="16"/>
          <w:szCs w:val="16"/>
        </w:rPr>
      </w:pPr>
    </w:p>
    <w:p w14:paraId="4D4C7C79" w14:textId="77777777" w:rsidR="00311EAE" w:rsidRPr="00CB746B" w:rsidRDefault="00311EAE" w:rsidP="00A26CE5">
      <w:pPr>
        <w:tabs>
          <w:tab w:val="decimal" w:pos="9638"/>
        </w:tabs>
        <w:contextualSpacing/>
        <w:rPr>
          <w:color w:val="000000" w:themeColor="text1"/>
          <w:sz w:val="16"/>
          <w:szCs w:val="16"/>
        </w:rPr>
      </w:pPr>
    </w:p>
    <w:p w14:paraId="59F17157" w14:textId="401FB755" w:rsidR="00A26CE5" w:rsidRPr="00CB746B" w:rsidRDefault="00A26CE5" w:rsidP="00A26CE5">
      <w:pPr>
        <w:tabs>
          <w:tab w:val="decimal" w:pos="9638"/>
        </w:tabs>
        <w:contextualSpacing/>
        <w:rPr>
          <w:color w:val="000000" w:themeColor="text1"/>
          <w:sz w:val="16"/>
          <w:szCs w:val="16"/>
        </w:rPr>
      </w:pPr>
      <w:r w:rsidRPr="00CB746B">
        <w:rPr>
          <w:color w:val="000000" w:themeColor="text1"/>
          <w:sz w:val="16"/>
          <w:szCs w:val="16"/>
        </w:rPr>
        <w:tab/>
        <w:t xml:space="preserve"> </w:t>
      </w:r>
    </w:p>
    <w:p w14:paraId="1A30010C" w14:textId="69BF4BF1" w:rsidR="00492E3E" w:rsidRPr="00CB746B" w:rsidRDefault="00492E3E" w:rsidP="00492E3E">
      <w:pPr>
        <w:tabs>
          <w:tab w:val="decimal" w:pos="9638"/>
        </w:tabs>
        <w:rPr>
          <w:color w:val="000000" w:themeColor="text1"/>
        </w:rPr>
      </w:pPr>
      <w:r w:rsidRPr="00CB746B">
        <w:rPr>
          <w:color w:val="000000" w:themeColor="text1"/>
          <w:sz w:val="20"/>
        </w:rPr>
        <w:tab/>
      </w:r>
      <w:r w:rsidRPr="00CB746B">
        <w:rPr>
          <w:color w:val="000000" w:themeColor="text1"/>
        </w:rPr>
        <w:t xml:space="preserve"> </w:t>
      </w:r>
    </w:p>
    <w:p w14:paraId="50374E6C" w14:textId="441A65B4" w:rsidR="00E75D83" w:rsidRPr="00CB746B" w:rsidRDefault="00852DB9" w:rsidP="00492E3E">
      <w:pPr>
        <w:tabs>
          <w:tab w:val="right" w:pos="9638"/>
        </w:tabs>
        <w:rPr>
          <w:color w:val="000000" w:themeColor="text1"/>
          <w:sz w:val="20"/>
          <w:szCs w:val="20"/>
        </w:rPr>
      </w:pPr>
      <w:r w:rsidRPr="00CB746B">
        <w:rPr>
          <w:color w:val="000000" w:themeColor="text1"/>
          <w:sz w:val="20"/>
          <w:szCs w:val="20"/>
        </w:rPr>
        <w:t xml:space="preserve">Dovilė Mekionytė, </w:t>
      </w:r>
      <w:r w:rsidR="001879C1">
        <w:rPr>
          <w:color w:val="000000" w:themeColor="text1"/>
          <w:sz w:val="20"/>
          <w:szCs w:val="20"/>
        </w:rPr>
        <w:t xml:space="preserve">tel. </w:t>
      </w:r>
      <w:r w:rsidRPr="00CB746B">
        <w:rPr>
          <w:color w:val="000000" w:themeColor="text1"/>
          <w:sz w:val="20"/>
          <w:szCs w:val="20"/>
        </w:rPr>
        <w:t>(8 5) 266</w:t>
      </w:r>
      <w:r w:rsidR="001879C1">
        <w:rPr>
          <w:color w:val="000000" w:themeColor="text1"/>
          <w:sz w:val="20"/>
          <w:szCs w:val="20"/>
        </w:rPr>
        <w:t xml:space="preserve"> </w:t>
      </w:r>
      <w:r w:rsidRPr="00CB746B">
        <w:rPr>
          <w:color w:val="000000" w:themeColor="text1"/>
          <w:sz w:val="20"/>
          <w:szCs w:val="20"/>
        </w:rPr>
        <w:t xml:space="preserve">2953, el. p. </w:t>
      </w:r>
      <w:hyperlink r:id="rId10" w:history="1">
        <w:r w:rsidR="001A6F64" w:rsidRPr="00CB746B">
          <w:rPr>
            <w:rStyle w:val="Hipersaitas"/>
            <w:sz w:val="20"/>
            <w:szCs w:val="20"/>
          </w:rPr>
          <w:t>dovile.mekionyte@tm.lt</w:t>
        </w:r>
      </w:hyperlink>
      <w:r w:rsidR="001A6F64" w:rsidRPr="00CB746B">
        <w:rPr>
          <w:color w:val="000000" w:themeColor="text1"/>
          <w:sz w:val="20"/>
          <w:szCs w:val="20"/>
        </w:rPr>
        <w:t xml:space="preserve"> </w:t>
      </w:r>
      <w:r w:rsidRPr="00CB746B">
        <w:rPr>
          <w:color w:val="000000" w:themeColor="text1"/>
          <w:sz w:val="20"/>
          <w:szCs w:val="20"/>
        </w:rPr>
        <w:t xml:space="preserve">  </w:t>
      </w:r>
    </w:p>
    <w:p w14:paraId="741B165F" w14:textId="53ADC6DE" w:rsidR="00852DB9" w:rsidRPr="00CB746B" w:rsidRDefault="00852DB9" w:rsidP="00492E3E">
      <w:pPr>
        <w:tabs>
          <w:tab w:val="right" w:pos="9638"/>
        </w:tabs>
        <w:rPr>
          <w:color w:val="000000" w:themeColor="text1"/>
          <w:sz w:val="20"/>
          <w:szCs w:val="20"/>
        </w:rPr>
      </w:pPr>
      <w:r w:rsidRPr="00CB746B">
        <w:rPr>
          <w:color w:val="000000" w:themeColor="text1"/>
          <w:sz w:val="20"/>
          <w:szCs w:val="20"/>
        </w:rPr>
        <w:t xml:space="preserve">Darius Trinkūnas, </w:t>
      </w:r>
      <w:r w:rsidR="001879C1">
        <w:rPr>
          <w:color w:val="000000" w:themeColor="text1"/>
          <w:sz w:val="20"/>
          <w:szCs w:val="20"/>
        </w:rPr>
        <w:t xml:space="preserve">tel. </w:t>
      </w:r>
      <w:r w:rsidRPr="00CB746B">
        <w:rPr>
          <w:color w:val="000000" w:themeColor="text1"/>
          <w:sz w:val="20"/>
          <w:szCs w:val="20"/>
        </w:rPr>
        <w:t xml:space="preserve">(8 5) 266 2912, el. p.  </w:t>
      </w:r>
      <w:hyperlink r:id="rId11" w:history="1">
        <w:r w:rsidR="001879C1" w:rsidRPr="001879C1">
          <w:rPr>
            <w:rStyle w:val="Hipersaitas"/>
            <w:sz w:val="20"/>
            <w:szCs w:val="20"/>
          </w:rPr>
          <w:t>dari</w:t>
        </w:r>
        <w:r w:rsidR="001879C1" w:rsidRPr="00CF7FE1">
          <w:rPr>
            <w:rStyle w:val="Hipersaitas"/>
            <w:sz w:val="20"/>
            <w:szCs w:val="20"/>
          </w:rPr>
          <w:t>us.trinkunas@tm.lt</w:t>
        </w:r>
      </w:hyperlink>
    </w:p>
    <w:p w14:paraId="66D71B86" w14:textId="61A3F125" w:rsidR="001A6F64" w:rsidRPr="00CB746B" w:rsidRDefault="001A6F64" w:rsidP="00492E3E">
      <w:pPr>
        <w:tabs>
          <w:tab w:val="right" w:pos="9638"/>
        </w:tabs>
        <w:rPr>
          <w:color w:val="000000" w:themeColor="text1"/>
          <w:sz w:val="20"/>
          <w:szCs w:val="20"/>
        </w:rPr>
      </w:pPr>
      <w:r w:rsidRPr="00CB746B">
        <w:rPr>
          <w:color w:val="000000" w:themeColor="text1"/>
          <w:sz w:val="20"/>
          <w:szCs w:val="20"/>
        </w:rPr>
        <w:t xml:space="preserve">Egidija Konopliova-Budrikienė, tel. (8 5) 266 2957, el. p. </w:t>
      </w:r>
      <w:hyperlink r:id="rId12" w:history="1">
        <w:r w:rsidR="00311EAE" w:rsidRPr="00CB746B">
          <w:rPr>
            <w:rStyle w:val="Hipersaitas"/>
            <w:sz w:val="20"/>
            <w:szCs w:val="20"/>
          </w:rPr>
          <w:t>egidija.konopliova@tm.lt</w:t>
        </w:r>
      </w:hyperlink>
    </w:p>
    <w:p w14:paraId="1A48506A" w14:textId="77777777" w:rsidR="00311EAE" w:rsidRPr="00CB746B" w:rsidRDefault="00311EAE" w:rsidP="00492E3E">
      <w:pPr>
        <w:tabs>
          <w:tab w:val="right" w:pos="9638"/>
        </w:tabs>
        <w:rPr>
          <w:color w:val="000000" w:themeColor="text1"/>
          <w:sz w:val="20"/>
          <w:szCs w:val="20"/>
        </w:rPr>
      </w:pPr>
    </w:p>
    <w:sectPr w:rsidR="00311EAE" w:rsidRPr="00CB746B" w:rsidSect="00137EFF">
      <w:headerReference w:type="default" r:id="rId13"/>
      <w:headerReference w:type="first" r:id="rId14"/>
      <w:footerReference w:type="first" r:id="rId15"/>
      <w:footnotePr>
        <w:pos w:val="beneathText"/>
      </w:footnotePr>
      <w:pgSz w:w="11905" w:h="16837"/>
      <w:pgMar w:top="1134" w:right="737" w:bottom="1134" w:left="1701" w:header="1123" w:footer="74"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EC954" w14:textId="77777777" w:rsidR="00137CDD" w:rsidRDefault="00137CDD">
      <w:r>
        <w:separator/>
      </w:r>
    </w:p>
  </w:endnote>
  <w:endnote w:type="continuationSeparator" w:id="0">
    <w:p w14:paraId="31730C62" w14:textId="77777777" w:rsidR="00137CDD" w:rsidRDefault="00137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782B8" w14:textId="77777777" w:rsidR="001F4940" w:rsidRDefault="001F4940" w:rsidP="00137EFF">
    <w:pPr>
      <w:pStyle w:val="Porat"/>
      <w:tabs>
        <w:tab w:val="clear" w:pos="8306"/>
        <w:tab w:val="left" w:pos="8080"/>
        <w:tab w:val="right" w:pos="9356"/>
      </w:tabs>
    </w:pPr>
  </w:p>
  <w:p w14:paraId="1A5E7143" w14:textId="77777777" w:rsidR="0006186E" w:rsidRDefault="00247655" w:rsidP="00392BAA">
    <w:pPr>
      <w:pStyle w:val="Pora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E4702" w14:textId="77777777" w:rsidR="00137CDD" w:rsidRDefault="00137CDD">
      <w:r>
        <w:separator/>
      </w:r>
    </w:p>
  </w:footnote>
  <w:footnote w:type="continuationSeparator" w:id="0">
    <w:p w14:paraId="56C3EDF8" w14:textId="77777777" w:rsidR="00137CDD" w:rsidRDefault="00137C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2492965"/>
      <w:docPartObj>
        <w:docPartGallery w:val="Page Numbers (Top of Page)"/>
        <w:docPartUnique/>
      </w:docPartObj>
    </w:sdtPr>
    <w:sdtEndPr/>
    <w:sdtContent>
      <w:p w14:paraId="77FEFB88" w14:textId="251E4E94" w:rsidR="00C337D4" w:rsidRDefault="00C337D4">
        <w:pPr>
          <w:pStyle w:val="Antrats"/>
          <w:jc w:val="center"/>
        </w:pPr>
        <w:r>
          <w:fldChar w:fldCharType="begin"/>
        </w:r>
        <w:r>
          <w:instrText>PAGE   \* MERGEFORMAT</w:instrText>
        </w:r>
        <w:r>
          <w:fldChar w:fldCharType="separate"/>
        </w:r>
        <w:r w:rsidR="00AF22FE">
          <w:rPr>
            <w:noProof/>
          </w:rPr>
          <w:t>6</w:t>
        </w:r>
        <w:r>
          <w:fldChar w:fldCharType="end"/>
        </w:r>
      </w:p>
    </w:sdtContent>
  </w:sdt>
  <w:p w14:paraId="3EE61096" w14:textId="77777777" w:rsidR="0006186E" w:rsidRDefault="0006186E" w:rsidP="00EE5859">
    <w:pPr>
      <w:pStyle w:val="Antrat1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6B565" w14:textId="77777777" w:rsidR="006A0169" w:rsidRPr="00095F50" w:rsidRDefault="00095F50" w:rsidP="006A0169">
    <w:pPr>
      <w:tabs>
        <w:tab w:val="right" w:pos="8306"/>
      </w:tabs>
      <w:jc w:val="center"/>
      <w:rPr>
        <w:sz w:val="28"/>
        <w:szCs w:val="28"/>
        <w:lang w:eastAsia="en-US"/>
      </w:rPr>
    </w:pPr>
    <w:r w:rsidRPr="00095F50">
      <w:rPr>
        <w:noProof/>
        <w:sz w:val="28"/>
        <w:szCs w:val="28"/>
        <w:lang w:eastAsia="lt-LT"/>
      </w:rPr>
      <w:drawing>
        <wp:inline distT="0" distB="0" distL="0" distR="0" wp14:anchorId="32F0D472" wp14:editId="5C12F679">
          <wp:extent cx="563880" cy="556260"/>
          <wp:effectExtent l="0" t="0" r="7620" b="0"/>
          <wp:docPr id="11" name="Paveikslėlis 11" descr="image001"/>
          <wp:cNvGraphicFramePr/>
          <a:graphic xmlns:a="http://schemas.openxmlformats.org/drawingml/2006/main">
            <a:graphicData uri="http://schemas.openxmlformats.org/drawingml/2006/picture">
              <pic:pic xmlns:pic="http://schemas.openxmlformats.org/drawingml/2006/picture">
                <pic:nvPicPr>
                  <pic:cNvPr id="1" name="Paveikslėlis 1" descr="image00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3880" cy="556260"/>
                  </a:xfrm>
                  <a:prstGeom prst="rect">
                    <a:avLst/>
                  </a:prstGeom>
                  <a:noFill/>
                  <a:ln>
                    <a:noFill/>
                  </a:ln>
                </pic:spPr>
              </pic:pic>
            </a:graphicData>
          </a:graphic>
        </wp:inline>
      </w:drawing>
    </w:r>
  </w:p>
  <w:p w14:paraId="0439D630" w14:textId="77777777" w:rsidR="006A0169" w:rsidRPr="006A0169" w:rsidRDefault="006A0169" w:rsidP="006A0169">
    <w:pPr>
      <w:tabs>
        <w:tab w:val="right" w:pos="8306"/>
      </w:tabs>
      <w:jc w:val="center"/>
      <w:rPr>
        <w:sz w:val="16"/>
        <w:lang w:eastAsia="en-US"/>
      </w:rPr>
    </w:pPr>
  </w:p>
  <w:p w14:paraId="39DA9188" w14:textId="77777777" w:rsidR="006A0169" w:rsidRPr="006A0169" w:rsidRDefault="006A0169" w:rsidP="006A0169">
    <w:pPr>
      <w:jc w:val="center"/>
      <w:rPr>
        <w:b/>
        <w:bCs/>
        <w:sz w:val="26"/>
        <w:lang w:eastAsia="en-US"/>
      </w:rPr>
    </w:pPr>
    <w:r w:rsidRPr="006A0169">
      <w:rPr>
        <w:b/>
        <w:bCs/>
        <w:sz w:val="26"/>
        <w:lang w:eastAsia="en-US"/>
      </w:rPr>
      <w:t>LIETUVOS RESPUBLIKOS TEISINGUMO MINISTERIJA</w:t>
    </w:r>
  </w:p>
  <w:p w14:paraId="110DDAB0" w14:textId="77777777" w:rsidR="006A0169" w:rsidRPr="006A0169" w:rsidRDefault="006A0169" w:rsidP="006A0169">
    <w:pPr>
      <w:jc w:val="center"/>
      <w:rPr>
        <w:b/>
        <w:bCs/>
        <w:sz w:val="26"/>
        <w:lang w:eastAsia="en-US"/>
      </w:rPr>
    </w:pPr>
  </w:p>
  <w:p w14:paraId="5B8B41F7" w14:textId="77777777" w:rsidR="00D22358" w:rsidRDefault="00D22358" w:rsidP="00D22358">
    <w:pPr>
      <w:pBdr>
        <w:bottom w:val="single" w:sz="4" w:space="1" w:color="auto"/>
      </w:pBdr>
      <w:jc w:val="center"/>
      <w:rPr>
        <w:sz w:val="20"/>
        <w:lang w:eastAsia="en-US"/>
      </w:rPr>
    </w:pPr>
    <w:r>
      <w:rPr>
        <w:sz w:val="20"/>
        <w:lang w:eastAsia="en-US"/>
      </w:rPr>
      <w:t xml:space="preserve">Biudžetinė įstaiga, Gedimino pr. 30, LT-01104 Vilnius, </w:t>
    </w:r>
  </w:p>
  <w:p w14:paraId="086E8B22" w14:textId="224C4069" w:rsidR="00D22358" w:rsidRDefault="00D22358" w:rsidP="00D22358">
    <w:pPr>
      <w:pBdr>
        <w:bottom w:val="single" w:sz="4" w:space="1" w:color="auto"/>
      </w:pBdr>
      <w:jc w:val="center"/>
      <w:rPr>
        <w:sz w:val="20"/>
        <w:lang w:eastAsia="en-US"/>
      </w:rPr>
    </w:pPr>
    <w:r>
      <w:rPr>
        <w:sz w:val="20"/>
        <w:lang w:eastAsia="en-US"/>
      </w:rPr>
      <w:t xml:space="preserve">tel. (8 5) 266 2984, faks. (8 5) 262 5940, el. p. </w:t>
    </w:r>
    <w:hyperlink r:id="rId2" w:history="1">
      <w:r w:rsidR="00D00BD9" w:rsidRPr="000F6070">
        <w:rPr>
          <w:rStyle w:val="Hipersaitas"/>
          <w:sz w:val="20"/>
          <w:lang w:eastAsia="en-US"/>
        </w:rPr>
        <w:t>rastine@tm.lt</w:t>
      </w:r>
    </w:hyperlink>
    <w:r>
      <w:rPr>
        <w:sz w:val="20"/>
        <w:lang w:eastAsia="en-US"/>
      </w:rPr>
      <w:t>,</w:t>
    </w:r>
    <w:r w:rsidR="00D00BD9">
      <w:rPr>
        <w:sz w:val="20"/>
        <w:lang w:eastAsia="en-US"/>
      </w:rPr>
      <w:t xml:space="preserve"> </w:t>
    </w:r>
    <w:r w:rsidR="00D00BD9" w:rsidRPr="00293077">
      <w:rPr>
        <w:sz w:val="20"/>
        <w:lang w:eastAsia="en-US"/>
      </w:rPr>
      <w:t>https://tm.lrv.lt</w:t>
    </w:r>
    <w:r w:rsidR="00D00BD9">
      <w:rPr>
        <w:sz w:val="20"/>
        <w:lang w:eastAsia="en-US"/>
      </w:rPr>
      <w:t>.</w:t>
    </w:r>
  </w:p>
  <w:p w14:paraId="04C7FD59" w14:textId="77777777" w:rsidR="00D22358" w:rsidRDefault="00D22358" w:rsidP="00D22358">
    <w:pPr>
      <w:pBdr>
        <w:bottom w:val="single" w:sz="4" w:space="1" w:color="auto"/>
      </w:pBdr>
      <w:jc w:val="center"/>
      <w:rPr>
        <w:sz w:val="20"/>
        <w:lang w:eastAsia="en-US"/>
      </w:rPr>
    </w:pPr>
    <w:r>
      <w:rPr>
        <w:sz w:val="20"/>
        <w:lang w:eastAsia="en-US"/>
      </w:rPr>
      <w:t>Duomenys kaupiami ir saugomi Juridinių asmenų registre, kodas 188604955</w:t>
    </w:r>
  </w:p>
  <w:p w14:paraId="074EED44" w14:textId="77777777" w:rsidR="006A0169" w:rsidRPr="006A0169" w:rsidRDefault="006A0169" w:rsidP="006A0169">
    <w:pPr>
      <w:tabs>
        <w:tab w:val="right" w:pos="8306"/>
      </w:tabs>
      <w:jc w:val="center"/>
      <w:rPr>
        <w:sz w:val="20"/>
        <w:lang w:eastAsia="en-US"/>
      </w:rPr>
    </w:pPr>
  </w:p>
  <w:p w14:paraId="79F10A70" w14:textId="77777777" w:rsidR="0006186E" w:rsidRPr="006A0169" w:rsidRDefault="0006186E" w:rsidP="006A0169">
    <w:pPr>
      <w:pStyle w:val="Antrats"/>
      <w:rPr>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3BD6F49"/>
    <w:multiLevelType w:val="multilevel"/>
    <w:tmpl w:val="DC124A8C"/>
    <w:lvl w:ilvl="0">
      <w:start w:val="1"/>
      <w:numFmt w:val="decimal"/>
      <w:lvlText w:val="%1."/>
      <w:lvlJc w:val="left"/>
      <w:pPr>
        <w:tabs>
          <w:tab w:val="num" w:pos="1967"/>
        </w:tabs>
        <w:ind w:left="1967" w:hanging="360"/>
      </w:pPr>
    </w:lvl>
    <w:lvl w:ilvl="1">
      <w:start w:val="1"/>
      <w:numFmt w:val="lowerLetter"/>
      <w:lvlText w:val="%2."/>
      <w:lvlJc w:val="left"/>
      <w:pPr>
        <w:tabs>
          <w:tab w:val="num" w:pos="2687"/>
        </w:tabs>
        <w:ind w:left="2687" w:hanging="360"/>
      </w:pPr>
    </w:lvl>
    <w:lvl w:ilvl="2">
      <w:start w:val="1"/>
      <w:numFmt w:val="lowerRoman"/>
      <w:lvlText w:val="%3."/>
      <w:lvlJc w:val="right"/>
      <w:pPr>
        <w:tabs>
          <w:tab w:val="num" w:pos="3407"/>
        </w:tabs>
        <w:ind w:left="3407" w:hanging="180"/>
      </w:pPr>
    </w:lvl>
    <w:lvl w:ilvl="3">
      <w:start w:val="1"/>
      <w:numFmt w:val="decimal"/>
      <w:lvlText w:val="%4."/>
      <w:lvlJc w:val="left"/>
      <w:pPr>
        <w:tabs>
          <w:tab w:val="num" w:pos="4127"/>
        </w:tabs>
        <w:ind w:left="4127" w:hanging="360"/>
      </w:pPr>
    </w:lvl>
    <w:lvl w:ilvl="4">
      <w:start w:val="1"/>
      <w:numFmt w:val="lowerLetter"/>
      <w:lvlText w:val="%5."/>
      <w:lvlJc w:val="left"/>
      <w:pPr>
        <w:tabs>
          <w:tab w:val="num" w:pos="4847"/>
        </w:tabs>
        <w:ind w:left="4847" w:hanging="360"/>
      </w:pPr>
    </w:lvl>
    <w:lvl w:ilvl="5">
      <w:start w:val="1"/>
      <w:numFmt w:val="lowerRoman"/>
      <w:lvlText w:val="%6."/>
      <w:lvlJc w:val="right"/>
      <w:pPr>
        <w:tabs>
          <w:tab w:val="num" w:pos="5567"/>
        </w:tabs>
        <w:ind w:left="5567" w:hanging="180"/>
      </w:pPr>
    </w:lvl>
    <w:lvl w:ilvl="6">
      <w:start w:val="1"/>
      <w:numFmt w:val="decimal"/>
      <w:lvlText w:val="%7."/>
      <w:lvlJc w:val="left"/>
      <w:pPr>
        <w:tabs>
          <w:tab w:val="num" w:pos="6287"/>
        </w:tabs>
        <w:ind w:left="6287" w:hanging="360"/>
      </w:pPr>
    </w:lvl>
    <w:lvl w:ilvl="7">
      <w:start w:val="1"/>
      <w:numFmt w:val="lowerLetter"/>
      <w:lvlText w:val="%8."/>
      <w:lvlJc w:val="left"/>
      <w:pPr>
        <w:tabs>
          <w:tab w:val="num" w:pos="7007"/>
        </w:tabs>
        <w:ind w:left="7007" w:hanging="360"/>
      </w:pPr>
    </w:lvl>
    <w:lvl w:ilvl="8">
      <w:start w:val="1"/>
      <w:numFmt w:val="lowerRoman"/>
      <w:lvlText w:val="%9."/>
      <w:lvlJc w:val="right"/>
      <w:pPr>
        <w:tabs>
          <w:tab w:val="num" w:pos="7727"/>
        </w:tabs>
        <w:ind w:left="7727" w:hanging="180"/>
      </w:pPr>
    </w:lvl>
  </w:abstractNum>
  <w:abstractNum w:abstractNumId="2" w15:restartNumberingAfterBreak="0">
    <w:nsid w:val="1D8A6E0A"/>
    <w:multiLevelType w:val="multilevel"/>
    <w:tmpl w:val="61600798"/>
    <w:lvl w:ilvl="0">
      <w:start w:val="1"/>
      <w:numFmt w:val="decimal"/>
      <w:suff w:val="space"/>
      <w:lvlText w:val="%1. "/>
      <w:lvlJc w:val="left"/>
      <w:pPr>
        <w:ind w:left="2520" w:firstLine="887"/>
      </w:pPr>
      <w:rPr>
        <w:rFonts w:hint="default"/>
      </w:rPr>
    </w:lvl>
    <w:lvl w:ilvl="1">
      <w:start w:val="1"/>
      <w:numFmt w:val="decimal"/>
      <w:suff w:val="space"/>
      <w:lvlText w:val="%1.%2."/>
      <w:lvlJc w:val="left"/>
      <w:pPr>
        <w:ind w:left="3407" w:hanging="887"/>
      </w:pPr>
      <w:rPr>
        <w:rFonts w:hint="default"/>
      </w:rPr>
    </w:lvl>
    <w:lvl w:ilvl="2">
      <w:start w:val="1"/>
      <w:numFmt w:val="decimal"/>
      <w:lvlText w:val="%1.%2.%3."/>
      <w:lvlJc w:val="left"/>
      <w:pPr>
        <w:tabs>
          <w:tab w:val="num" w:pos="3384"/>
        </w:tabs>
        <w:ind w:left="3384" w:hanging="504"/>
      </w:pPr>
      <w:rPr>
        <w:rFonts w:hint="default"/>
      </w:rPr>
    </w:lvl>
    <w:lvl w:ilvl="3">
      <w:start w:val="1"/>
      <w:numFmt w:val="decimal"/>
      <w:lvlText w:val="%1.%2.%3.%4."/>
      <w:lvlJc w:val="left"/>
      <w:pPr>
        <w:tabs>
          <w:tab w:val="num" w:pos="3888"/>
        </w:tabs>
        <w:ind w:left="3888" w:hanging="648"/>
      </w:pPr>
      <w:rPr>
        <w:rFonts w:hint="default"/>
      </w:rPr>
    </w:lvl>
    <w:lvl w:ilvl="4">
      <w:start w:val="1"/>
      <w:numFmt w:val="decimal"/>
      <w:lvlText w:val="%1.%2.%3.%4.%5."/>
      <w:lvlJc w:val="left"/>
      <w:pPr>
        <w:tabs>
          <w:tab w:val="num" w:pos="4392"/>
        </w:tabs>
        <w:ind w:left="4392" w:hanging="792"/>
      </w:pPr>
      <w:rPr>
        <w:rFonts w:hint="default"/>
      </w:rPr>
    </w:lvl>
    <w:lvl w:ilvl="5">
      <w:start w:val="1"/>
      <w:numFmt w:val="decimal"/>
      <w:lvlText w:val="%1.%2.%3.%4.%5.%6."/>
      <w:lvlJc w:val="left"/>
      <w:pPr>
        <w:tabs>
          <w:tab w:val="num" w:pos="4896"/>
        </w:tabs>
        <w:ind w:left="4896" w:hanging="936"/>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5904"/>
        </w:tabs>
        <w:ind w:left="5904" w:hanging="1224"/>
      </w:pPr>
      <w:rPr>
        <w:rFonts w:hint="default"/>
      </w:rPr>
    </w:lvl>
    <w:lvl w:ilvl="8">
      <w:start w:val="1"/>
      <w:numFmt w:val="decimal"/>
      <w:lvlText w:val="%1.%2.%3.%4.%5.%6.%7.%8.%9."/>
      <w:lvlJc w:val="left"/>
      <w:pPr>
        <w:tabs>
          <w:tab w:val="num" w:pos="6480"/>
        </w:tabs>
        <w:ind w:left="6480" w:hanging="1440"/>
      </w:pPr>
      <w:rPr>
        <w:rFonts w:hint="default"/>
      </w:rPr>
    </w:lvl>
  </w:abstractNum>
  <w:abstractNum w:abstractNumId="3" w15:restartNumberingAfterBreak="0">
    <w:nsid w:val="2AB52425"/>
    <w:multiLevelType w:val="multilevel"/>
    <w:tmpl w:val="80F84ACC"/>
    <w:lvl w:ilvl="0">
      <w:start w:val="1"/>
      <w:numFmt w:val="decimal"/>
      <w:suff w:val="space"/>
      <w:lvlText w:val="%1. "/>
      <w:lvlJc w:val="left"/>
      <w:pPr>
        <w:ind w:left="-2" w:firstLine="887"/>
      </w:pPr>
      <w:rPr>
        <w:rFonts w:hint="default"/>
      </w:rPr>
    </w:lvl>
    <w:lvl w:ilvl="1">
      <w:start w:val="1"/>
      <w:numFmt w:val="decimal"/>
      <w:suff w:val="space"/>
      <w:lvlText w:val="%1.%2."/>
      <w:lvlJc w:val="left"/>
      <w:pPr>
        <w:ind w:left="1247" w:hanging="1249"/>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4" w15:restartNumberingAfterBreak="0">
    <w:nsid w:val="38747C36"/>
    <w:multiLevelType w:val="multilevel"/>
    <w:tmpl w:val="AA1A1A78"/>
    <w:lvl w:ilvl="0">
      <w:start w:val="1"/>
      <w:numFmt w:val="decimal"/>
      <w:suff w:val="space"/>
      <w:lvlText w:val="%1. "/>
      <w:lvlJc w:val="left"/>
      <w:pPr>
        <w:ind w:left="-2" w:firstLine="887"/>
      </w:pPr>
      <w:rPr>
        <w:rFonts w:hint="default"/>
      </w:rPr>
    </w:lvl>
    <w:lvl w:ilvl="1">
      <w:start w:val="1"/>
      <w:numFmt w:val="decimal"/>
      <w:suff w:val="space"/>
      <w:lvlText w:val="%1.%2."/>
      <w:lvlJc w:val="left"/>
      <w:pPr>
        <w:ind w:left="1247" w:hanging="1247"/>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5" w15:restartNumberingAfterBreak="0">
    <w:nsid w:val="41D24D71"/>
    <w:multiLevelType w:val="multilevel"/>
    <w:tmpl w:val="A594B9CC"/>
    <w:lvl w:ilvl="0">
      <w:start w:val="1"/>
      <w:numFmt w:val="decimal"/>
      <w:suff w:val="space"/>
      <w:lvlText w:val="%1. "/>
      <w:lvlJc w:val="left"/>
      <w:pPr>
        <w:ind w:left="360" w:firstLine="887"/>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481B73A8"/>
    <w:multiLevelType w:val="multilevel"/>
    <w:tmpl w:val="F90CCFD6"/>
    <w:lvl w:ilvl="0">
      <w:start w:val="1"/>
      <w:numFmt w:val="decimal"/>
      <w:suff w:val="space"/>
      <w:lvlText w:val="%1. "/>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48693A8D"/>
    <w:multiLevelType w:val="multilevel"/>
    <w:tmpl w:val="79CAB6DA"/>
    <w:lvl w:ilvl="0">
      <w:start w:val="1"/>
      <w:numFmt w:val="decimal"/>
      <w:suff w:val="space"/>
      <w:lvlText w:val="%1. "/>
      <w:lvlJc w:val="left"/>
      <w:pPr>
        <w:ind w:left="0" w:firstLine="885"/>
      </w:pPr>
      <w:rPr>
        <w:rFonts w:hint="default"/>
      </w:rPr>
    </w:lvl>
    <w:lvl w:ilvl="1">
      <w:start w:val="1"/>
      <w:numFmt w:val="decimal"/>
      <w:suff w:val="space"/>
      <w:lvlText w:val="%1.%2."/>
      <w:lvlJc w:val="left"/>
      <w:pPr>
        <w:ind w:left="0" w:firstLine="964"/>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8" w15:restartNumberingAfterBreak="0">
    <w:nsid w:val="4E8F0121"/>
    <w:multiLevelType w:val="multilevel"/>
    <w:tmpl w:val="05A85640"/>
    <w:lvl w:ilvl="0">
      <w:start w:val="1"/>
      <w:numFmt w:val="decimal"/>
      <w:pStyle w:val="Tekstasnumeruotas"/>
      <w:suff w:val="space"/>
      <w:lvlText w:val="%1. "/>
      <w:lvlJc w:val="left"/>
      <w:pPr>
        <w:ind w:left="0" w:firstLine="885"/>
      </w:pPr>
      <w:rPr>
        <w:rFonts w:hint="default"/>
      </w:rPr>
    </w:lvl>
    <w:lvl w:ilvl="1">
      <w:start w:val="1"/>
      <w:numFmt w:val="decimal"/>
      <w:suff w:val="space"/>
      <w:lvlText w:val="%1.%2."/>
      <w:lvlJc w:val="left"/>
      <w:pPr>
        <w:ind w:left="0" w:firstLine="1247"/>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9" w15:restartNumberingAfterBreak="0">
    <w:nsid w:val="662C6A1A"/>
    <w:multiLevelType w:val="multilevel"/>
    <w:tmpl w:val="0E088DCA"/>
    <w:lvl w:ilvl="0">
      <w:start w:val="1"/>
      <w:numFmt w:val="decimal"/>
      <w:lvlText w:val="%1. "/>
      <w:lvlJc w:val="left"/>
      <w:pPr>
        <w:tabs>
          <w:tab w:val="num" w:pos="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0" w15:restartNumberingAfterBreak="0">
    <w:nsid w:val="6F487EB8"/>
    <w:multiLevelType w:val="hybridMultilevel"/>
    <w:tmpl w:val="5B0AE6F0"/>
    <w:lvl w:ilvl="0" w:tplc="E15E585C">
      <w:start w:val="1"/>
      <w:numFmt w:val="decimal"/>
      <w:lvlText w:val="%1."/>
      <w:lvlJc w:val="left"/>
      <w:pPr>
        <w:ind w:left="1636" w:hanging="360"/>
      </w:pPr>
      <w:rPr>
        <w:rFonts w:hint="default"/>
        <w:color w:val="000000"/>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11" w15:restartNumberingAfterBreak="0">
    <w:nsid w:val="74FA7D34"/>
    <w:multiLevelType w:val="hybridMultilevel"/>
    <w:tmpl w:val="2ABA922A"/>
    <w:lvl w:ilvl="0" w:tplc="87A68F84">
      <w:start w:val="1"/>
      <w:numFmt w:val="decimal"/>
      <w:lvlText w:val="%1."/>
      <w:lvlJc w:val="left"/>
      <w:pPr>
        <w:ind w:left="1636" w:hanging="360"/>
      </w:pPr>
      <w:rPr>
        <w:rFonts w:hint="default"/>
        <w:color w:val="000000"/>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num w:numId="1">
    <w:abstractNumId w:val="0"/>
  </w:num>
  <w:num w:numId="2">
    <w:abstractNumId w:val="8"/>
  </w:num>
  <w:num w:numId="3">
    <w:abstractNumId w:val="1"/>
  </w:num>
  <w:num w:numId="4">
    <w:abstractNumId w:val="9"/>
  </w:num>
  <w:num w:numId="5">
    <w:abstractNumId w:val="6"/>
  </w:num>
  <w:num w:numId="6">
    <w:abstractNumId w:val="5"/>
  </w:num>
  <w:num w:numId="7">
    <w:abstractNumId w:val="2"/>
  </w:num>
  <w:num w:numId="8">
    <w:abstractNumId w:val="3"/>
  </w:num>
  <w:num w:numId="9">
    <w:abstractNumId w:val="4"/>
  </w:num>
  <w:num w:numId="10">
    <w:abstractNumId w:val="7"/>
  </w:num>
  <w:num w:numId="11">
    <w:abstractNumId w:val="8"/>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0"/>
  <w:displayHorizontalDrawingGridEvery w:val="0"/>
  <w:displayVerticalDrawingGridEvery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92A"/>
    <w:rsid w:val="00001CE4"/>
    <w:rsid w:val="000043D9"/>
    <w:rsid w:val="000126A3"/>
    <w:rsid w:val="000203F3"/>
    <w:rsid w:val="00022E3C"/>
    <w:rsid w:val="00026AF5"/>
    <w:rsid w:val="0003003E"/>
    <w:rsid w:val="00032A40"/>
    <w:rsid w:val="00033F22"/>
    <w:rsid w:val="000356BD"/>
    <w:rsid w:val="00041C04"/>
    <w:rsid w:val="0004405D"/>
    <w:rsid w:val="00045F11"/>
    <w:rsid w:val="00052E32"/>
    <w:rsid w:val="000608D3"/>
    <w:rsid w:val="0006186E"/>
    <w:rsid w:val="00072919"/>
    <w:rsid w:val="000756A8"/>
    <w:rsid w:val="00090DDA"/>
    <w:rsid w:val="00093791"/>
    <w:rsid w:val="0009380F"/>
    <w:rsid w:val="00095F50"/>
    <w:rsid w:val="000B0D10"/>
    <w:rsid w:val="000B1ECA"/>
    <w:rsid w:val="000B67D8"/>
    <w:rsid w:val="000C177A"/>
    <w:rsid w:val="000D0B1C"/>
    <w:rsid w:val="000D1AF9"/>
    <w:rsid w:val="000D2BD4"/>
    <w:rsid w:val="000D3171"/>
    <w:rsid w:val="000E2A01"/>
    <w:rsid w:val="000E34D4"/>
    <w:rsid w:val="000E6E4F"/>
    <w:rsid w:val="000E7556"/>
    <w:rsid w:val="000F632A"/>
    <w:rsid w:val="000F75E7"/>
    <w:rsid w:val="00102BEF"/>
    <w:rsid w:val="00106269"/>
    <w:rsid w:val="00110A05"/>
    <w:rsid w:val="00121C65"/>
    <w:rsid w:val="00126BD3"/>
    <w:rsid w:val="00133358"/>
    <w:rsid w:val="00134C5E"/>
    <w:rsid w:val="00137CDD"/>
    <w:rsid w:val="00137EFF"/>
    <w:rsid w:val="0014262F"/>
    <w:rsid w:val="00163243"/>
    <w:rsid w:val="00163C9F"/>
    <w:rsid w:val="001667B1"/>
    <w:rsid w:val="00170756"/>
    <w:rsid w:val="00182296"/>
    <w:rsid w:val="001879C1"/>
    <w:rsid w:val="00190B04"/>
    <w:rsid w:val="00194508"/>
    <w:rsid w:val="001A0B92"/>
    <w:rsid w:val="001A2BEB"/>
    <w:rsid w:val="001A6F64"/>
    <w:rsid w:val="001A6F6B"/>
    <w:rsid w:val="001B28DE"/>
    <w:rsid w:val="001B7F6F"/>
    <w:rsid w:val="001C1840"/>
    <w:rsid w:val="001C60E8"/>
    <w:rsid w:val="001E0731"/>
    <w:rsid w:val="001E192A"/>
    <w:rsid w:val="001E213B"/>
    <w:rsid w:val="001E6F39"/>
    <w:rsid w:val="001F4940"/>
    <w:rsid w:val="00216724"/>
    <w:rsid w:val="00221D99"/>
    <w:rsid w:val="00224C7E"/>
    <w:rsid w:val="00225009"/>
    <w:rsid w:val="00247006"/>
    <w:rsid w:val="00247655"/>
    <w:rsid w:val="002556B1"/>
    <w:rsid w:val="002663A2"/>
    <w:rsid w:val="00271BCA"/>
    <w:rsid w:val="00273C5F"/>
    <w:rsid w:val="0027526A"/>
    <w:rsid w:val="00282F8E"/>
    <w:rsid w:val="00284AE9"/>
    <w:rsid w:val="002868A9"/>
    <w:rsid w:val="00294601"/>
    <w:rsid w:val="002A2334"/>
    <w:rsid w:val="002C0406"/>
    <w:rsid w:val="002C63C4"/>
    <w:rsid w:val="002D24DA"/>
    <w:rsid w:val="002D49BA"/>
    <w:rsid w:val="002E6AB6"/>
    <w:rsid w:val="002F357E"/>
    <w:rsid w:val="00310BF1"/>
    <w:rsid w:val="00311EAE"/>
    <w:rsid w:val="00312750"/>
    <w:rsid w:val="00314884"/>
    <w:rsid w:val="0031547F"/>
    <w:rsid w:val="00316B60"/>
    <w:rsid w:val="00335E75"/>
    <w:rsid w:val="00337B4C"/>
    <w:rsid w:val="00342240"/>
    <w:rsid w:val="00345C41"/>
    <w:rsid w:val="00350171"/>
    <w:rsid w:val="0035263F"/>
    <w:rsid w:val="00357B11"/>
    <w:rsid w:val="00374572"/>
    <w:rsid w:val="00392BAA"/>
    <w:rsid w:val="003A0D57"/>
    <w:rsid w:val="003A403B"/>
    <w:rsid w:val="003A6CAA"/>
    <w:rsid w:val="003C1BC9"/>
    <w:rsid w:val="003C76FB"/>
    <w:rsid w:val="003F71BB"/>
    <w:rsid w:val="00401A64"/>
    <w:rsid w:val="004048C1"/>
    <w:rsid w:val="00422F55"/>
    <w:rsid w:val="00433861"/>
    <w:rsid w:val="004400C5"/>
    <w:rsid w:val="00440982"/>
    <w:rsid w:val="00444D3C"/>
    <w:rsid w:val="004473FF"/>
    <w:rsid w:val="00457A47"/>
    <w:rsid w:val="00457ACF"/>
    <w:rsid w:val="00477775"/>
    <w:rsid w:val="00492E3E"/>
    <w:rsid w:val="004A5520"/>
    <w:rsid w:val="004C157C"/>
    <w:rsid w:val="004D0934"/>
    <w:rsid w:val="004D1EAA"/>
    <w:rsid w:val="004D4EA8"/>
    <w:rsid w:val="004D5252"/>
    <w:rsid w:val="004E0354"/>
    <w:rsid w:val="004E4C97"/>
    <w:rsid w:val="004F7E5E"/>
    <w:rsid w:val="00503401"/>
    <w:rsid w:val="00507094"/>
    <w:rsid w:val="00510692"/>
    <w:rsid w:val="00514913"/>
    <w:rsid w:val="0051548F"/>
    <w:rsid w:val="00522F2E"/>
    <w:rsid w:val="00526983"/>
    <w:rsid w:val="005413EB"/>
    <w:rsid w:val="005468FA"/>
    <w:rsid w:val="005934F7"/>
    <w:rsid w:val="005A2039"/>
    <w:rsid w:val="005A32E3"/>
    <w:rsid w:val="005B22EF"/>
    <w:rsid w:val="005B71DB"/>
    <w:rsid w:val="005E4E37"/>
    <w:rsid w:val="005E7F01"/>
    <w:rsid w:val="005F0572"/>
    <w:rsid w:val="005F6849"/>
    <w:rsid w:val="005F70CA"/>
    <w:rsid w:val="00603354"/>
    <w:rsid w:val="0061450E"/>
    <w:rsid w:val="006202AA"/>
    <w:rsid w:val="006228FB"/>
    <w:rsid w:val="00631354"/>
    <w:rsid w:val="00632C30"/>
    <w:rsid w:val="00674F0A"/>
    <w:rsid w:val="00685024"/>
    <w:rsid w:val="00690F7B"/>
    <w:rsid w:val="00692B0B"/>
    <w:rsid w:val="006A0169"/>
    <w:rsid w:val="006A3AEE"/>
    <w:rsid w:val="006A6AF4"/>
    <w:rsid w:val="006A773F"/>
    <w:rsid w:val="006C0D17"/>
    <w:rsid w:val="006D6AF4"/>
    <w:rsid w:val="006E2FF8"/>
    <w:rsid w:val="006F0DE0"/>
    <w:rsid w:val="0070100A"/>
    <w:rsid w:val="00710320"/>
    <w:rsid w:val="007155A1"/>
    <w:rsid w:val="00735C7F"/>
    <w:rsid w:val="0074745C"/>
    <w:rsid w:val="00755247"/>
    <w:rsid w:val="0075689A"/>
    <w:rsid w:val="0075708F"/>
    <w:rsid w:val="00772CAA"/>
    <w:rsid w:val="00775BDF"/>
    <w:rsid w:val="007B1F82"/>
    <w:rsid w:val="007B2BD8"/>
    <w:rsid w:val="007B3C8C"/>
    <w:rsid w:val="007B4A13"/>
    <w:rsid w:val="007F2F82"/>
    <w:rsid w:val="007F7B9B"/>
    <w:rsid w:val="008226E0"/>
    <w:rsid w:val="008309E8"/>
    <w:rsid w:val="008459A0"/>
    <w:rsid w:val="008512D0"/>
    <w:rsid w:val="00852DB9"/>
    <w:rsid w:val="00866AC6"/>
    <w:rsid w:val="00872DD1"/>
    <w:rsid w:val="0088303D"/>
    <w:rsid w:val="008A5254"/>
    <w:rsid w:val="008B3BB9"/>
    <w:rsid w:val="008B7854"/>
    <w:rsid w:val="008C162A"/>
    <w:rsid w:val="008C350B"/>
    <w:rsid w:val="008D08AD"/>
    <w:rsid w:val="008D3E6A"/>
    <w:rsid w:val="00902CCA"/>
    <w:rsid w:val="00921A20"/>
    <w:rsid w:val="00930DF3"/>
    <w:rsid w:val="00935287"/>
    <w:rsid w:val="00950C40"/>
    <w:rsid w:val="00967916"/>
    <w:rsid w:val="0097639E"/>
    <w:rsid w:val="00977F51"/>
    <w:rsid w:val="00984DA1"/>
    <w:rsid w:val="009933EE"/>
    <w:rsid w:val="009A11A6"/>
    <w:rsid w:val="009A1BCC"/>
    <w:rsid w:val="009A6C0D"/>
    <w:rsid w:val="009B0944"/>
    <w:rsid w:val="009B39CD"/>
    <w:rsid w:val="009B4576"/>
    <w:rsid w:val="009D5D3E"/>
    <w:rsid w:val="009E11EE"/>
    <w:rsid w:val="009E135C"/>
    <w:rsid w:val="009E1E8C"/>
    <w:rsid w:val="009E5F47"/>
    <w:rsid w:val="009F09FE"/>
    <w:rsid w:val="009F45EE"/>
    <w:rsid w:val="00A17E41"/>
    <w:rsid w:val="00A26CE5"/>
    <w:rsid w:val="00A36467"/>
    <w:rsid w:val="00A37843"/>
    <w:rsid w:val="00A37EFA"/>
    <w:rsid w:val="00A37F1D"/>
    <w:rsid w:val="00A40CD2"/>
    <w:rsid w:val="00A41DDE"/>
    <w:rsid w:val="00A43DDD"/>
    <w:rsid w:val="00A45A83"/>
    <w:rsid w:val="00A500C7"/>
    <w:rsid w:val="00A5068D"/>
    <w:rsid w:val="00A51241"/>
    <w:rsid w:val="00A55987"/>
    <w:rsid w:val="00A559C6"/>
    <w:rsid w:val="00A94549"/>
    <w:rsid w:val="00AB1D83"/>
    <w:rsid w:val="00AC27D6"/>
    <w:rsid w:val="00AD21A5"/>
    <w:rsid w:val="00AD37E3"/>
    <w:rsid w:val="00AD5748"/>
    <w:rsid w:val="00AE0614"/>
    <w:rsid w:val="00AE3511"/>
    <w:rsid w:val="00AF15E7"/>
    <w:rsid w:val="00AF22FE"/>
    <w:rsid w:val="00AF74E0"/>
    <w:rsid w:val="00B22A20"/>
    <w:rsid w:val="00B320D9"/>
    <w:rsid w:val="00B40D2F"/>
    <w:rsid w:val="00B7339D"/>
    <w:rsid w:val="00B942CE"/>
    <w:rsid w:val="00BA06C2"/>
    <w:rsid w:val="00BA2E95"/>
    <w:rsid w:val="00BA60D3"/>
    <w:rsid w:val="00BB1BC1"/>
    <w:rsid w:val="00BB6507"/>
    <w:rsid w:val="00BD01B6"/>
    <w:rsid w:val="00BD62CA"/>
    <w:rsid w:val="00BD6FC0"/>
    <w:rsid w:val="00BE2F2D"/>
    <w:rsid w:val="00BF4400"/>
    <w:rsid w:val="00BF4628"/>
    <w:rsid w:val="00BF56C9"/>
    <w:rsid w:val="00BF78CE"/>
    <w:rsid w:val="00C03C0F"/>
    <w:rsid w:val="00C2336B"/>
    <w:rsid w:val="00C2360C"/>
    <w:rsid w:val="00C26D5D"/>
    <w:rsid w:val="00C315FE"/>
    <w:rsid w:val="00C3302D"/>
    <w:rsid w:val="00C337D4"/>
    <w:rsid w:val="00C43A57"/>
    <w:rsid w:val="00C52D99"/>
    <w:rsid w:val="00C57BE0"/>
    <w:rsid w:val="00C77DC2"/>
    <w:rsid w:val="00C843F3"/>
    <w:rsid w:val="00C90E87"/>
    <w:rsid w:val="00CB1D28"/>
    <w:rsid w:val="00CB746B"/>
    <w:rsid w:val="00CC51E5"/>
    <w:rsid w:val="00CC742A"/>
    <w:rsid w:val="00CD1D60"/>
    <w:rsid w:val="00CD429D"/>
    <w:rsid w:val="00CD660D"/>
    <w:rsid w:val="00D00BD9"/>
    <w:rsid w:val="00D029DD"/>
    <w:rsid w:val="00D2173F"/>
    <w:rsid w:val="00D22358"/>
    <w:rsid w:val="00D22A39"/>
    <w:rsid w:val="00D4032B"/>
    <w:rsid w:val="00D519E9"/>
    <w:rsid w:val="00D52960"/>
    <w:rsid w:val="00D553A0"/>
    <w:rsid w:val="00D6461F"/>
    <w:rsid w:val="00D73D4E"/>
    <w:rsid w:val="00D741C0"/>
    <w:rsid w:val="00D9324E"/>
    <w:rsid w:val="00D97190"/>
    <w:rsid w:val="00DA10E1"/>
    <w:rsid w:val="00DA16FD"/>
    <w:rsid w:val="00DC634B"/>
    <w:rsid w:val="00DD5470"/>
    <w:rsid w:val="00DD61D4"/>
    <w:rsid w:val="00DD6D41"/>
    <w:rsid w:val="00DE2A24"/>
    <w:rsid w:val="00DE5896"/>
    <w:rsid w:val="00DF5B36"/>
    <w:rsid w:val="00E03B24"/>
    <w:rsid w:val="00E04931"/>
    <w:rsid w:val="00E0577A"/>
    <w:rsid w:val="00E05A2D"/>
    <w:rsid w:val="00E214C4"/>
    <w:rsid w:val="00E26CD1"/>
    <w:rsid w:val="00E32D88"/>
    <w:rsid w:val="00E35543"/>
    <w:rsid w:val="00E36636"/>
    <w:rsid w:val="00E557C7"/>
    <w:rsid w:val="00E63465"/>
    <w:rsid w:val="00E66316"/>
    <w:rsid w:val="00E73A42"/>
    <w:rsid w:val="00E75D83"/>
    <w:rsid w:val="00E81F28"/>
    <w:rsid w:val="00E843B1"/>
    <w:rsid w:val="00E96B50"/>
    <w:rsid w:val="00EA3009"/>
    <w:rsid w:val="00EA59AC"/>
    <w:rsid w:val="00ED73D6"/>
    <w:rsid w:val="00EE5859"/>
    <w:rsid w:val="00EF07A0"/>
    <w:rsid w:val="00EF1BD2"/>
    <w:rsid w:val="00EF4711"/>
    <w:rsid w:val="00EF5630"/>
    <w:rsid w:val="00F012F3"/>
    <w:rsid w:val="00F05FB4"/>
    <w:rsid w:val="00F509D9"/>
    <w:rsid w:val="00F51075"/>
    <w:rsid w:val="00F6147E"/>
    <w:rsid w:val="00F62B9E"/>
    <w:rsid w:val="00F657BE"/>
    <w:rsid w:val="00F71FCA"/>
    <w:rsid w:val="00F73A02"/>
    <w:rsid w:val="00F85A80"/>
    <w:rsid w:val="00F947AC"/>
    <w:rsid w:val="00F96B0D"/>
    <w:rsid w:val="00F97F84"/>
    <w:rsid w:val="00FB183B"/>
    <w:rsid w:val="00FB295F"/>
    <w:rsid w:val="00FB41D3"/>
    <w:rsid w:val="00FB5D01"/>
    <w:rsid w:val="00FC0237"/>
    <w:rsid w:val="00FC0E93"/>
    <w:rsid w:val="00FD2FDD"/>
    <w:rsid w:val="00FE2B69"/>
    <w:rsid w:val="00FE396D"/>
    <w:rsid w:val="00FF00EF"/>
    <w:rsid w:val="00FF75F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9F5135"/>
  <w15:docId w15:val="{89F913F1-02C0-4802-B625-DE84FD8AE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02CCA"/>
    <w:rPr>
      <w:sz w:val="24"/>
      <w:szCs w:val="24"/>
      <w:lang w:eastAsia="en-GB"/>
    </w:rPr>
  </w:style>
  <w:style w:type="paragraph" w:styleId="Antrat1">
    <w:name w:val="heading 1"/>
    <w:basedOn w:val="prastasis"/>
    <w:next w:val="prastasis"/>
    <w:rsid w:val="005A2039"/>
    <w:pPr>
      <w:keepNext/>
      <w:numPr>
        <w:numId w:val="1"/>
      </w:numPr>
      <w:suppressAutoHyphens/>
      <w:outlineLvl w:val="0"/>
    </w:pPr>
    <w:rPr>
      <w:b/>
      <w:bCs/>
      <w:u w:val="single"/>
      <w:lang w:eastAsia="ar-SA"/>
    </w:rPr>
  </w:style>
  <w:style w:type="paragraph" w:styleId="Antrat2">
    <w:name w:val="heading 2"/>
    <w:basedOn w:val="prastasis"/>
    <w:next w:val="prastasis"/>
    <w:link w:val="Antrat2Diagrama"/>
    <w:semiHidden/>
    <w:unhideWhenUsed/>
    <w:qFormat/>
    <w:rsid w:val="00DF5B36"/>
    <w:pPr>
      <w:keepNext/>
      <w:keepLines/>
      <w:suppressAutoHyphens/>
      <w:spacing w:before="40"/>
      <w:outlineLvl w:val="1"/>
    </w:pPr>
    <w:rPr>
      <w:rFonts w:asciiTheme="majorHAnsi" w:eastAsiaTheme="majorEastAsia" w:hAnsiTheme="majorHAnsi" w:cstheme="majorBidi"/>
      <w:color w:val="365F91" w:themeColor="accent1" w:themeShade="BF"/>
      <w:sz w:val="26"/>
      <w:szCs w:val="26"/>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Numatytasispastraiposriftas1"/>
    <w:rsid w:val="005A2039"/>
  </w:style>
  <w:style w:type="character" w:customStyle="1" w:styleId="Numeravimosimboliai">
    <w:name w:val="Numeravimo simboliai"/>
    <w:rsid w:val="005A2039"/>
  </w:style>
  <w:style w:type="character" w:styleId="Hipersaitas">
    <w:name w:val="Hyperlink"/>
    <w:basedOn w:val="Numatytasispastraiposriftas1"/>
    <w:rsid w:val="005A2039"/>
    <w:rPr>
      <w:color w:val="0000FF"/>
      <w:u w:val="single"/>
    </w:rPr>
  </w:style>
  <w:style w:type="character" w:customStyle="1" w:styleId="Numatytasispastraiposriftas1">
    <w:name w:val="Numatytasis pastraipos šriftas1"/>
    <w:rsid w:val="005A2039"/>
  </w:style>
  <w:style w:type="paragraph" w:customStyle="1" w:styleId="Pavadinimas2">
    <w:name w:val="Pavadinimas2"/>
    <w:basedOn w:val="prastasis"/>
    <w:rsid w:val="005A2039"/>
    <w:pPr>
      <w:suppressLineNumbers/>
      <w:suppressAutoHyphens/>
      <w:spacing w:before="120" w:after="120"/>
    </w:pPr>
    <w:rPr>
      <w:rFonts w:cs="Tahoma"/>
      <w:i/>
      <w:iCs/>
      <w:lang w:eastAsia="ar-SA"/>
    </w:rPr>
  </w:style>
  <w:style w:type="paragraph" w:customStyle="1" w:styleId="Tekstas">
    <w:name w:val="Tekstas"/>
    <w:basedOn w:val="prastasis"/>
    <w:qFormat/>
    <w:rsid w:val="005A2039"/>
    <w:pPr>
      <w:suppressAutoHyphens/>
      <w:spacing w:before="40" w:after="40"/>
      <w:ind w:right="40" w:firstLine="1247"/>
      <w:jc w:val="both"/>
    </w:pPr>
    <w:rPr>
      <w:lang w:eastAsia="ar-SA"/>
    </w:rPr>
  </w:style>
  <w:style w:type="paragraph" w:customStyle="1" w:styleId="Antrat10">
    <w:name w:val="Antraštė1"/>
    <w:basedOn w:val="prastasis"/>
    <w:next w:val="Pagrindinistekstas"/>
    <w:rsid w:val="005A2039"/>
    <w:pPr>
      <w:keepNext/>
      <w:suppressAutoHyphens/>
      <w:spacing w:after="119"/>
      <w:jc w:val="center"/>
    </w:pPr>
    <w:rPr>
      <w:rFonts w:eastAsia="MS Mincho" w:cs="Tahoma"/>
      <w:szCs w:val="28"/>
      <w:lang w:eastAsia="ar-SA"/>
    </w:rPr>
  </w:style>
  <w:style w:type="paragraph" w:styleId="Pagrindinistekstas">
    <w:name w:val="Body Text"/>
    <w:basedOn w:val="prastasis"/>
    <w:rsid w:val="005A2039"/>
    <w:pPr>
      <w:suppressAutoHyphens/>
      <w:spacing w:after="120"/>
    </w:pPr>
    <w:rPr>
      <w:lang w:eastAsia="ar-SA"/>
    </w:rPr>
  </w:style>
  <w:style w:type="paragraph" w:styleId="Pavadinimas">
    <w:name w:val="Title"/>
    <w:basedOn w:val="Antrat10"/>
    <w:next w:val="Paantrat"/>
    <w:qFormat/>
    <w:rsid w:val="005A2039"/>
  </w:style>
  <w:style w:type="paragraph" w:styleId="Paantrat">
    <w:name w:val="Subtitle"/>
    <w:basedOn w:val="Antrat10"/>
    <w:next w:val="Pagrindinistekstas"/>
    <w:rsid w:val="005A2039"/>
    <w:rPr>
      <w:i/>
      <w:iCs/>
      <w:sz w:val="28"/>
    </w:rPr>
  </w:style>
  <w:style w:type="paragraph" w:styleId="Sraas">
    <w:name w:val="List"/>
    <w:basedOn w:val="Tekstas"/>
    <w:rsid w:val="005A2039"/>
    <w:rPr>
      <w:rFonts w:cs="Tahoma"/>
    </w:rPr>
  </w:style>
  <w:style w:type="paragraph" w:styleId="Porat">
    <w:name w:val="footer"/>
    <w:basedOn w:val="prastasis"/>
    <w:link w:val="PoratDiagrama"/>
    <w:rsid w:val="005A2039"/>
    <w:pPr>
      <w:tabs>
        <w:tab w:val="right" w:pos="8306"/>
      </w:tabs>
      <w:suppressAutoHyphens/>
      <w:jc w:val="right"/>
    </w:pPr>
    <w:rPr>
      <w:sz w:val="16"/>
      <w:lang w:eastAsia="ar-SA"/>
    </w:rPr>
  </w:style>
  <w:style w:type="paragraph" w:customStyle="1" w:styleId="Lentelsturinys">
    <w:name w:val="Lentelės turinys"/>
    <w:basedOn w:val="prastasis"/>
    <w:rsid w:val="005A2039"/>
    <w:pPr>
      <w:suppressLineNumbers/>
      <w:suppressAutoHyphens/>
    </w:pPr>
    <w:rPr>
      <w:lang w:eastAsia="ar-SA"/>
    </w:rPr>
  </w:style>
  <w:style w:type="paragraph" w:customStyle="1" w:styleId="Lentelsantrat">
    <w:name w:val="Lentelės antraštė"/>
    <w:basedOn w:val="Lentelsturinys"/>
    <w:rsid w:val="005A2039"/>
    <w:pPr>
      <w:jc w:val="center"/>
    </w:pPr>
    <w:rPr>
      <w:b/>
      <w:bCs/>
      <w:i/>
      <w:iCs/>
    </w:rPr>
  </w:style>
  <w:style w:type="paragraph" w:customStyle="1" w:styleId="Kadroturinys">
    <w:name w:val="Kadro turinys"/>
    <w:basedOn w:val="Tekstas"/>
    <w:rsid w:val="005A2039"/>
  </w:style>
  <w:style w:type="paragraph" w:customStyle="1" w:styleId="Rodykl">
    <w:name w:val="Rodyklė"/>
    <w:basedOn w:val="prastasis"/>
    <w:rsid w:val="005A2039"/>
    <w:pPr>
      <w:suppressLineNumbers/>
      <w:suppressAutoHyphens/>
    </w:pPr>
    <w:rPr>
      <w:rFonts w:cs="Tahoma"/>
      <w:lang w:eastAsia="ar-SA"/>
    </w:rPr>
  </w:style>
  <w:style w:type="paragraph" w:customStyle="1" w:styleId="Pavadinimas1">
    <w:name w:val="Pavadinimas1"/>
    <w:basedOn w:val="prastasis"/>
    <w:rsid w:val="005A2039"/>
    <w:pPr>
      <w:suppressAutoHyphens/>
      <w:spacing w:before="40" w:after="40"/>
      <w:ind w:right="1959"/>
    </w:pPr>
    <w:rPr>
      <w:caps/>
      <w:lang w:eastAsia="ar-SA"/>
    </w:rPr>
  </w:style>
  <w:style w:type="paragraph" w:customStyle="1" w:styleId="Adresas">
    <w:name w:val="Adresas"/>
    <w:basedOn w:val="prastasis"/>
    <w:qFormat/>
    <w:rsid w:val="005A2039"/>
    <w:pPr>
      <w:suppressAutoHyphens/>
      <w:ind w:right="318"/>
    </w:pPr>
    <w:rPr>
      <w:lang w:eastAsia="ar-SA"/>
    </w:rPr>
  </w:style>
  <w:style w:type="paragraph" w:customStyle="1" w:styleId="Kopija">
    <w:name w:val="Kopija"/>
    <w:basedOn w:val="Adresas"/>
    <w:rsid w:val="005A2039"/>
    <w:pPr>
      <w:ind w:right="3999"/>
    </w:pPr>
  </w:style>
  <w:style w:type="paragraph" w:customStyle="1" w:styleId="Institucija">
    <w:name w:val="Institucija"/>
    <w:basedOn w:val="Antrat10"/>
    <w:rsid w:val="005A2039"/>
    <w:rPr>
      <w:b/>
      <w:bCs/>
      <w:sz w:val="26"/>
    </w:rPr>
  </w:style>
  <w:style w:type="paragraph" w:styleId="Antrats">
    <w:name w:val="header"/>
    <w:basedOn w:val="prastasis"/>
    <w:link w:val="AntratsDiagrama"/>
    <w:uiPriority w:val="99"/>
    <w:rsid w:val="005A2039"/>
    <w:pPr>
      <w:suppressLineNumbers/>
      <w:tabs>
        <w:tab w:val="center" w:pos="-568"/>
        <w:tab w:val="right" w:pos="-1135"/>
      </w:tabs>
      <w:suppressAutoHyphens/>
    </w:pPr>
    <w:rPr>
      <w:lang w:eastAsia="ar-SA"/>
    </w:rPr>
  </w:style>
  <w:style w:type="paragraph" w:customStyle="1" w:styleId="Tekstasnumeruotas">
    <w:name w:val="Tekstas:numeruotas"/>
    <w:basedOn w:val="Tekstas"/>
    <w:qFormat/>
    <w:rsid w:val="003C76FB"/>
    <w:pPr>
      <w:numPr>
        <w:numId w:val="2"/>
      </w:numPr>
      <w:ind w:right="0" w:firstLine="1247"/>
    </w:pPr>
  </w:style>
  <w:style w:type="paragraph" w:customStyle="1" w:styleId="RATOPAVADINIMAS">
    <w:name w:val="RAŠTO PAVADINIMAS"/>
    <w:basedOn w:val="Pavadinimas1"/>
    <w:qFormat/>
    <w:rsid w:val="000E34D4"/>
    <w:rPr>
      <w:b/>
      <w:bCs/>
    </w:rPr>
  </w:style>
  <w:style w:type="character" w:customStyle="1" w:styleId="PoratDiagrama">
    <w:name w:val="Poraštė Diagrama"/>
    <w:basedOn w:val="Numatytasispastraiposriftas"/>
    <w:link w:val="Porat"/>
    <w:rsid w:val="00FE2B69"/>
    <w:rPr>
      <w:sz w:val="16"/>
      <w:szCs w:val="24"/>
      <w:lang w:eastAsia="ar-SA"/>
    </w:rPr>
  </w:style>
  <w:style w:type="paragraph" w:styleId="Debesliotekstas">
    <w:name w:val="Balloon Text"/>
    <w:basedOn w:val="prastasis"/>
    <w:link w:val="DebesliotekstasDiagrama"/>
    <w:rsid w:val="00110A05"/>
    <w:pPr>
      <w:suppressAutoHyphens/>
    </w:pPr>
    <w:rPr>
      <w:rFonts w:ascii="Tahoma" w:hAnsi="Tahoma" w:cs="Tahoma"/>
      <w:sz w:val="16"/>
      <w:szCs w:val="16"/>
      <w:lang w:eastAsia="ar-SA"/>
    </w:rPr>
  </w:style>
  <w:style w:type="character" w:customStyle="1" w:styleId="DebesliotekstasDiagrama">
    <w:name w:val="Debesėlio tekstas Diagrama"/>
    <w:basedOn w:val="Numatytasispastraiposriftas"/>
    <w:link w:val="Debesliotekstas"/>
    <w:rsid w:val="00110A05"/>
    <w:rPr>
      <w:rFonts w:ascii="Tahoma" w:hAnsi="Tahoma" w:cs="Tahoma"/>
      <w:sz w:val="16"/>
      <w:szCs w:val="16"/>
      <w:lang w:eastAsia="ar-SA"/>
    </w:rPr>
  </w:style>
  <w:style w:type="character" w:customStyle="1" w:styleId="UnresolvedMention1">
    <w:name w:val="Unresolved Mention1"/>
    <w:basedOn w:val="Numatytasispastraiposriftas"/>
    <w:uiPriority w:val="99"/>
    <w:semiHidden/>
    <w:unhideWhenUsed/>
    <w:rsid w:val="00D00BD9"/>
    <w:rPr>
      <w:color w:val="605E5C"/>
      <w:shd w:val="clear" w:color="auto" w:fill="E1DFDD"/>
    </w:rPr>
  </w:style>
  <w:style w:type="character" w:customStyle="1" w:styleId="Antrat2Diagrama">
    <w:name w:val="Antraštė 2 Diagrama"/>
    <w:basedOn w:val="Numatytasispastraiposriftas"/>
    <w:link w:val="Antrat2"/>
    <w:semiHidden/>
    <w:rsid w:val="00DF5B36"/>
    <w:rPr>
      <w:rFonts w:asciiTheme="majorHAnsi" w:eastAsiaTheme="majorEastAsia" w:hAnsiTheme="majorHAnsi" w:cstheme="majorBidi"/>
      <w:color w:val="365F91" w:themeColor="accent1" w:themeShade="BF"/>
      <w:sz w:val="26"/>
      <w:szCs w:val="26"/>
      <w:lang w:eastAsia="ar-SA"/>
    </w:rPr>
  </w:style>
  <w:style w:type="paragraph" w:styleId="Sraopastraipa">
    <w:name w:val="List Paragraph"/>
    <w:basedOn w:val="prastasis"/>
    <w:uiPriority w:val="34"/>
    <w:qFormat/>
    <w:rsid w:val="00E66316"/>
    <w:pPr>
      <w:suppressAutoHyphens/>
      <w:ind w:left="720"/>
      <w:contextualSpacing/>
    </w:pPr>
    <w:rPr>
      <w:lang w:eastAsia="ar-SA"/>
    </w:rPr>
  </w:style>
  <w:style w:type="character" w:customStyle="1" w:styleId="apple-converted-space">
    <w:name w:val="apple-converted-space"/>
    <w:basedOn w:val="Numatytasispastraiposriftas"/>
    <w:rsid w:val="00273C5F"/>
  </w:style>
  <w:style w:type="paragraph" w:customStyle="1" w:styleId="CM1">
    <w:name w:val="CM1"/>
    <w:basedOn w:val="prastasis"/>
    <w:next w:val="prastasis"/>
    <w:uiPriority w:val="99"/>
    <w:rsid w:val="001667B1"/>
    <w:pPr>
      <w:autoSpaceDE w:val="0"/>
      <w:autoSpaceDN w:val="0"/>
      <w:adjustRightInd w:val="0"/>
    </w:pPr>
    <w:rPr>
      <w:lang w:val="en-GB" w:eastAsia="lt-LT"/>
    </w:rPr>
  </w:style>
  <w:style w:type="paragraph" w:customStyle="1" w:styleId="CM3">
    <w:name w:val="CM3"/>
    <w:basedOn w:val="prastasis"/>
    <w:next w:val="prastasis"/>
    <w:uiPriority w:val="99"/>
    <w:rsid w:val="001667B1"/>
    <w:pPr>
      <w:autoSpaceDE w:val="0"/>
      <w:autoSpaceDN w:val="0"/>
      <w:adjustRightInd w:val="0"/>
    </w:pPr>
    <w:rPr>
      <w:lang w:val="en-GB" w:eastAsia="lt-LT"/>
    </w:rPr>
  </w:style>
  <w:style w:type="paragraph" w:styleId="Pagrindiniotekstotrauka">
    <w:name w:val="Body Text Indent"/>
    <w:basedOn w:val="prastasis"/>
    <w:link w:val="PagrindiniotekstotraukaDiagrama"/>
    <w:semiHidden/>
    <w:unhideWhenUsed/>
    <w:rsid w:val="00C90E87"/>
    <w:pPr>
      <w:spacing w:after="120"/>
      <w:ind w:left="283"/>
    </w:pPr>
  </w:style>
  <w:style w:type="character" w:customStyle="1" w:styleId="PagrindiniotekstotraukaDiagrama">
    <w:name w:val="Pagrindinio teksto įtrauka Diagrama"/>
    <w:basedOn w:val="Numatytasispastraiposriftas"/>
    <w:link w:val="Pagrindiniotekstotrauka"/>
    <w:semiHidden/>
    <w:rsid w:val="00C90E87"/>
    <w:rPr>
      <w:sz w:val="24"/>
      <w:szCs w:val="24"/>
      <w:lang w:eastAsia="en-GB"/>
    </w:rPr>
  </w:style>
  <w:style w:type="paragraph" w:styleId="Pataisymai">
    <w:name w:val="Revision"/>
    <w:hidden/>
    <w:uiPriority w:val="99"/>
    <w:semiHidden/>
    <w:rsid w:val="00440982"/>
    <w:rPr>
      <w:sz w:val="24"/>
      <w:szCs w:val="24"/>
      <w:lang w:eastAsia="en-GB"/>
    </w:rPr>
  </w:style>
  <w:style w:type="character" w:customStyle="1" w:styleId="Neapdorotaspaminjimas1">
    <w:name w:val="Neapdorotas paminėjimas1"/>
    <w:basedOn w:val="Numatytasispastraiposriftas"/>
    <w:uiPriority w:val="99"/>
    <w:semiHidden/>
    <w:unhideWhenUsed/>
    <w:rsid w:val="00440982"/>
    <w:rPr>
      <w:color w:val="605E5C"/>
      <w:shd w:val="clear" w:color="auto" w:fill="E1DFDD"/>
    </w:rPr>
  </w:style>
  <w:style w:type="character" w:styleId="Perirtashipersaitas">
    <w:name w:val="FollowedHyperlink"/>
    <w:basedOn w:val="Numatytasispastraiposriftas"/>
    <w:semiHidden/>
    <w:unhideWhenUsed/>
    <w:rsid w:val="008512D0"/>
    <w:rPr>
      <w:color w:val="800080" w:themeColor="followedHyperlink"/>
      <w:u w:val="single"/>
    </w:rPr>
  </w:style>
  <w:style w:type="character" w:customStyle="1" w:styleId="Neapdorotaspaminjimas2">
    <w:name w:val="Neapdorotas paminėjimas2"/>
    <w:basedOn w:val="Numatytasispastraiposriftas"/>
    <w:uiPriority w:val="99"/>
    <w:semiHidden/>
    <w:unhideWhenUsed/>
    <w:rsid w:val="001A6F64"/>
    <w:rPr>
      <w:color w:val="605E5C"/>
      <w:shd w:val="clear" w:color="auto" w:fill="E1DFDD"/>
    </w:rPr>
  </w:style>
  <w:style w:type="character" w:styleId="Komentaronuoroda">
    <w:name w:val="annotation reference"/>
    <w:basedOn w:val="Numatytasispastraiposriftas"/>
    <w:semiHidden/>
    <w:unhideWhenUsed/>
    <w:rsid w:val="001A6F6B"/>
    <w:rPr>
      <w:sz w:val="16"/>
      <w:szCs w:val="16"/>
    </w:rPr>
  </w:style>
  <w:style w:type="paragraph" w:styleId="Komentarotekstas">
    <w:name w:val="annotation text"/>
    <w:basedOn w:val="prastasis"/>
    <w:link w:val="KomentarotekstasDiagrama"/>
    <w:semiHidden/>
    <w:unhideWhenUsed/>
    <w:rsid w:val="001A6F6B"/>
    <w:rPr>
      <w:sz w:val="20"/>
      <w:szCs w:val="20"/>
    </w:rPr>
  </w:style>
  <w:style w:type="character" w:customStyle="1" w:styleId="KomentarotekstasDiagrama">
    <w:name w:val="Komentaro tekstas Diagrama"/>
    <w:basedOn w:val="Numatytasispastraiposriftas"/>
    <w:link w:val="Komentarotekstas"/>
    <w:semiHidden/>
    <w:rsid w:val="001A6F6B"/>
    <w:rPr>
      <w:lang w:eastAsia="en-GB"/>
    </w:rPr>
  </w:style>
  <w:style w:type="paragraph" w:styleId="Komentarotema">
    <w:name w:val="annotation subject"/>
    <w:basedOn w:val="Komentarotekstas"/>
    <w:next w:val="Komentarotekstas"/>
    <w:link w:val="KomentarotemaDiagrama"/>
    <w:semiHidden/>
    <w:unhideWhenUsed/>
    <w:rsid w:val="001A6F6B"/>
    <w:rPr>
      <w:b/>
      <w:bCs/>
    </w:rPr>
  </w:style>
  <w:style w:type="character" w:customStyle="1" w:styleId="KomentarotemaDiagrama">
    <w:name w:val="Komentaro tema Diagrama"/>
    <w:basedOn w:val="KomentarotekstasDiagrama"/>
    <w:link w:val="Komentarotema"/>
    <w:semiHidden/>
    <w:rsid w:val="001A6F6B"/>
    <w:rPr>
      <w:b/>
      <w:bCs/>
      <w:lang w:eastAsia="en-GB"/>
    </w:rPr>
  </w:style>
  <w:style w:type="character" w:customStyle="1" w:styleId="AntratsDiagrama">
    <w:name w:val="Antraštės Diagrama"/>
    <w:basedOn w:val="Numatytasispastraiposriftas"/>
    <w:link w:val="Antrats"/>
    <w:uiPriority w:val="99"/>
    <w:rsid w:val="00C337D4"/>
    <w:rPr>
      <w:sz w:val="24"/>
      <w:szCs w:val="24"/>
      <w:lang w:eastAsia="ar-SA"/>
    </w:rPr>
  </w:style>
  <w:style w:type="character" w:styleId="Neapdorotaspaminjimas">
    <w:name w:val="Unresolved Mention"/>
    <w:basedOn w:val="Numatytasispastraiposriftas"/>
    <w:uiPriority w:val="99"/>
    <w:semiHidden/>
    <w:unhideWhenUsed/>
    <w:rsid w:val="00311E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511823">
      <w:bodyDiv w:val="1"/>
      <w:marLeft w:val="0"/>
      <w:marRight w:val="0"/>
      <w:marTop w:val="0"/>
      <w:marBottom w:val="0"/>
      <w:divBdr>
        <w:top w:val="none" w:sz="0" w:space="0" w:color="auto"/>
        <w:left w:val="none" w:sz="0" w:space="0" w:color="auto"/>
        <w:bottom w:val="none" w:sz="0" w:space="0" w:color="auto"/>
        <w:right w:val="none" w:sz="0" w:space="0" w:color="auto"/>
      </w:divBdr>
    </w:div>
    <w:div w:id="338587254">
      <w:bodyDiv w:val="1"/>
      <w:marLeft w:val="0"/>
      <w:marRight w:val="0"/>
      <w:marTop w:val="0"/>
      <w:marBottom w:val="0"/>
      <w:divBdr>
        <w:top w:val="none" w:sz="0" w:space="0" w:color="auto"/>
        <w:left w:val="none" w:sz="0" w:space="0" w:color="auto"/>
        <w:bottom w:val="none" w:sz="0" w:space="0" w:color="auto"/>
        <w:right w:val="none" w:sz="0" w:space="0" w:color="auto"/>
      </w:divBdr>
    </w:div>
    <w:div w:id="398939335">
      <w:bodyDiv w:val="1"/>
      <w:marLeft w:val="0"/>
      <w:marRight w:val="0"/>
      <w:marTop w:val="0"/>
      <w:marBottom w:val="0"/>
      <w:divBdr>
        <w:top w:val="none" w:sz="0" w:space="0" w:color="auto"/>
        <w:left w:val="none" w:sz="0" w:space="0" w:color="auto"/>
        <w:bottom w:val="none" w:sz="0" w:space="0" w:color="auto"/>
        <w:right w:val="none" w:sz="0" w:space="0" w:color="auto"/>
      </w:divBdr>
    </w:div>
    <w:div w:id="399909164">
      <w:bodyDiv w:val="1"/>
      <w:marLeft w:val="0"/>
      <w:marRight w:val="0"/>
      <w:marTop w:val="0"/>
      <w:marBottom w:val="0"/>
      <w:divBdr>
        <w:top w:val="none" w:sz="0" w:space="0" w:color="auto"/>
        <w:left w:val="none" w:sz="0" w:space="0" w:color="auto"/>
        <w:bottom w:val="none" w:sz="0" w:space="0" w:color="auto"/>
        <w:right w:val="none" w:sz="0" w:space="0" w:color="auto"/>
      </w:divBdr>
    </w:div>
    <w:div w:id="511720174">
      <w:bodyDiv w:val="1"/>
      <w:marLeft w:val="0"/>
      <w:marRight w:val="0"/>
      <w:marTop w:val="0"/>
      <w:marBottom w:val="0"/>
      <w:divBdr>
        <w:top w:val="none" w:sz="0" w:space="0" w:color="auto"/>
        <w:left w:val="none" w:sz="0" w:space="0" w:color="auto"/>
        <w:bottom w:val="none" w:sz="0" w:space="0" w:color="auto"/>
        <w:right w:val="none" w:sz="0" w:space="0" w:color="auto"/>
      </w:divBdr>
    </w:div>
    <w:div w:id="1250626709">
      <w:bodyDiv w:val="1"/>
      <w:marLeft w:val="0"/>
      <w:marRight w:val="0"/>
      <w:marTop w:val="0"/>
      <w:marBottom w:val="0"/>
      <w:divBdr>
        <w:top w:val="none" w:sz="0" w:space="0" w:color="auto"/>
        <w:left w:val="none" w:sz="0" w:space="0" w:color="auto"/>
        <w:bottom w:val="none" w:sz="0" w:space="0" w:color="auto"/>
        <w:right w:val="none" w:sz="0" w:space="0" w:color="auto"/>
      </w:divBdr>
    </w:div>
    <w:div w:id="1361473150">
      <w:bodyDiv w:val="1"/>
      <w:marLeft w:val="0"/>
      <w:marRight w:val="0"/>
      <w:marTop w:val="0"/>
      <w:marBottom w:val="0"/>
      <w:divBdr>
        <w:top w:val="none" w:sz="0" w:space="0" w:color="auto"/>
        <w:left w:val="none" w:sz="0" w:space="0" w:color="auto"/>
        <w:bottom w:val="none" w:sz="0" w:space="0" w:color="auto"/>
        <w:right w:val="none" w:sz="0" w:space="0" w:color="auto"/>
      </w:divBdr>
    </w:div>
    <w:div w:id="1383670418">
      <w:bodyDiv w:val="1"/>
      <w:marLeft w:val="0"/>
      <w:marRight w:val="0"/>
      <w:marTop w:val="0"/>
      <w:marBottom w:val="0"/>
      <w:divBdr>
        <w:top w:val="none" w:sz="0" w:space="0" w:color="auto"/>
        <w:left w:val="none" w:sz="0" w:space="0" w:color="auto"/>
        <w:bottom w:val="none" w:sz="0" w:space="0" w:color="auto"/>
        <w:right w:val="none" w:sz="0" w:space="0" w:color="auto"/>
      </w:divBdr>
    </w:div>
    <w:div w:id="1670253650">
      <w:bodyDiv w:val="1"/>
      <w:marLeft w:val="0"/>
      <w:marRight w:val="0"/>
      <w:marTop w:val="0"/>
      <w:marBottom w:val="0"/>
      <w:divBdr>
        <w:top w:val="none" w:sz="0" w:space="0" w:color="auto"/>
        <w:left w:val="none" w:sz="0" w:space="0" w:color="auto"/>
        <w:bottom w:val="none" w:sz="0" w:space="0" w:color="auto"/>
        <w:right w:val="none" w:sz="0" w:space="0" w:color="auto"/>
      </w:divBdr>
    </w:div>
    <w:div w:id="1690718694">
      <w:bodyDiv w:val="1"/>
      <w:marLeft w:val="0"/>
      <w:marRight w:val="0"/>
      <w:marTop w:val="0"/>
      <w:marBottom w:val="0"/>
      <w:divBdr>
        <w:top w:val="none" w:sz="0" w:space="0" w:color="auto"/>
        <w:left w:val="none" w:sz="0" w:space="0" w:color="auto"/>
        <w:bottom w:val="none" w:sz="0" w:space="0" w:color="auto"/>
        <w:right w:val="none" w:sz="0" w:space="0" w:color="auto"/>
      </w:divBdr>
    </w:div>
    <w:div w:id="1909533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mailto:dovile.mekionyte@tm.lt" TargetMode="External"
                 Type="http://schemas.openxmlformats.org/officeDocument/2006/relationships/hyperlink"/>
   <Relationship Id="rId11" Target="mailto:darius.trinkunas@tm.lt" TargetMode="External"
                 Type="http://schemas.openxmlformats.org/officeDocument/2006/relationships/hyperlink"/>
   <Relationship Id="rId12" Target="mailto:egidija.konopliova@tm.lt" TargetMode="External"
                 Type="http://schemas.openxmlformats.org/officeDocument/2006/relationships/hyperlink"/>
   <Relationship Id="rId13" Target="header1.xml"
                 Type="http://schemas.openxmlformats.org/officeDocument/2006/relationships/header"/>
   <Relationship Id="rId14" Target="header2.xml"
                 Type="http://schemas.openxmlformats.org/officeDocument/2006/relationships/header"/>
   <Relationship Id="rId15" Target="footer1.xml"
                 Type="http://schemas.openxmlformats.org/officeDocument/2006/relationships/footer"/>
   <Relationship Id="rId16" Target="fontTable.xml"
                 Type="http://schemas.openxmlformats.org/officeDocument/2006/relationships/fontTable"/>
   <Relationship Id="rId17"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s://e-seimas.lrs.lt/portal/legalAct/lt/TAP/79094cf0a81e11eb98ccba226c8a14d7?jfwid=aqmh3lxgi"
                 TargetMode="External"
                 Type="http://schemas.openxmlformats.org/officeDocument/2006/relationships/hyperlink"/>
   <Relationship Id="rId9" Target="http://www.infolex.lt/ta/102288" TargetMode="External"
                 Type="http://schemas.openxmlformats.org/officeDocument/2006/relationships/hyperlink"/>
</Relationships>
</file>

<file path=word/_rels/header2.xml.rels><?xml version="1.0" encoding="UTF-8" standalone="yes"?>
<Relationships xmlns="http://schemas.openxmlformats.org/package/2006/relationships">
   <Relationship Id="rId1" Target="media/image1.png"
                 Type="http://schemas.openxmlformats.org/officeDocument/2006/relationships/image"/>
   <Relationship Id="rId2" Target="mailto:rastine@tm.lt"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824510-E0F7-41E3-990D-2CF157FCE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13633</Words>
  <Characters>7771</Characters>
  <Application>Microsoft Office Word</Application>
  <DocSecurity>0</DocSecurity>
  <Lines>64</Lines>
  <Paragraphs>42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[Adresatas]</vt:lpstr>
      <vt:lpstr>[Adresatas]</vt:lpstr>
    </vt:vector>
  </TitlesOfParts>
  <Company/>
  <LinksUpToDate>false</LinksUpToDate>
  <CharactersWithSpaces>21362</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2021-05-17T12:03:00Z</dcterms:created>
  <dc:creator>D.Glodenis</dc:creator>
  <cp:lastModifiedBy>Dovilė Mekionytė</cp:lastModifiedBy>
  <cp:lastPrinted>2020-01-13T12:15:00Z</cp:lastPrinted>
  <dcterms:modified xsi:type="dcterms:W3CDTF">2021-05-17T12:03:00Z</dcterms:modified>
  <cp:revision>2</cp:revision>
  <dc:title>[Adresatas]</dc:title>
</cp:coreProperties>
</file>