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7F" w:rsidRPr="00E47362" w:rsidRDefault="004B217F" w:rsidP="002F39D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Bold" w:eastAsia="Times New Roman Bold" w:hAnsi="Times New Roman Bold" w:cs="Times New Roman Bold"/>
          <w:lang w:val="lt-LT"/>
        </w:rPr>
      </w:pPr>
      <w:bookmarkStart w:id="0" w:name="_GoBack"/>
      <w:bookmarkEnd w:id="0"/>
    </w:p>
    <w:p w:rsidR="0032625D" w:rsidRPr="00E47362" w:rsidRDefault="002677AA" w:rsidP="0032625D">
      <w:pPr>
        <w:jc w:val="center"/>
        <w:rPr>
          <w:rFonts w:eastAsia="Calibri"/>
          <w:b/>
          <w:lang w:val="lt-LT"/>
        </w:rPr>
      </w:pPr>
      <w:r w:rsidRPr="00E47362">
        <w:rPr>
          <w:rFonts w:eastAsia="Calibri"/>
          <w:b/>
          <w:lang w:val="lt-LT"/>
        </w:rPr>
        <w:t>2021</w:t>
      </w:r>
      <w:r w:rsidR="0032625D" w:rsidRPr="00E47362">
        <w:rPr>
          <w:rFonts w:eastAsia="Calibri"/>
          <w:b/>
          <w:lang w:val="lt-LT"/>
        </w:rPr>
        <w:t xml:space="preserve"> M. </w:t>
      </w:r>
      <w:r w:rsidR="007F5B19">
        <w:rPr>
          <w:rFonts w:eastAsia="Calibri"/>
          <w:b/>
          <w:lang w:val="lt-LT"/>
        </w:rPr>
        <w:t>SPALIO 5</w:t>
      </w:r>
      <w:r w:rsidRPr="00E47362">
        <w:rPr>
          <w:rFonts w:eastAsia="Calibri"/>
          <w:b/>
          <w:lang w:val="lt-LT"/>
        </w:rPr>
        <w:t xml:space="preserve"> D. </w:t>
      </w:r>
      <w:r w:rsidR="0032625D" w:rsidRPr="00E47362">
        <w:rPr>
          <w:rFonts w:eastAsia="Calibri"/>
          <w:b/>
          <w:lang w:val="lt-LT"/>
        </w:rPr>
        <w:t xml:space="preserve">EUROPOS SĄJUNGOS EKONOMIKOS IR FINANSŲ REIKALŲ TARYBOS (ECOFIN) </w:t>
      </w:r>
      <w:r w:rsidR="00A43544">
        <w:rPr>
          <w:rFonts w:eastAsia="Calibri"/>
          <w:b/>
          <w:lang w:val="lt-LT"/>
        </w:rPr>
        <w:t>SUSITIKIMAS</w:t>
      </w:r>
    </w:p>
    <w:p w:rsidR="004B217F" w:rsidRPr="00E47362" w:rsidRDefault="004B217F">
      <w:pPr>
        <w:pStyle w:val="BodyA"/>
        <w:rPr>
          <w:rFonts w:ascii="Times New Roman Bold" w:eastAsia="Times New Roman Bold" w:hAnsi="Times New Roman Bold" w:cs="Times New Roman Bold"/>
          <w:lang w:val="lt-LT"/>
        </w:rPr>
      </w:pPr>
    </w:p>
    <w:p w:rsidR="004B217F" w:rsidRPr="00E47362" w:rsidRDefault="004B217F" w:rsidP="00BA186A">
      <w:pPr>
        <w:pStyle w:val="BodyA"/>
        <w:jc w:val="center"/>
        <w:rPr>
          <w:rFonts w:ascii="Times New Roman Bold"/>
          <w:caps/>
          <w:lang w:val="lt-LT"/>
        </w:rPr>
      </w:pPr>
    </w:p>
    <w:tbl>
      <w:tblPr>
        <w:tblW w:w="94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70"/>
      </w:tblGrid>
      <w:tr w:rsidR="004B217F" w:rsidRPr="005D3625" w:rsidTr="00B60006">
        <w:trPr>
          <w:trHeight w:val="908"/>
        </w:trPr>
        <w:tc>
          <w:tcPr>
            <w:tcW w:w="94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9C6662" w:rsidRPr="008419A6" w:rsidRDefault="0032625D" w:rsidP="003A34D7">
            <w:pPr>
              <w:pStyle w:val="BodyA"/>
              <w:jc w:val="both"/>
              <w:rPr>
                <w:rFonts w:hAnsi="Times New Roman" w:cs="Times New Roman"/>
                <w:b/>
                <w:lang w:val="lt-LT"/>
              </w:rPr>
            </w:pPr>
            <w:r w:rsidRPr="008419A6">
              <w:rPr>
                <w:rFonts w:hAnsi="Times New Roman" w:cs="Times New Roman"/>
                <w:b/>
                <w:lang w:val="lt-LT"/>
              </w:rPr>
              <w:t>1.</w:t>
            </w:r>
            <w:r w:rsidR="003A34D7" w:rsidRPr="008419A6">
              <w:rPr>
                <w:rFonts w:hAnsi="Times New Roman" w:cs="Times New Roman"/>
                <w:b/>
                <w:lang w:val="lt-LT"/>
              </w:rPr>
              <w:t xml:space="preserve"> </w:t>
            </w:r>
            <w:r w:rsidR="007F5B19" w:rsidRPr="008419A6">
              <w:rPr>
                <w:rFonts w:hAnsi="Times New Roman" w:cs="Times New Roman"/>
                <w:b/>
                <w:lang w:val="lt-LT"/>
              </w:rPr>
              <w:t xml:space="preserve">Draudimo ir perdraudimo įmonėms taikomų </w:t>
            </w:r>
            <w:proofErr w:type="spellStart"/>
            <w:r w:rsidR="007F5B19" w:rsidRPr="008419A6">
              <w:rPr>
                <w:rFonts w:hAnsi="Times New Roman" w:cs="Times New Roman"/>
                <w:b/>
                <w:lang w:val="lt-LT"/>
              </w:rPr>
              <w:t>prudencinių</w:t>
            </w:r>
            <w:proofErr w:type="spellEnd"/>
            <w:r w:rsidR="007F5B19" w:rsidRPr="008419A6">
              <w:rPr>
                <w:rFonts w:hAnsi="Times New Roman" w:cs="Times New Roman"/>
                <w:b/>
                <w:lang w:val="lt-LT"/>
              </w:rPr>
              <w:t xml:space="preserve"> taisyklių (Mokumas II) pe</w:t>
            </w:r>
            <w:r w:rsidR="007F5B19" w:rsidRPr="008419A6">
              <w:rPr>
                <w:rFonts w:hAnsi="Times New Roman" w:cs="Times New Roman"/>
                <w:b/>
                <w:lang w:val="lt-LT"/>
              </w:rPr>
              <w:t>r</w:t>
            </w:r>
            <w:r w:rsidR="007F5B19" w:rsidRPr="008419A6">
              <w:rPr>
                <w:rFonts w:hAnsi="Times New Roman" w:cs="Times New Roman"/>
                <w:b/>
                <w:lang w:val="lt-LT"/>
              </w:rPr>
              <w:t>žiūra</w:t>
            </w:r>
            <w:r w:rsidR="008419A6">
              <w:rPr>
                <w:rFonts w:hAnsi="Times New Roman" w:cs="Times New Roman"/>
                <w:b/>
                <w:lang w:val="lt-LT"/>
              </w:rPr>
              <w:t xml:space="preserve"> </w:t>
            </w:r>
            <w:r w:rsidR="009C6662" w:rsidRPr="008419A6">
              <w:rPr>
                <w:rFonts w:hAnsi="Times New Roman" w:cs="Times New Roman"/>
                <w:lang w:val="lt-LT"/>
              </w:rPr>
              <w:t>(</w:t>
            </w:r>
            <w:r w:rsidR="00C70F7A" w:rsidRPr="008419A6">
              <w:rPr>
                <w:rFonts w:hAnsi="Times New Roman" w:cs="Times New Roman"/>
                <w:i/>
                <w:lang w:val="lt-LT"/>
              </w:rPr>
              <w:t>Politinės diskusijos</w:t>
            </w:r>
            <w:r w:rsidR="009C6662" w:rsidRPr="008419A6">
              <w:rPr>
                <w:rFonts w:hAnsi="Times New Roman" w:cs="Times New Roman"/>
                <w:lang w:val="lt-LT"/>
              </w:rPr>
              <w:t>)</w:t>
            </w:r>
          </w:p>
          <w:p w:rsidR="008419A6" w:rsidRPr="008419A6" w:rsidRDefault="00FD34ED" w:rsidP="008419A6">
            <w:pPr>
              <w:pStyle w:val="BodyA"/>
              <w:jc w:val="both"/>
              <w:rPr>
                <w:rFonts w:hAnsi="Times New Roman" w:cs="Times New Roman"/>
                <w:lang w:val="lt-LT"/>
              </w:rPr>
            </w:pPr>
            <w:r w:rsidRPr="008419A6">
              <w:rPr>
                <w:rFonts w:hAnsi="Times New Roman" w:cs="Times New Roman"/>
                <w:b/>
                <w:u w:val="single"/>
                <w:lang w:val="lt-LT"/>
              </w:rPr>
              <w:t>Klausimo esmė:</w:t>
            </w:r>
            <w:r w:rsidR="00EE1216" w:rsidRPr="008419A6">
              <w:rPr>
                <w:rFonts w:hAnsi="Times New Roman" w:cs="Times New Roman"/>
                <w:lang w:val="lt-LT"/>
              </w:rPr>
              <w:t xml:space="preserve"> </w:t>
            </w:r>
            <w:r w:rsidR="008419A6" w:rsidRPr="008419A6">
              <w:rPr>
                <w:rFonts w:hAnsi="Times New Roman" w:cs="Times New Roman"/>
                <w:lang w:val="lt-LT"/>
              </w:rPr>
              <w:t xml:space="preserve">ECOFIN posėdyje Komisija pristatys teisėkūros pasiūlymų paketą: </w:t>
            </w:r>
            <w:r w:rsidR="008419A6">
              <w:rPr>
                <w:rFonts w:hAnsi="Times New Roman" w:cs="Times New Roman"/>
                <w:lang w:val="lt-LT"/>
              </w:rPr>
              <w:t>direktyvą, keičiančią Mokumas II direktyvą ir direktyvą</w:t>
            </w:r>
            <w:r w:rsidR="008419A6" w:rsidRPr="008419A6">
              <w:rPr>
                <w:rFonts w:hAnsi="Times New Roman" w:cs="Times New Roman"/>
                <w:lang w:val="lt-LT"/>
              </w:rPr>
              <w:t>, kuria sukuriamas gaivinimo ir pertvarkymo m</w:t>
            </w:r>
            <w:r w:rsidR="008419A6" w:rsidRPr="008419A6">
              <w:rPr>
                <w:rFonts w:hAnsi="Times New Roman" w:cs="Times New Roman"/>
                <w:lang w:val="lt-LT"/>
              </w:rPr>
              <w:t>e</w:t>
            </w:r>
            <w:r w:rsidR="008419A6" w:rsidRPr="008419A6">
              <w:rPr>
                <w:rFonts w:hAnsi="Times New Roman" w:cs="Times New Roman"/>
                <w:lang w:val="lt-LT"/>
              </w:rPr>
              <w:t>chanizmas draudimo ir perdraudimo įmonėms:</w:t>
            </w:r>
          </w:p>
          <w:p w:rsidR="008419A6" w:rsidRPr="008419A6" w:rsidRDefault="008419A6" w:rsidP="008419A6">
            <w:pPr>
              <w:pStyle w:val="BodyA"/>
              <w:jc w:val="both"/>
              <w:rPr>
                <w:rFonts w:hAnsi="Times New Roman" w:cs="Times New Roman"/>
                <w:u w:val="single"/>
                <w:lang w:val="lt-LT"/>
              </w:rPr>
            </w:pPr>
            <w:r w:rsidRPr="008419A6">
              <w:rPr>
                <w:rFonts w:hAnsi="Times New Roman" w:cs="Times New Roman"/>
                <w:u w:val="single"/>
                <w:lang w:val="lt-LT"/>
              </w:rPr>
              <w:t>Direktyva, keičianti Mokumas II Direktyvą:</w:t>
            </w:r>
          </w:p>
          <w:p w:rsidR="008419A6" w:rsidRPr="008419A6" w:rsidRDefault="008419A6" w:rsidP="008419A6">
            <w:pPr>
              <w:pStyle w:val="BodyA"/>
              <w:tabs>
                <w:tab w:val="left" w:pos="176"/>
              </w:tabs>
              <w:jc w:val="both"/>
              <w:rPr>
                <w:rFonts w:hAnsi="Times New Roman" w:cs="Times New Roman"/>
                <w:lang w:val="lt-LT"/>
              </w:rPr>
            </w:pPr>
            <w:r w:rsidRPr="008419A6">
              <w:rPr>
                <w:rFonts w:hAnsi="Times New Roman" w:cs="Times New Roman"/>
                <w:lang w:val="lt-LT"/>
              </w:rPr>
              <w:t>•</w:t>
            </w:r>
            <w:r w:rsidRPr="008419A6">
              <w:rPr>
                <w:rFonts w:hAnsi="Times New Roman" w:cs="Times New Roman"/>
                <w:lang w:val="lt-LT"/>
              </w:rPr>
              <w:tab/>
              <w:t>Padidinam</w:t>
            </w:r>
            <w:r w:rsidR="006314EB">
              <w:rPr>
                <w:rFonts w:hAnsi="Times New Roman" w:cs="Times New Roman"/>
                <w:lang w:val="lt-LT"/>
              </w:rPr>
              <w:t>o</w:t>
            </w:r>
            <w:r w:rsidRPr="008419A6">
              <w:rPr>
                <w:rFonts w:hAnsi="Times New Roman" w:cs="Times New Roman"/>
                <w:lang w:val="lt-LT"/>
              </w:rPr>
              <w:t>s galimybės draudimo įmonėms pasinaudoti proporcingais reikalavimais, atsižve</w:t>
            </w:r>
            <w:r w:rsidRPr="008419A6">
              <w:rPr>
                <w:rFonts w:hAnsi="Times New Roman" w:cs="Times New Roman"/>
                <w:lang w:val="lt-LT"/>
              </w:rPr>
              <w:t>l</w:t>
            </w:r>
            <w:r w:rsidRPr="008419A6">
              <w:rPr>
                <w:rFonts w:hAnsi="Times New Roman" w:cs="Times New Roman"/>
                <w:lang w:val="lt-LT"/>
              </w:rPr>
              <w:t xml:space="preserve">giant į jų rizikos profilį; nustatomi kriterijai identifikuoti mažos rizikos įmones, kurioms galės būti taikomi palengvinti reikalavimai (pvz., nereikės sekti su klimato kaita susijusių </w:t>
            </w:r>
            <w:proofErr w:type="spellStart"/>
            <w:r w:rsidRPr="008419A6">
              <w:rPr>
                <w:rFonts w:hAnsi="Times New Roman" w:cs="Times New Roman"/>
                <w:lang w:val="lt-LT"/>
              </w:rPr>
              <w:t>riz</w:t>
            </w:r>
            <w:r w:rsidRPr="008419A6">
              <w:rPr>
                <w:rFonts w:hAnsi="Times New Roman" w:cs="Times New Roman"/>
                <w:lang w:val="lt-LT"/>
              </w:rPr>
              <w:t>i</w:t>
            </w:r>
            <w:r w:rsidRPr="008419A6">
              <w:rPr>
                <w:rFonts w:hAnsi="Times New Roman" w:cs="Times New Roman"/>
                <w:lang w:val="lt-LT"/>
              </w:rPr>
              <w:t>kų</w:t>
            </w:r>
            <w:proofErr w:type="spellEnd"/>
            <w:r w:rsidRPr="008419A6">
              <w:rPr>
                <w:rFonts w:hAnsi="Times New Roman" w:cs="Times New Roman"/>
                <w:lang w:val="lt-LT"/>
              </w:rPr>
              <w:t xml:space="preserve">); </w:t>
            </w:r>
          </w:p>
          <w:p w:rsidR="008419A6" w:rsidRPr="008419A6" w:rsidRDefault="008419A6" w:rsidP="008419A6">
            <w:pPr>
              <w:pStyle w:val="BodyA"/>
              <w:tabs>
                <w:tab w:val="left" w:pos="176"/>
              </w:tabs>
              <w:jc w:val="both"/>
              <w:rPr>
                <w:rFonts w:hAnsi="Times New Roman" w:cs="Times New Roman"/>
                <w:lang w:val="lt-LT"/>
              </w:rPr>
            </w:pPr>
            <w:r w:rsidRPr="008419A6">
              <w:rPr>
                <w:rFonts w:hAnsi="Times New Roman" w:cs="Times New Roman"/>
                <w:lang w:val="lt-LT"/>
              </w:rPr>
              <w:t>•</w:t>
            </w:r>
            <w:r w:rsidRPr="008419A6">
              <w:rPr>
                <w:rFonts w:hAnsi="Times New Roman" w:cs="Times New Roman"/>
                <w:lang w:val="lt-LT"/>
              </w:rPr>
              <w:tab/>
              <w:t>Patobulinamos ilgalaikių garantijų priemonės ir nuosavybės vertybinių popierių rizikos pri</w:t>
            </w:r>
            <w:r w:rsidRPr="008419A6">
              <w:rPr>
                <w:rFonts w:hAnsi="Times New Roman" w:cs="Times New Roman"/>
                <w:lang w:val="lt-LT"/>
              </w:rPr>
              <w:t>e</w:t>
            </w:r>
            <w:r w:rsidRPr="008419A6">
              <w:rPr>
                <w:rFonts w:hAnsi="Times New Roman" w:cs="Times New Roman"/>
                <w:lang w:val="lt-LT"/>
              </w:rPr>
              <w:t>monės, geriau atsižvelgiant į draudimo įmonių įsipareigojimų ilgalaikį pobūdį ir galimybę inve</w:t>
            </w:r>
            <w:r w:rsidRPr="008419A6">
              <w:rPr>
                <w:rFonts w:hAnsi="Times New Roman" w:cs="Times New Roman"/>
                <w:lang w:val="lt-LT"/>
              </w:rPr>
              <w:t>s</w:t>
            </w:r>
            <w:r w:rsidRPr="008419A6">
              <w:rPr>
                <w:rFonts w:hAnsi="Times New Roman" w:cs="Times New Roman"/>
                <w:lang w:val="lt-LT"/>
              </w:rPr>
              <w:t xml:space="preserve">tuoti ilgam laikotarpiui; </w:t>
            </w:r>
          </w:p>
          <w:p w:rsidR="008419A6" w:rsidRPr="008419A6" w:rsidRDefault="008419A6" w:rsidP="008419A6">
            <w:pPr>
              <w:pStyle w:val="BodyA"/>
              <w:tabs>
                <w:tab w:val="left" w:pos="176"/>
              </w:tabs>
              <w:jc w:val="both"/>
              <w:rPr>
                <w:rFonts w:hAnsi="Times New Roman" w:cs="Times New Roman"/>
                <w:lang w:val="lt-LT"/>
              </w:rPr>
            </w:pPr>
            <w:r w:rsidRPr="008419A6">
              <w:rPr>
                <w:rFonts w:hAnsi="Times New Roman" w:cs="Times New Roman"/>
                <w:lang w:val="lt-LT"/>
              </w:rPr>
              <w:t>•</w:t>
            </w:r>
            <w:r w:rsidRPr="008419A6">
              <w:rPr>
                <w:rFonts w:hAnsi="Times New Roman" w:cs="Times New Roman"/>
                <w:lang w:val="lt-LT"/>
              </w:rPr>
              <w:tab/>
              <w:t>Padidinami kapitalo reikalavimai palūkanų normų rizikai (tačiau šiam reikalavimui numat</w:t>
            </w:r>
            <w:r w:rsidRPr="008419A6">
              <w:rPr>
                <w:rFonts w:hAnsi="Times New Roman" w:cs="Times New Roman"/>
                <w:lang w:val="lt-LT"/>
              </w:rPr>
              <w:t>o</w:t>
            </w:r>
            <w:r w:rsidRPr="008419A6">
              <w:rPr>
                <w:rFonts w:hAnsi="Times New Roman" w:cs="Times New Roman"/>
                <w:lang w:val="lt-LT"/>
              </w:rPr>
              <w:t xml:space="preserve">mas pereinamasis įgyvendinimo laikotarpis iki 2032 m.); </w:t>
            </w:r>
          </w:p>
          <w:p w:rsidR="008419A6" w:rsidRPr="008419A6" w:rsidRDefault="008419A6" w:rsidP="008419A6">
            <w:pPr>
              <w:pStyle w:val="BodyA"/>
              <w:tabs>
                <w:tab w:val="left" w:pos="176"/>
              </w:tabs>
              <w:jc w:val="both"/>
              <w:rPr>
                <w:rFonts w:hAnsi="Times New Roman" w:cs="Times New Roman"/>
                <w:lang w:val="lt-LT"/>
              </w:rPr>
            </w:pPr>
            <w:r w:rsidRPr="008419A6">
              <w:rPr>
                <w:rFonts w:hAnsi="Times New Roman" w:cs="Times New Roman"/>
                <w:lang w:val="lt-LT"/>
              </w:rPr>
              <w:t>•</w:t>
            </w:r>
            <w:r w:rsidRPr="008419A6">
              <w:rPr>
                <w:rFonts w:hAnsi="Times New Roman" w:cs="Times New Roman"/>
                <w:lang w:val="lt-LT"/>
              </w:rPr>
              <w:tab/>
              <w:t xml:space="preserve">Papildoma naujomis </w:t>
            </w:r>
            <w:proofErr w:type="spellStart"/>
            <w:r w:rsidRPr="008419A6">
              <w:rPr>
                <w:rFonts w:hAnsi="Times New Roman" w:cs="Times New Roman"/>
                <w:lang w:val="lt-LT"/>
              </w:rPr>
              <w:t>makroprudencinėmis</w:t>
            </w:r>
            <w:proofErr w:type="spellEnd"/>
            <w:r w:rsidRPr="008419A6">
              <w:rPr>
                <w:rFonts w:hAnsi="Times New Roman" w:cs="Times New Roman"/>
                <w:lang w:val="lt-LT"/>
              </w:rPr>
              <w:t xml:space="preserve"> priemonėmis: makroekonominių ir finansų rinkų pokyčių, įskaitant neigiamus ekonominius scenarijus, vertinimas, likvidumo rizikos valdymo priemonės (pvz. galimybė apriboti dividendų ir kitų išmokų mokėjimą); </w:t>
            </w:r>
          </w:p>
          <w:p w:rsidR="008419A6" w:rsidRDefault="008419A6" w:rsidP="008419A6">
            <w:pPr>
              <w:pStyle w:val="BodyA"/>
              <w:tabs>
                <w:tab w:val="left" w:pos="176"/>
              </w:tabs>
              <w:jc w:val="both"/>
              <w:rPr>
                <w:rFonts w:hAnsi="Times New Roman" w:cs="Times New Roman"/>
                <w:lang w:val="lt-LT"/>
              </w:rPr>
            </w:pPr>
            <w:r w:rsidRPr="008419A6">
              <w:rPr>
                <w:rFonts w:hAnsi="Times New Roman" w:cs="Times New Roman"/>
                <w:lang w:val="lt-LT"/>
              </w:rPr>
              <w:t>•</w:t>
            </w:r>
            <w:r w:rsidRPr="008419A6">
              <w:rPr>
                <w:rFonts w:hAnsi="Times New Roman" w:cs="Times New Roman"/>
                <w:lang w:val="lt-LT"/>
              </w:rPr>
              <w:tab/>
              <w:t>Prižiūrimi subjektai turės sekti savo materialias pozicijas, kurioms kyla su klimato kaita sus</w:t>
            </w:r>
            <w:r w:rsidRPr="008419A6">
              <w:rPr>
                <w:rFonts w:hAnsi="Times New Roman" w:cs="Times New Roman"/>
                <w:lang w:val="lt-LT"/>
              </w:rPr>
              <w:t>i</w:t>
            </w:r>
            <w:r w:rsidRPr="008419A6">
              <w:rPr>
                <w:rFonts w:hAnsi="Times New Roman" w:cs="Times New Roman"/>
                <w:lang w:val="lt-LT"/>
              </w:rPr>
              <w:t xml:space="preserve">jusios rizikos. </w:t>
            </w:r>
          </w:p>
          <w:p w:rsidR="008419A6" w:rsidRPr="008419A6" w:rsidRDefault="008419A6" w:rsidP="008419A6">
            <w:pPr>
              <w:pStyle w:val="BodyA"/>
              <w:tabs>
                <w:tab w:val="left" w:pos="176"/>
              </w:tabs>
              <w:jc w:val="both"/>
              <w:rPr>
                <w:rFonts w:hAnsi="Times New Roman" w:cs="Times New Roman"/>
                <w:lang w:val="lt-LT"/>
              </w:rPr>
            </w:pPr>
          </w:p>
          <w:p w:rsidR="008419A6" w:rsidRPr="008419A6" w:rsidRDefault="008419A6" w:rsidP="008419A6">
            <w:pPr>
              <w:pStyle w:val="BodyA"/>
              <w:jc w:val="both"/>
              <w:rPr>
                <w:rFonts w:hAnsi="Times New Roman" w:cs="Times New Roman"/>
                <w:u w:val="single"/>
                <w:lang w:val="lt-LT"/>
              </w:rPr>
            </w:pPr>
            <w:r w:rsidRPr="008419A6">
              <w:rPr>
                <w:rFonts w:hAnsi="Times New Roman" w:cs="Times New Roman"/>
                <w:u w:val="single"/>
                <w:lang w:val="lt-LT"/>
              </w:rPr>
              <w:t>Direktyva, kuria sukuriamas gaivinimo ir pertvarkymo mechanizmas draudimo ir perdraudimo įmonėms:</w:t>
            </w:r>
          </w:p>
          <w:p w:rsidR="008419A6" w:rsidRPr="008419A6" w:rsidRDefault="008419A6" w:rsidP="008419A6">
            <w:pPr>
              <w:pStyle w:val="BodyA"/>
              <w:tabs>
                <w:tab w:val="left" w:pos="176"/>
              </w:tabs>
              <w:jc w:val="both"/>
              <w:rPr>
                <w:rFonts w:hAnsi="Times New Roman" w:cs="Times New Roman"/>
                <w:lang w:val="lt-LT"/>
              </w:rPr>
            </w:pPr>
            <w:r w:rsidRPr="008419A6">
              <w:rPr>
                <w:rFonts w:hAnsi="Times New Roman" w:cs="Times New Roman"/>
                <w:lang w:val="lt-LT"/>
              </w:rPr>
              <w:t>•</w:t>
            </w:r>
            <w:r w:rsidRPr="008419A6">
              <w:rPr>
                <w:rFonts w:hAnsi="Times New Roman" w:cs="Times New Roman"/>
                <w:lang w:val="lt-LT"/>
              </w:rPr>
              <w:tab/>
              <w:t xml:space="preserve">Iki šiol nebuvo vieningo draudimo pertvarkymo mechanizmo (šalys narės atkreipė dėmesį, kad įprastos bankroto procedūros dažnu atveju nėra tinkamas pasirinkimas); </w:t>
            </w:r>
          </w:p>
          <w:p w:rsidR="008419A6" w:rsidRPr="008419A6" w:rsidRDefault="008419A6" w:rsidP="008419A6">
            <w:pPr>
              <w:pStyle w:val="BodyA"/>
              <w:tabs>
                <w:tab w:val="left" w:pos="176"/>
              </w:tabs>
              <w:jc w:val="both"/>
              <w:rPr>
                <w:rFonts w:hAnsi="Times New Roman" w:cs="Times New Roman"/>
                <w:lang w:val="lt-LT"/>
              </w:rPr>
            </w:pPr>
            <w:r w:rsidRPr="008419A6">
              <w:rPr>
                <w:rFonts w:hAnsi="Times New Roman" w:cs="Times New Roman"/>
                <w:lang w:val="lt-LT"/>
              </w:rPr>
              <w:t>•</w:t>
            </w:r>
            <w:r w:rsidRPr="008419A6">
              <w:rPr>
                <w:rFonts w:hAnsi="Times New Roman" w:cs="Times New Roman"/>
                <w:lang w:val="lt-LT"/>
              </w:rPr>
              <w:tab/>
              <w:t xml:space="preserve">Šalys narės įpareigojamos įsteigti pertvarkymo institucijas; </w:t>
            </w:r>
          </w:p>
          <w:p w:rsidR="008419A6" w:rsidRPr="008419A6" w:rsidRDefault="008419A6" w:rsidP="008419A6">
            <w:pPr>
              <w:pStyle w:val="BodyA"/>
              <w:tabs>
                <w:tab w:val="left" w:pos="176"/>
              </w:tabs>
              <w:jc w:val="both"/>
              <w:rPr>
                <w:rFonts w:hAnsi="Times New Roman" w:cs="Times New Roman"/>
                <w:lang w:val="lt-LT"/>
              </w:rPr>
            </w:pPr>
            <w:r w:rsidRPr="008419A6">
              <w:rPr>
                <w:rFonts w:hAnsi="Times New Roman" w:cs="Times New Roman"/>
                <w:lang w:val="lt-LT"/>
              </w:rPr>
              <w:t>•</w:t>
            </w:r>
            <w:r w:rsidRPr="008419A6">
              <w:rPr>
                <w:rFonts w:hAnsi="Times New Roman" w:cs="Times New Roman"/>
                <w:lang w:val="lt-LT"/>
              </w:rPr>
              <w:tab/>
              <w:t>Šios pertvarkymo institucijos turės tvirtinti draudimo įmonių parengtus išankstinius atkūrimo planus (</w:t>
            </w:r>
            <w:proofErr w:type="spellStart"/>
            <w:r w:rsidRPr="008419A6">
              <w:rPr>
                <w:rFonts w:hAnsi="Times New Roman" w:cs="Times New Roman"/>
                <w:i/>
                <w:lang w:val="lt-LT"/>
              </w:rPr>
              <w:t>pre-emptive</w:t>
            </w:r>
            <w:proofErr w:type="spellEnd"/>
            <w:r w:rsidRPr="008419A6">
              <w:rPr>
                <w:rFonts w:hAnsi="Times New Roman" w:cs="Times New Roman"/>
                <w:i/>
                <w:lang w:val="lt-LT"/>
              </w:rPr>
              <w:t xml:space="preserve"> </w:t>
            </w:r>
            <w:proofErr w:type="spellStart"/>
            <w:r w:rsidRPr="008419A6">
              <w:rPr>
                <w:rFonts w:hAnsi="Times New Roman" w:cs="Times New Roman"/>
                <w:i/>
                <w:lang w:val="lt-LT"/>
              </w:rPr>
              <w:t>recovery</w:t>
            </w:r>
            <w:proofErr w:type="spellEnd"/>
            <w:r w:rsidRPr="008419A6">
              <w:rPr>
                <w:rFonts w:hAnsi="Times New Roman" w:cs="Times New Roman"/>
                <w:i/>
                <w:lang w:val="lt-LT"/>
              </w:rPr>
              <w:t xml:space="preserve"> </w:t>
            </w:r>
            <w:proofErr w:type="spellStart"/>
            <w:r w:rsidRPr="008419A6">
              <w:rPr>
                <w:rFonts w:hAnsi="Times New Roman" w:cs="Times New Roman"/>
                <w:i/>
                <w:lang w:val="lt-LT"/>
              </w:rPr>
              <w:t>plans</w:t>
            </w:r>
            <w:proofErr w:type="spellEnd"/>
            <w:r w:rsidRPr="008419A6">
              <w:rPr>
                <w:rFonts w:hAnsi="Times New Roman" w:cs="Times New Roman"/>
                <w:lang w:val="lt-LT"/>
              </w:rPr>
              <w:t xml:space="preserve">); </w:t>
            </w:r>
          </w:p>
          <w:p w:rsidR="008419A6" w:rsidRPr="008419A6" w:rsidRDefault="008419A6" w:rsidP="008419A6">
            <w:pPr>
              <w:pStyle w:val="BodyA"/>
              <w:tabs>
                <w:tab w:val="left" w:pos="176"/>
              </w:tabs>
              <w:jc w:val="both"/>
              <w:rPr>
                <w:rFonts w:hAnsi="Times New Roman" w:cs="Times New Roman"/>
                <w:lang w:val="lt-LT"/>
              </w:rPr>
            </w:pPr>
            <w:r w:rsidRPr="008419A6">
              <w:rPr>
                <w:rFonts w:hAnsi="Times New Roman" w:cs="Times New Roman"/>
                <w:lang w:val="lt-LT"/>
              </w:rPr>
              <w:t>•</w:t>
            </w:r>
            <w:r w:rsidRPr="008419A6">
              <w:rPr>
                <w:rFonts w:hAnsi="Times New Roman" w:cs="Times New Roman"/>
                <w:lang w:val="lt-LT"/>
              </w:rPr>
              <w:tab/>
              <w:t>Pertvarkymo institucijos turės rengti pertvarkymo planus subjektams</w:t>
            </w:r>
            <w:r>
              <w:rPr>
                <w:rFonts w:hAnsi="Times New Roman" w:cs="Times New Roman"/>
                <w:lang w:val="lt-LT"/>
              </w:rPr>
              <w:t>,</w:t>
            </w:r>
            <w:r w:rsidRPr="008419A6">
              <w:rPr>
                <w:rFonts w:hAnsi="Times New Roman" w:cs="Times New Roman"/>
                <w:lang w:val="lt-LT"/>
              </w:rPr>
              <w:t xml:space="preserve"> atrinktiems pagal jų svarbą ir proporcingumo kriterijus (ne mažiau 70% rinkos); </w:t>
            </w:r>
          </w:p>
          <w:p w:rsidR="008419A6" w:rsidRPr="008419A6" w:rsidRDefault="008419A6" w:rsidP="008419A6">
            <w:pPr>
              <w:pStyle w:val="BodyA"/>
              <w:tabs>
                <w:tab w:val="left" w:pos="176"/>
              </w:tabs>
              <w:jc w:val="both"/>
              <w:rPr>
                <w:rFonts w:hAnsi="Times New Roman" w:cs="Times New Roman"/>
                <w:lang w:val="lt-LT"/>
              </w:rPr>
            </w:pPr>
            <w:r w:rsidRPr="008419A6">
              <w:rPr>
                <w:rFonts w:hAnsi="Times New Roman" w:cs="Times New Roman"/>
                <w:lang w:val="lt-LT"/>
              </w:rPr>
              <w:t>•</w:t>
            </w:r>
            <w:r w:rsidRPr="008419A6">
              <w:rPr>
                <w:rFonts w:hAnsi="Times New Roman" w:cs="Times New Roman"/>
                <w:lang w:val="lt-LT"/>
              </w:rPr>
              <w:tab/>
              <w:t xml:space="preserve">Fiskalinis </w:t>
            </w:r>
            <w:r>
              <w:rPr>
                <w:rFonts w:hAnsi="Times New Roman" w:cs="Times New Roman"/>
                <w:lang w:val="lt-LT"/>
              </w:rPr>
              <w:t>saugiklis (</w:t>
            </w:r>
            <w:proofErr w:type="spellStart"/>
            <w:r w:rsidRPr="008419A6">
              <w:rPr>
                <w:rFonts w:hAnsi="Times New Roman" w:cs="Times New Roman"/>
                <w:i/>
                <w:lang w:val="lt-LT"/>
              </w:rPr>
              <w:t>back-stop</w:t>
            </w:r>
            <w:r>
              <w:rPr>
                <w:rFonts w:hAnsi="Times New Roman" w:cs="Times New Roman"/>
                <w:lang w:val="lt-LT"/>
              </w:rPr>
              <w:t>)</w:t>
            </w:r>
            <w:proofErr w:type="spellEnd"/>
            <w:r w:rsidRPr="008419A6">
              <w:rPr>
                <w:rFonts w:hAnsi="Times New Roman" w:cs="Times New Roman"/>
                <w:lang w:val="lt-LT"/>
              </w:rPr>
              <w:t xml:space="preserve"> neleidžiamas; </w:t>
            </w:r>
          </w:p>
          <w:p w:rsidR="008419A6" w:rsidRPr="008419A6" w:rsidRDefault="008419A6" w:rsidP="008419A6">
            <w:pPr>
              <w:pStyle w:val="BodyA"/>
              <w:tabs>
                <w:tab w:val="left" w:pos="176"/>
              </w:tabs>
              <w:jc w:val="both"/>
              <w:rPr>
                <w:rFonts w:hAnsi="Times New Roman" w:cs="Times New Roman"/>
                <w:lang w:val="lt-LT"/>
              </w:rPr>
            </w:pPr>
            <w:r w:rsidRPr="008419A6">
              <w:rPr>
                <w:rFonts w:hAnsi="Times New Roman" w:cs="Times New Roman"/>
                <w:lang w:val="lt-LT"/>
              </w:rPr>
              <w:t>•</w:t>
            </w:r>
            <w:r w:rsidRPr="008419A6">
              <w:rPr>
                <w:rFonts w:hAnsi="Times New Roman" w:cs="Times New Roman"/>
                <w:lang w:val="lt-LT"/>
              </w:rPr>
              <w:tab/>
              <w:t>Pasiūlymu nurodomi pagrindiniai kriterijai, kuriais remiantis turėtų būti inicijuojama pertva</w:t>
            </w:r>
            <w:r w:rsidRPr="008419A6">
              <w:rPr>
                <w:rFonts w:hAnsi="Times New Roman" w:cs="Times New Roman"/>
                <w:lang w:val="lt-LT"/>
              </w:rPr>
              <w:t>r</w:t>
            </w:r>
            <w:r w:rsidRPr="008419A6">
              <w:rPr>
                <w:rFonts w:hAnsi="Times New Roman" w:cs="Times New Roman"/>
                <w:lang w:val="lt-LT"/>
              </w:rPr>
              <w:t xml:space="preserve">kymo procedūra; </w:t>
            </w:r>
          </w:p>
          <w:p w:rsidR="008419A6" w:rsidRPr="008419A6" w:rsidRDefault="008419A6" w:rsidP="008419A6">
            <w:pPr>
              <w:pStyle w:val="BodyA"/>
              <w:tabs>
                <w:tab w:val="left" w:pos="176"/>
              </w:tabs>
              <w:jc w:val="both"/>
              <w:rPr>
                <w:rFonts w:hAnsi="Times New Roman" w:cs="Times New Roman"/>
                <w:lang w:val="lt-LT"/>
              </w:rPr>
            </w:pPr>
            <w:r w:rsidRPr="008419A6">
              <w:rPr>
                <w:rFonts w:hAnsi="Times New Roman" w:cs="Times New Roman"/>
                <w:lang w:val="lt-LT"/>
              </w:rPr>
              <w:t>•</w:t>
            </w:r>
            <w:r w:rsidRPr="008419A6">
              <w:rPr>
                <w:rFonts w:hAnsi="Times New Roman" w:cs="Times New Roman"/>
                <w:lang w:val="lt-LT"/>
              </w:rPr>
              <w:tab/>
              <w:t>Pertvarkymo institucijos galios: a) nurašyti arba pertvarkyti kapitalo ir skolos instrumentus; b) draudimo pertvarkomam subjektui sudaryti naujus kontraktus taikymas; c) dalies ar viso verslo pardavimas; d) dalies ar viso verslo perdavimas valstybės valdomam subjektui; e) turto ir įsip</w:t>
            </w:r>
            <w:r w:rsidRPr="008419A6">
              <w:rPr>
                <w:rFonts w:hAnsi="Times New Roman" w:cs="Times New Roman"/>
                <w:lang w:val="lt-LT"/>
              </w:rPr>
              <w:t>a</w:t>
            </w:r>
            <w:r w:rsidRPr="008419A6">
              <w:rPr>
                <w:rFonts w:hAnsi="Times New Roman" w:cs="Times New Roman"/>
                <w:lang w:val="lt-LT"/>
              </w:rPr>
              <w:t xml:space="preserve">reigojimų atskyrimas. </w:t>
            </w:r>
          </w:p>
          <w:p w:rsidR="008419A6" w:rsidRPr="008419A6" w:rsidRDefault="008419A6" w:rsidP="008419A6">
            <w:pPr>
              <w:pStyle w:val="BodyA"/>
              <w:tabs>
                <w:tab w:val="left" w:pos="176"/>
              </w:tabs>
              <w:jc w:val="both"/>
              <w:rPr>
                <w:rFonts w:hAnsi="Times New Roman" w:cs="Times New Roman"/>
                <w:lang w:val="lt-LT"/>
              </w:rPr>
            </w:pPr>
            <w:r w:rsidRPr="008419A6">
              <w:rPr>
                <w:rFonts w:hAnsi="Times New Roman" w:cs="Times New Roman"/>
                <w:lang w:val="lt-LT"/>
              </w:rPr>
              <w:t>•</w:t>
            </w:r>
            <w:r w:rsidRPr="008419A6">
              <w:rPr>
                <w:rFonts w:hAnsi="Times New Roman" w:cs="Times New Roman"/>
                <w:lang w:val="lt-LT"/>
              </w:rPr>
              <w:tab/>
            </w:r>
            <w:r>
              <w:rPr>
                <w:rFonts w:hAnsi="Times New Roman" w:cs="Times New Roman"/>
                <w:lang w:val="lt-LT"/>
              </w:rPr>
              <w:t>Tarptautinis (</w:t>
            </w:r>
            <w:proofErr w:type="spellStart"/>
            <w:r w:rsidRPr="008419A6">
              <w:rPr>
                <w:rFonts w:hAnsi="Times New Roman" w:cs="Times New Roman"/>
                <w:i/>
                <w:lang w:val="lt-LT"/>
              </w:rPr>
              <w:t>cross-border</w:t>
            </w:r>
            <w:r>
              <w:rPr>
                <w:rFonts w:hAnsi="Times New Roman" w:cs="Times New Roman"/>
                <w:lang w:val="lt-LT"/>
              </w:rPr>
              <w:t>)</w:t>
            </w:r>
            <w:proofErr w:type="spellEnd"/>
            <w:r w:rsidRPr="008419A6">
              <w:rPr>
                <w:rFonts w:hAnsi="Times New Roman" w:cs="Times New Roman"/>
                <w:lang w:val="lt-LT"/>
              </w:rPr>
              <w:t xml:space="preserve"> pertvarkymas bus vykdomas per pertvarkymo kolegijas dalyva</w:t>
            </w:r>
            <w:r w:rsidRPr="008419A6">
              <w:rPr>
                <w:rFonts w:hAnsi="Times New Roman" w:cs="Times New Roman"/>
                <w:lang w:val="lt-LT"/>
              </w:rPr>
              <w:t>u</w:t>
            </w:r>
            <w:r w:rsidRPr="008419A6">
              <w:rPr>
                <w:rFonts w:hAnsi="Times New Roman" w:cs="Times New Roman"/>
                <w:lang w:val="lt-LT"/>
              </w:rPr>
              <w:t xml:space="preserve">jant EIOPA, kuri sieks palengvinti bendradarbiavimą tarp institucijų, prisidės prie nuoseklumo užtikrinimo ir pagal poreikį tarpininkaus; </w:t>
            </w:r>
          </w:p>
          <w:p w:rsidR="00406FB1" w:rsidRPr="00E949DE" w:rsidRDefault="008419A6" w:rsidP="008419A6">
            <w:pPr>
              <w:pStyle w:val="BodyA"/>
              <w:tabs>
                <w:tab w:val="left" w:pos="176"/>
              </w:tabs>
              <w:jc w:val="both"/>
              <w:rPr>
                <w:rFonts w:hAnsi="Times New Roman" w:cs="Times New Roman"/>
                <w:highlight w:val="yellow"/>
                <w:lang w:val="lt-LT"/>
              </w:rPr>
            </w:pPr>
            <w:r w:rsidRPr="008419A6">
              <w:rPr>
                <w:rFonts w:hAnsi="Times New Roman" w:cs="Times New Roman"/>
                <w:lang w:val="lt-LT"/>
              </w:rPr>
              <w:t>•</w:t>
            </w:r>
            <w:r w:rsidRPr="008419A6">
              <w:rPr>
                <w:rFonts w:hAnsi="Times New Roman" w:cs="Times New Roman"/>
                <w:lang w:val="lt-LT"/>
              </w:rPr>
              <w:tab/>
              <w:t>Pertvarkymo institucijos galės skirti sankcijas pertvarkomiems subjektams.</w:t>
            </w:r>
          </w:p>
          <w:p w:rsidR="001B199F" w:rsidRPr="008419A6" w:rsidRDefault="001B199F" w:rsidP="001B199F">
            <w:pPr>
              <w:pStyle w:val="BodyA"/>
              <w:jc w:val="both"/>
              <w:rPr>
                <w:rFonts w:eastAsia="Times New Roman Bold" w:hAnsi="Times New Roman" w:cs="Times New Roman"/>
                <w:u w:val="single"/>
                <w:lang w:val="lt-LT"/>
              </w:rPr>
            </w:pPr>
          </w:p>
          <w:p w:rsidR="00BE1AD4" w:rsidRDefault="00EE1216" w:rsidP="008419A6">
            <w:pPr>
              <w:pStyle w:val="BodyA"/>
              <w:jc w:val="both"/>
              <w:rPr>
                <w:rFonts w:hAnsi="Times New Roman" w:cs="Times New Roman"/>
                <w:lang w:val="lt-LT"/>
              </w:rPr>
            </w:pPr>
            <w:r w:rsidRPr="008419A6">
              <w:rPr>
                <w:rFonts w:hAnsi="Times New Roman" w:cs="Times New Roman"/>
                <w:b/>
                <w:u w:val="single"/>
                <w:lang w:val="lt-LT"/>
              </w:rPr>
              <w:t>Lietuvos pozicija.</w:t>
            </w:r>
            <w:r w:rsidRPr="00A600FE">
              <w:rPr>
                <w:rFonts w:hAnsi="Times New Roman" w:cs="Times New Roman"/>
                <w:lang w:val="lt-LT"/>
              </w:rPr>
              <w:t xml:space="preserve"> </w:t>
            </w:r>
            <w:r w:rsidR="008419A6" w:rsidRPr="008419A6">
              <w:rPr>
                <w:rFonts w:hAnsi="Times New Roman" w:cs="Times New Roman"/>
                <w:lang w:val="lt-LT"/>
              </w:rPr>
              <w:t>Palaikome didesnį prisidėjimą prie Kapitalo rinkų sąjungos tikslų, tačiau a</w:t>
            </w:r>
            <w:r w:rsidR="008419A6" w:rsidRPr="008419A6">
              <w:rPr>
                <w:rFonts w:hAnsi="Times New Roman" w:cs="Times New Roman"/>
                <w:lang w:val="lt-LT"/>
              </w:rPr>
              <w:t>p</w:t>
            </w:r>
            <w:r w:rsidR="008419A6" w:rsidRPr="008419A6">
              <w:rPr>
                <w:rFonts w:hAnsi="Times New Roman" w:cs="Times New Roman"/>
                <w:lang w:val="lt-LT"/>
              </w:rPr>
              <w:t xml:space="preserve">dairiai atsižvelgiant į draudikų galimybes </w:t>
            </w:r>
            <w:r w:rsidR="008419A6">
              <w:rPr>
                <w:rFonts w:hAnsi="Times New Roman" w:cs="Times New Roman"/>
                <w:lang w:val="lt-LT"/>
              </w:rPr>
              <w:t xml:space="preserve">investuoti ilgam laikotarpiui. </w:t>
            </w:r>
            <w:r w:rsidR="008419A6" w:rsidRPr="008419A6">
              <w:rPr>
                <w:rFonts w:hAnsi="Times New Roman" w:cs="Times New Roman"/>
                <w:lang w:val="lt-LT"/>
              </w:rPr>
              <w:t>Sveikintinos didesnės galimybės draudimo rinkos dalyviams pasinaudoti proporcingumo principu, išlaikant pakank</w:t>
            </w:r>
            <w:r w:rsidR="008419A6" w:rsidRPr="008419A6">
              <w:rPr>
                <w:rFonts w:hAnsi="Times New Roman" w:cs="Times New Roman"/>
                <w:lang w:val="lt-LT"/>
              </w:rPr>
              <w:t>a</w:t>
            </w:r>
            <w:r w:rsidR="008419A6">
              <w:rPr>
                <w:rFonts w:hAnsi="Times New Roman" w:cs="Times New Roman"/>
                <w:lang w:val="lt-LT"/>
              </w:rPr>
              <w:t xml:space="preserve">mus saugiklius. </w:t>
            </w:r>
            <w:r w:rsidR="008419A6" w:rsidRPr="008419A6">
              <w:rPr>
                <w:rFonts w:hAnsi="Times New Roman" w:cs="Times New Roman"/>
                <w:lang w:val="lt-LT"/>
              </w:rPr>
              <w:t>Mokumas 2 – pažangi sistema, kurios veiksmingumas buvo pagrįstas ir per pa</w:t>
            </w:r>
            <w:r w:rsidR="008419A6" w:rsidRPr="008419A6">
              <w:rPr>
                <w:rFonts w:hAnsi="Times New Roman" w:cs="Times New Roman"/>
                <w:lang w:val="lt-LT"/>
              </w:rPr>
              <w:t>s</w:t>
            </w:r>
            <w:r w:rsidR="008419A6" w:rsidRPr="008419A6">
              <w:rPr>
                <w:rFonts w:hAnsi="Times New Roman" w:cs="Times New Roman"/>
                <w:lang w:val="lt-LT"/>
              </w:rPr>
              <w:t>tarąją pandemi</w:t>
            </w:r>
            <w:r w:rsidR="008419A6">
              <w:rPr>
                <w:rFonts w:hAnsi="Times New Roman" w:cs="Times New Roman"/>
                <w:lang w:val="lt-LT"/>
              </w:rPr>
              <w:t xml:space="preserve">ją, taigi naujai nustatomos </w:t>
            </w:r>
            <w:proofErr w:type="spellStart"/>
            <w:r w:rsidR="008419A6">
              <w:rPr>
                <w:rFonts w:hAnsi="Times New Roman" w:cs="Times New Roman"/>
                <w:lang w:val="lt-LT"/>
              </w:rPr>
              <w:t>makroprudencinės</w:t>
            </w:r>
            <w:proofErr w:type="spellEnd"/>
            <w:r w:rsidR="008419A6">
              <w:rPr>
                <w:rFonts w:hAnsi="Times New Roman" w:cs="Times New Roman"/>
                <w:lang w:val="lt-LT"/>
              </w:rPr>
              <w:t xml:space="preserve"> priemonės turėtų būti </w:t>
            </w:r>
            <w:r w:rsidR="008419A6" w:rsidRPr="008419A6">
              <w:rPr>
                <w:rFonts w:hAnsi="Times New Roman" w:cs="Times New Roman"/>
                <w:lang w:val="lt-LT"/>
              </w:rPr>
              <w:t>taiko</w:t>
            </w:r>
            <w:r w:rsidR="008419A6">
              <w:rPr>
                <w:rFonts w:hAnsi="Times New Roman" w:cs="Times New Roman"/>
                <w:lang w:val="lt-LT"/>
              </w:rPr>
              <w:t>mos tik ja</w:t>
            </w:r>
            <w:r w:rsidR="008419A6" w:rsidRPr="008419A6">
              <w:rPr>
                <w:rFonts w:hAnsi="Times New Roman" w:cs="Times New Roman"/>
                <w:lang w:val="lt-LT"/>
              </w:rPr>
              <w:t>s pa</w:t>
            </w:r>
            <w:r w:rsidR="008419A6">
              <w:rPr>
                <w:rFonts w:hAnsi="Times New Roman" w:cs="Times New Roman"/>
                <w:lang w:val="lt-LT"/>
              </w:rPr>
              <w:t>grindus</w:t>
            </w:r>
            <w:r w:rsidR="008419A6" w:rsidRPr="008419A6">
              <w:rPr>
                <w:rFonts w:hAnsi="Times New Roman" w:cs="Times New Roman"/>
                <w:lang w:val="lt-LT"/>
              </w:rPr>
              <w:t xml:space="preserve"> ir kito</w:t>
            </w:r>
            <w:r w:rsidR="008419A6">
              <w:rPr>
                <w:rFonts w:hAnsi="Times New Roman" w:cs="Times New Roman"/>
                <w:lang w:val="lt-LT"/>
              </w:rPr>
              <w:t>m</w:t>
            </w:r>
            <w:r w:rsidR="008419A6" w:rsidRPr="008419A6">
              <w:rPr>
                <w:rFonts w:hAnsi="Times New Roman" w:cs="Times New Roman"/>
                <w:lang w:val="lt-LT"/>
              </w:rPr>
              <w:t>s priemonė</w:t>
            </w:r>
            <w:r w:rsidR="008419A6">
              <w:rPr>
                <w:rFonts w:hAnsi="Times New Roman" w:cs="Times New Roman"/>
                <w:lang w:val="lt-LT"/>
              </w:rPr>
              <w:t>m</w:t>
            </w:r>
            <w:r w:rsidR="008419A6" w:rsidRPr="008419A6">
              <w:rPr>
                <w:rFonts w:hAnsi="Times New Roman" w:cs="Times New Roman"/>
                <w:lang w:val="lt-LT"/>
              </w:rPr>
              <w:t>s neveikia</w:t>
            </w:r>
            <w:r w:rsidR="008419A6">
              <w:rPr>
                <w:rFonts w:hAnsi="Times New Roman" w:cs="Times New Roman"/>
                <w:lang w:val="lt-LT"/>
              </w:rPr>
              <w:t xml:space="preserve">nt. </w:t>
            </w:r>
            <w:r w:rsidR="008419A6" w:rsidRPr="008419A6">
              <w:rPr>
                <w:rFonts w:hAnsi="Times New Roman" w:cs="Times New Roman"/>
                <w:lang w:val="lt-LT"/>
              </w:rPr>
              <w:t>Dėl naujojo gaivinimo ir pertvarkymo režimo – galimai sukuriama našta mažoms rinkoms, taip pat neaiškus pertvarkymo priemonių finansav</w:t>
            </w:r>
            <w:r w:rsidR="008419A6" w:rsidRPr="008419A6">
              <w:rPr>
                <w:rFonts w:hAnsi="Times New Roman" w:cs="Times New Roman"/>
                <w:lang w:val="lt-LT"/>
              </w:rPr>
              <w:t>i</w:t>
            </w:r>
            <w:r w:rsidR="008419A6" w:rsidRPr="008419A6">
              <w:rPr>
                <w:rFonts w:hAnsi="Times New Roman" w:cs="Times New Roman"/>
                <w:lang w:val="lt-LT"/>
              </w:rPr>
              <w:lastRenderedPageBreak/>
              <w:t>mo mechanizmas.</w:t>
            </w:r>
          </w:p>
          <w:p w:rsidR="007F5B19" w:rsidRPr="00E47362" w:rsidRDefault="007F5B19" w:rsidP="003A34D7">
            <w:pPr>
              <w:pStyle w:val="BodyA"/>
              <w:jc w:val="both"/>
              <w:rPr>
                <w:rFonts w:hAnsi="Times New Roman" w:cs="Times New Roman"/>
                <w:lang w:val="lt-LT"/>
              </w:rPr>
            </w:pPr>
          </w:p>
          <w:p w:rsidR="007F5B19" w:rsidRPr="007F5B19" w:rsidRDefault="0032625D" w:rsidP="007F5B19">
            <w:pPr>
              <w:pStyle w:val="BodyA"/>
              <w:jc w:val="both"/>
              <w:rPr>
                <w:rFonts w:hAnsi="Times New Roman" w:cs="Times New Roman"/>
                <w:b/>
                <w:lang w:val="lt-LT"/>
              </w:rPr>
            </w:pPr>
            <w:r w:rsidRPr="00E47362">
              <w:rPr>
                <w:rFonts w:hAnsi="Times New Roman" w:cs="Times New Roman"/>
                <w:b/>
                <w:lang w:val="lt-LT"/>
              </w:rPr>
              <w:t>2</w:t>
            </w:r>
            <w:r w:rsidRPr="003F4CE0">
              <w:rPr>
                <w:rFonts w:hAnsi="Times New Roman" w:cs="Times New Roman"/>
                <w:b/>
                <w:lang w:val="lt-LT"/>
              </w:rPr>
              <w:t xml:space="preserve">. </w:t>
            </w:r>
            <w:r w:rsidR="007F5B19" w:rsidRPr="007F5B19">
              <w:rPr>
                <w:rFonts w:hAnsi="Times New Roman" w:cs="Times New Roman"/>
                <w:b/>
                <w:lang w:val="lt-LT"/>
              </w:rPr>
              <w:t>Ekonomikos gaivinimo ir atsparumo didinimo priemonė</w:t>
            </w:r>
            <w:r w:rsidR="007F5B19">
              <w:rPr>
                <w:rFonts w:hAnsi="Times New Roman" w:cs="Times New Roman"/>
                <w:b/>
                <w:lang w:val="lt-LT"/>
              </w:rPr>
              <w:t xml:space="preserve"> (RRF) </w:t>
            </w:r>
          </w:p>
          <w:p w:rsidR="007F5B19" w:rsidRPr="007F5B19" w:rsidRDefault="007F5B19" w:rsidP="007F5B19">
            <w:pPr>
              <w:pStyle w:val="BodyA"/>
              <w:jc w:val="both"/>
              <w:rPr>
                <w:rFonts w:hAnsi="Times New Roman" w:cs="Times New Roman"/>
                <w:b/>
                <w:lang w:val="lt-LT"/>
              </w:rPr>
            </w:pPr>
            <w:r w:rsidRPr="007F5B19">
              <w:rPr>
                <w:rFonts w:hAnsi="Times New Roman" w:cs="Times New Roman"/>
                <w:b/>
                <w:lang w:val="lt-LT"/>
              </w:rPr>
              <w:t xml:space="preserve">a) </w:t>
            </w:r>
            <w:r>
              <w:rPr>
                <w:rFonts w:hAnsi="Times New Roman" w:cs="Times New Roman"/>
                <w:b/>
                <w:lang w:val="lt-LT"/>
              </w:rPr>
              <w:t>RRF įgyvendinimas (</w:t>
            </w:r>
            <w:r w:rsidRPr="007F5B19">
              <w:rPr>
                <w:rFonts w:hAnsi="Times New Roman" w:cs="Times New Roman"/>
                <w:i/>
                <w:lang w:val="lt-LT"/>
              </w:rPr>
              <w:t>Dabartinė padėtis / pasikeitimas nuomonėmis</w:t>
            </w:r>
            <w:r>
              <w:rPr>
                <w:rFonts w:hAnsi="Times New Roman" w:cs="Times New Roman"/>
                <w:i/>
                <w:lang w:val="lt-LT"/>
              </w:rPr>
              <w:t>)</w:t>
            </w:r>
          </w:p>
          <w:p w:rsidR="007F5B19" w:rsidRPr="007F5B19" w:rsidRDefault="007F5B19" w:rsidP="007F5B19">
            <w:pPr>
              <w:pStyle w:val="BodyA"/>
              <w:jc w:val="both"/>
              <w:rPr>
                <w:rFonts w:hAnsi="Times New Roman" w:cs="Times New Roman"/>
                <w:b/>
                <w:lang w:val="lt-LT"/>
              </w:rPr>
            </w:pPr>
            <w:r w:rsidRPr="007F5B19">
              <w:rPr>
                <w:rFonts w:hAnsi="Times New Roman" w:cs="Times New Roman"/>
                <w:b/>
                <w:lang w:val="lt-LT"/>
              </w:rPr>
              <w:t xml:space="preserve">b) Tarybos įgyvendinimo sprendimas pagal </w:t>
            </w:r>
            <w:r>
              <w:rPr>
                <w:rFonts w:hAnsi="Times New Roman" w:cs="Times New Roman"/>
                <w:b/>
                <w:lang w:val="lt-LT"/>
              </w:rPr>
              <w:t xml:space="preserve">RRF </w:t>
            </w:r>
            <w:r w:rsidRPr="007F5B19">
              <w:rPr>
                <w:rFonts w:hAnsi="Times New Roman" w:cs="Times New Roman"/>
                <w:b/>
                <w:lang w:val="lt-LT"/>
              </w:rPr>
              <w:t>reglamentą</w:t>
            </w:r>
          </w:p>
          <w:p w:rsidR="0032625D" w:rsidRPr="007F5B19" w:rsidRDefault="007F5B19" w:rsidP="007F5B19">
            <w:pPr>
              <w:pStyle w:val="BodyA"/>
              <w:jc w:val="both"/>
              <w:rPr>
                <w:rFonts w:hAnsi="Times New Roman" w:cs="Times New Roman"/>
                <w:i/>
                <w:lang w:val="lt-LT"/>
              </w:rPr>
            </w:pPr>
            <w:r w:rsidRPr="007F5B19">
              <w:rPr>
                <w:rFonts w:hAnsi="Times New Roman" w:cs="Times New Roman"/>
                <w:i/>
                <w:lang w:val="lt-LT"/>
              </w:rPr>
              <w:t xml:space="preserve">(Priėmimas) </w:t>
            </w:r>
          </w:p>
          <w:p w:rsidR="00876E32" w:rsidRDefault="00816959" w:rsidP="00876E32">
            <w:pPr>
              <w:jc w:val="both"/>
              <w:rPr>
                <w:lang w:val="lt-LT"/>
              </w:rPr>
            </w:pPr>
            <w:r w:rsidRPr="00E47362">
              <w:rPr>
                <w:b/>
                <w:u w:val="single"/>
                <w:lang w:val="lt-LT"/>
              </w:rPr>
              <w:t>Klausimo esmė.</w:t>
            </w:r>
            <w:r w:rsidRPr="00E47362">
              <w:rPr>
                <w:lang w:val="lt-LT"/>
              </w:rPr>
              <w:t xml:space="preserve"> </w:t>
            </w:r>
            <w:r w:rsidR="00185FD2">
              <w:rPr>
                <w:lang w:val="lt-LT"/>
              </w:rPr>
              <w:t xml:space="preserve">ECOFIN metu Europos Komisija (toliau – EK) pateiks informaciją apie </w:t>
            </w:r>
            <w:r w:rsidR="002446DC">
              <w:rPr>
                <w:lang w:val="lt-LT"/>
              </w:rPr>
              <w:t>e</w:t>
            </w:r>
            <w:r w:rsidR="00185FD2">
              <w:rPr>
                <w:lang w:val="lt-LT"/>
              </w:rPr>
              <w:t xml:space="preserve">samą situaciją. </w:t>
            </w:r>
            <w:r w:rsidR="00844B61" w:rsidRPr="00844B61">
              <w:rPr>
                <w:lang w:val="lt-LT"/>
              </w:rPr>
              <w:t xml:space="preserve">Iki šiol </w:t>
            </w:r>
            <w:r w:rsidR="002446DC">
              <w:rPr>
                <w:lang w:val="lt-LT"/>
              </w:rPr>
              <w:t xml:space="preserve">EK </w:t>
            </w:r>
            <w:r w:rsidR="00844B61" w:rsidRPr="00844B61">
              <w:rPr>
                <w:lang w:val="lt-LT"/>
              </w:rPr>
              <w:t xml:space="preserve">oficialiai </w:t>
            </w:r>
            <w:r w:rsidR="00E949DE">
              <w:rPr>
                <w:lang w:val="lt-LT"/>
              </w:rPr>
              <w:t>Ekonomikos gaivinimo ir atsparumo didinimo planus (</w:t>
            </w:r>
            <w:r w:rsidR="00844B61" w:rsidRPr="00844B61">
              <w:rPr>
                <w:lang w:val="lt-LT"/>
              </w:rPr>
              <w:t>RRP</w:t>
            </w:r>
            <w:r w:rsidR="00E949DE">
              <w:rPr>
                <w:lang w:val="lt-LT"/>
              </w:rPr>
              <w:t>)</w:t>
            </w:r>
            <w:r w:rsidR="00844B61" w:rsidRPr="00844B61">
              <w:rPr>
                <w:lang w:val="lt-LT"/>
              </w:rPr>
              <w:t xml:space="preserve"> p</w:t>
            </w:r>
            <w:r w:rsidR="00844B61" w:rsidRPr="00844B61">
              <w:rPr>
                <w:lang w:val="lt-LT"/>
              </w:rPr>
              <w:t>a</w:t>
            </w:r>
            <w:r w:rsidR="00844B61" w:rsidRPr="00844B61">
              <w:rPr>
                <w:lang w:val="lt-LT"/>
              </w:rPr>
              <w:t>teikė 25 šalys (</w:t>
            </w:r>
            <w:r w:rsidR="00185FD2">
              <w:rPr>
                <w:lang w:val="lt-LT"/>
              </w:rPr>
              <w:t>p</w:t>
            </w:r>
            <w:r w:rsidR="00844B61" w:rsidRPr="00844B61">
              <w:rPr>
                <w:lang w:val="lt-LT"/>
              </w:rPr>
              <w:t xml:space="preserve">lanų dar liko nepateikusios NL ir BG). EK jau pateikė </w:t>
            </w:r>
            <w:r w:rsidR="00185FD2">
              <w:rPr>
                <w:lang w:val="en-GB"/>
              </w:rPr>
              <w:t xml:space="preserve">19 </w:t>
            </w:r>
            <w:proofErr w:type="spellStart"/>
            <w:r w:rsidR="002446DC">
              <w:rPr>
                <w:lang w:val="en-GB"/>
              </w:rPr>
              <w:t>šalių</w:t>
            </w:r>
            <w:proofErr w:type="spellEnd"/>
            <w:r w:rsidR="00185FD2">
              <w:rPr>
                <w:lang w:val="en-GB"/>
              </w:rPr>
              <w:t xml:space="preserve"> - </w:t>
            </w:r>
            <w:r w:rsidR="00844B61" w:rsidRPr="00844B61">
              <w:rPr>
                <w:lang w:val="lt-LT"/>
              </w:rPr>
              <w:t>PT, ESP, GR, DK, LU, AT, SK, LV, DE, IT, FR, BE, SI, LT, CY, HR, IE, CZ ir MT planų vertinimus, jie visi teigiami. Liepos 13 d. ECOFIN buvo patvirtinti pirmieji 12 RRF planų (PT, ESP, GR, DK, LU, AT, SK, LV, DE, IT, FR, BE). Dar 4 planai (SI, LT, CY ir HR) buvo patvirtinti rašytine proc</w:t>
            </w:r>
            <w:r w:rsidR="00844B61" w:rsidRPr="00844B61">
              <w:rPr>
                <w:lang w:val="lt-LT"/>
              </w:rPr>
              <w:t>e</w:t>
            </w:r>
            <w:r w:rsidR="00844B61" w:rsidRPr="00844B61">
              <w:rPr>
                <w:lang w:val="lt-LT"/>
              </w:rPr>
              <w:t>dūra po liepos 26 d. ECOFIN. IE ir CZ planai patvirtinti rugsėjo 6 d. ECOFIN. Prireikus planus bus galima peržiūrėti ir tikslinti 2022 m., kadangi 2022 m. birželį paaiškės galutiniai 30 % RRF krepšelio asignavima</w:t>
            </w:r>
            <w:r w:rsidR="00E949DE">
              <w:rPr>
                <w:lang w:val="lt-LT"/>
              </w:rPr>
              <w:t xml:space="preserve">i valstybėms narėms (VN). Po RRP plano patvirtinimo pasirašomi </w:t>
            </w:r>
            <w:r w:rsidR="00844B61" w:rsidRPr="00844B61">
              <w:rPr>
                <w:lang w:val="lt-LT"/>
              </w:rPr>
              <w:t>finans</w:t>
            </w:r>
            <w:r w:rsidR="00844B61" w:rsidRPr="00844B61">
              <w:rPr>
                <w:lang w:val="lt-LT"/>
              </w:rPr>
              <w:t>a</w:t>
            </w:r>
            <w:r w:rsidR="00844B61" w:rsidRPr="00844B61">
              <w:rPr>
                <w:lang w:val="lt-LT"/>
              </w:rPr>
              <w:t>vimo susi</w:t>
            </w:r>
            <w:r w:rsidR="00E949DE">
              <w:rPr>
                <w:lang w:val="lt-LT"/>
              </w:rPr>
              <w:t>tarimai, kurie sudaro</w:t>
            </w:r>
            <w:r w:rsidR="00844B61" w:rsidRPr="00844B61">
              <w:rPr>
                <w:lang w:val="lt-LT"/>
              </w:rPr>
              <w:t xml:space="preserve"> pagrindą šaliai pervesti 13 proc. avansinį mokėjimą ir atlikti p</w:t>
            </w:r>
            <w:r w:rsidR="00844B61" w:rsidRPr="00844B61">
              <w:rPr>
                <w:lang w:val="lt-LT"/>
              </w:rPr>
              <w:t>a</w:t>
            </w:r>
            <w:r w:rsidR="00844B61" w:rsidRPr="00844B61">
              <w:rPr>
                <w:lang w:val="lt-LT"/>
              </w:rPr>
              <w:t>skesnius mokėjimus plano įgyvendinimo metu. Lietuva jau pasirašė plano finansavimo susitar</w:t>
            </w:r>
            <w:r w:rsidR="00844B61" w:rsidRPr="00844B61">
              <w:rPr>
                <w:lang w:val="lt-LT"/>
              </w:rPr>
              <w:t>i</w:t>
            </w:r>
            <w:r w:rsidR="00844B61" w:rsidRPr="00844B61">
              <w:rPr>
                <w:lang w:val="lt-LT"/>
              </w:rPr>
              <w:t xml:space="preserve">mą ir gavo 13 proc. (289 mln. </w:t>
            </w:r>
            <w:r w:rsidR="00E949DE" w:rsidRPr="00844B61">
              <w:rPr>
                <w:lang w:val="lt-LT"/>
              </w:rPr>
              <w:t>EUR</w:t>
            </w:r>
            <w:r w:rsidR="00844B61" w:rsidRPr="00844B61">
              <w:rPr>
                <w:lang w:val="lt-LT"/>
              </w:rPr>
              <w:t>) avansinį mokėjimą.</w:t>
            </w:r>
          </w:p>
          <w:p w:rsidR="00844B61" w:rsidRDefault="00844B61" w:rsidP="00876E32">
            <w:pPr>
              <w:jc w:val="both"/>
              <w:rPr>
                <w:lang w:val="lt-LT"/>
              </w:rPr>
            </w:pPr>
          </w:p>
          <w:p w:rsidR="00844B61" w:rsidRDefault="00844B61" w:rsidP="00876E32">
            <w:pPr>
              <w:jc w:val="both"/>
              <w:rPr>
                <w:lang w:val="lt-LT"/>
              </w:rPr>
            </w:pPr>
            <w:r w:rsidRPr="00844B61">
              <w:rPr>
                <w:u w:val="single"/>
                <w:lang w:val="lt-LT"/>
              </w:rPr>
              <w:t>Maltos RRP.</w:t>
            </w:r>
            <w:r w:rsidRPr="00844B61">
              <w:rPr>
                <w:lang w:val="lt-LT"/>
              </w:rPr>
              <w:t xml:space="preserve"> </w:t>
            </w:r>
            <w:r w:rsidR="00185FD2">
              <w:rPr>
                <w:lang w:val="lt-LT"/>
              </w:rPr>
              <w:t xml:space="preserve">Spalio ECOFIN metu bus tvirtinamas Maltos plano vertinimas. </w:t>
            </w:r>
            <w:r w:rsidRPr="00844B61">
              <w:rPr>
                <w:lang w:val="lt-LT"/>
              </w:rPr>
              <w:t>EK pagal minėtus kriterijus įvertino MT planą aukščiausiu įvertinimu - A, išskyrus 2.9 kriterijų (plano kaštų atit</w:t>
            </w:r>
            <w:r w:rsidRPr="00844B61">
              <w:rPr>
                <w:lang w:val="lt-LT"/>
              </w:rPr>
              <w:t>i</w:t>
            </w:r>
            <w:r w:rsidRPr="00844B61">
              <w:rPr>
                <w:lang w:val="lt-LT"/>
              </w:rPr>
              <w:t>kimas naudai), šiuo aspektu planas įvertintas B įverčiu. EK teigia, kad plane neblogai aprašyti kaštai ir nauda, tačiau nedidelės dalies priemonių aprašymuose trūksta informacijos ir pagrind</w:t>
            </w:r>
            <w:r w:rsidRPr="00844B61">
              <w:rPr>
                <w:lang w:val="lt-LT"/>
              </w:rPr>
              <w:t>i</w:t>
            </w:r>
            <w:r w:rsidRPr="00844B61">
              <w:rPr>
                <w:lang w:val="lt-LT"/>
              </w:rPr>
              <w:t>mo, kad galima būtų šią plano dalį įvertinti aukščiausiu įvertinimu. Pažymėtina, kad aukščiausio įvertinimo šioje srityje negavo nei viena VN (visos gavo įvertį B), kurių planų vertinimus EK pateikė iki liepos 21 d.</w:t>
            </w:r>
          </w:p>
          <w:p w:rsidR="00844B61" w:rsidRPr="00844B61" w:rsidRDefault="00844B61" w:rsidP="00876E32">
            <w:pPr>
              <w:jc w:val="both"/>
              <w:rPr>
                <w:lang w:val="lt-LT"/>
              </w:rPr>
            </w:pPr>
            <w:r w:rsidRPr="00844B61">
              <w:rPr>
                <w:lang w:val="lt-LT"/>
              </w:rPr>
              <w:t>Maltai siūloma suteikti 316,4</w:t>
            </w:r>
            <w:r>
              <w:rPr>
                <w:lang w:val="lt-LT"/>
              </w:rPr>
              <w:t xml:space="preserve"> mln. EUR dotacijų, iš jų 53,8 </w:t>
            </w:r>
            <w:r w:rsidRPr="00844B61">
              <w:rPr>
                <w:lang w:val="lt-LT"/>
              </w:rPr>
              <w:t>% skiriama klimato tikslui, 25,5</w:t>
            </w:r>
            <w:r>
              <w:rPr>
                <w:lang w:val="lt-LT"/>
              </w:rPr>
              <w:t xml:space="preserve"> </w:t>
            </w:r>
            <w:r w:rsidRPr="00844B61">
              <w:rPr>
                <w:lang w:val="lt-LT"/>
              </w:rPr>
              <w:t xml:space="preserve">%  - </w:t>
            </w:r>
            <w:proofErr w:type="spellStart"/>
            <w:r w:rsidRPr="00844B61">
              <w:rPr>
                <w:lang w:val="lt-LT"/>
              </w:rPr>
              <w:t>skaitmeninimui</w:t>
            </w:r>
            <w:proofErr w:type="spellEnd"/>
            <w:r w:rsidRPr="00844B61">
              <w:rPr>
                <w:lang w:val="lt-LT"/>
              </w:rPr>
              <w:t xml:space="preserve">. </w:t>
            </w:r>
          </w:p>
          <w:p w:rsidR="00816959" w:rsidRPr="00E47362" w:rsidRDefault="00625288" w:rsidP="00B60006">
            <w:pPr>
              <w:pStyle w:val="BodyA"/>
              <w:tabs>
                <w:tab w:val="left" w:pos="2719"/>
              </w:tabs>
              <w:jc w:val="both"/>
              <w:rPr>
                <w:rFonts w:hAnsi="Times New Roman" w:cs="Times New Roman"/>
                <w:lang w:val="lt-LT"/>
              </w:rPr>
            </w:pPr>
            <w:r>
              <w:rPr>
                <w:rFonts w:hAnsi="Times New Roman" w:cs="Times New Roman"/>
                <w:lang w:val="lt-LT"/>
              </w:rPr>
              <w:tab/>
            </w:r>
          </w:p>
          <w:p w:rsidR="009C6662" w:rsidRDefault="00816959" w:rsidP="00EC2021">
            <w:pPr>
              <w:pStyle w:val="BodyA"/>
              <w:jc w:val="both"/>
              <w:rPr>
                <w:rFonts w:hAnsi="Times New Roman" w:cs="Times New Roman"/>
                <w:lang w:val="lt-LT"/>
              </w:rPr>
            </w:pPr>
            <w:r w:rsidRPr="00E47362">
              <w:rPr>
                <w:rFonts w:hAnsi="Times New Roman" w:cs="Times New Roman"/>
                <w:b/>
                <w:u w:val="single"/>
                <w:lang w:val="lt-LT"/>
              </w:rPr>
              <w:t>Lietuvos pozicija</w:t>
            </w:r>
            <w:r w:rsidRPr="00E47362">
              <w:rPr>
                <w:rFonts w:hAnsi="Times New Roman" w:cs="Times New Roman"/>
                <w:u w:val="single"/>
                <w:lang w:val="lt-LT"/>
              </w:rPr>
              <w:t>.</w:t>
            </w:r>
            <w:r w:rsidRPr="00E47362">
              <w:rPr>
                <w:rFonts w:hAnsi="Times New Roman" w:cs="Times New Roman"/>
                <w:lang w:val="lt-LT"/>
              </w:rPr>
              <w:t xml:space="preserve"> </w:t>
            </w:r>
            <w:r w:rsidR="00844B61" w:rsidRPr="00844B61">
              <w:rPr>
                <w:rFonts w:hAnsi="Times New Roman" w:cs="Times New Roman"/>
                <w:lang w:val="lt-LT"/>
              </w:rPr>
              <w:t xml:space="preserve">Pritariame </w:t>
            </w:r>
            <w:r w:rsidR="00185FD2">
              <w:rPr>
                <w:rFonts w:hAnsi="Times New Roman" w:cs="Times New Roman"/>
                <w:lang w:val="lt-LT"/>
              </w:rPr>
              <w:t>EK pateiktam teigiamam</w:t>
            </w:r>
            <w:r w:rsidR="00844B61" w:rsidRPr="00844B61">
              <w:rPr>
                <w:rFonts w:hAnsi="Times New Roman" w:cs="Times New Roman"/>
                <w:lang w:val="lt-LT"/>
              </w:rPr>
              <w:t xml:space="preserve"> Maltos plano vertinimui.</w:t>
            </w:r>
          </w:p>
          <w:p w:rsidR="00C70F7A" w:rsidRDefault="00C70F7A" w:rsidP="009C6662">
            <w:pPr>
              <w:pStyle w:val="BodyA"/>
              <w:jc w:val="both"/>
              <w:rPr>
                <w:rFonts w:hAnsi="Times New Roman" w:cs="Times New Roman"/>
                <w:lang w:val="lt-LT"/>
              </w:rPr>
            </w:pPr>
          </w:p>
          <w:p w:rsidR="002E12C0" w:rsidRPr="002E12C0" w:rsidRDefault="00193BC3" w:rsidP="002E12C0">
            <w:pPr>
              <w:contextualSpacing/>
              <w:jc w:val="both"/>
              <w:rPr>
                <w:rFonts w:eastAsia="Calibri"/>
                <w:bdr w:val="none" w:sz="0" w:space="0" w:color="auto"/>
                <w:lang w:val="lt-LT"/>
              </w:rPr>
            </w:pPr>
            <w:r w:rsidRPr="002E12C0">
              <w:rPr>
                <w:b/>
                <w:lang w:val="lt-LT"/>
              </w:rPr>
              <w:t>3.</w:t>
            </w:r>
            <w:r w:rsidR="00373BAD" w:rsidRPr="002E12C0">
              <w:rPr>
                <w:b/>
                <w:lang w:val="lt-LT"/>
              </w:rPr>
              <w:t xml:space="preserve"> </w:t>
            </w:r>
            <w:r w:rsidR="007F5B19" w:rsidRPr="002E12C0">
              <w:rPr>
                <w:b/>
                <w:lang w:val="lt-LT"/>
              </w:rPr>
              <w:t xml:space="preserve">2021 m. Europos semestras. Įgyta patirtis ir tolesni veiksmai įgyvendinant Ekonomikos gaivinimo ir atsparumo didinimo priemonę </w:t>
            </w:r>
            <w:r w:rsidR="007F5B19" w:rsidRPr="002E12C0">
              <w:rPr>
                <w:i/>
                <w:lang w:val="lt-LT"/>
              </w:rPr>
              <w:t>(Pasikeitimas nuomonėmis)</w:t>
            </w:r>
            <w:r w:rsidR="007F5B19" w:rsidRPr="002E12C0">
              <w:rPr>
                <w:i/>
                <w:lang w:val="lt-LT"/>
              </w:rPr>
              <w:cr/>
            </w:r>
            <w:r w:rsidR="007F5B19" w:rsidRPr="002E12C0">
              <w:rPr>
                <w:b/>
                <w:u w:val="single"/>
                <w:lang w:val="lt-LT"/>
              </w:rPr>
              <w:t xml:space="preserve"> </w:t>
            </w:r>
            <w:r w:rsidRPr="002E12C0">
              <w:rPr>
                <w:b/>
                <w:u w:val="single"/>
                <w:lang w:val="lt-LT"/>
              </w:rPr>
              <w:t xml:space="preserve">Klausimo esmė: </w:t>
            </w:r>
            <w:r w:rsidR="00185FD2" w:rsidRPr="002446DC">
              <w:rPr>
                <w:lang w:val="lt-LT"/>
              </w:rPr>
              <w:t xml:space="preserve">ECOFIN metu Ministrai apsikeis nuomonėmis dėl Europos Semestro tolesnio proceso. Posėdžiui yra parengtas dokumentas šiam klausimui, kuriame akcentuojama, jog </w:t>
            </w:r>
            <w:r w:rsidR="00185FD2">
              <w:rPr>
                <w:rFonts w:eastAsia="Calibri"/>
                <w:bdr w:val="none" w:sz="0" w:space="0" w:color="auto"/>
                <w:lang w:val="lt-LT"/>
              </w:rPr>
              <w:t>f</w:t>
            </w:r>
            <w:r w:rsidR="002E12C0" w:rsidRPr="002E12C0">
              <w:rPr>
                <w:rFonts w:eastAsia="Calibri"/>
                <w:bdr w:val="none" w:sz="0" w:space="0" w:color="auto"/>
                <w:lang w:val="lt-LT"/>
              </w:rPr>
              <w:t>isk</w:t>
            </w:r>
            <w:r w:rsidR="002E12C0" w:rsidRPr="002E12C0">
              <w:rPr>
                <w:rFonts w:eastAsia="Calibri"/>
                <w:bdr w:val="none" w:sz="0" w:space="0" w:color="auto"/>
                <w:lang w:val="lt-LT"/>
              </w:rPr>
              <w:t>a</w:t>
            </w:r>
            <w:r w:rsidR="002E12C0" w:rsidRPr="002E12C0">
              <w:rPr>
                <w:rFonts w:eastAsia="Calibri"/>
                <w:bdr w:val="none" w:sz="0" w:space="0" w:color="auto"/>
                <w:lang w:val="lt-LT"/>
              </w:rPr>
              <w:t>linės padėties stebėjimo ciklas esmingai nepasikeitė. Ne</w:t>
            </w:r>
            <w:r w:rsidR="00E949DE">
              <w:rPr>
                <w:rFonts w:eastAsia="Calibri"/>
                <w:bdr w:val="none" w:sz="0" w:space="0" w:color="auto"/>
                <w:lang w:val="lt-LT"/>
              </w:rPr>
              <w:t>paisant to, šių metų fiskalinės</w:t>
            </w:r>
            <w:r w:rsidR="002E12C0" w:rsidRPr="002E12C0">
              <w:rPr>
                <w:rFonts w:eastAsia="Calibri"/>
                <w:bdr w:val="none" w:sz="0" w:space="0" w:color="auto"/>
                <w:lang w:val="lt-LT"/>
              </w:rPr>
              <w:t xml:space="preserve"> </w:t>
            </w:r>
            <w:r w:rsidR="002E12C0">
              <w:rPr>
                <w:rFonts w:eastAsia="Calibri"/>
                <w:bdr w:val="none" w:sz="0" w:space="0" w:color="auto"/>
                <w:lang w:val="lt-LT"/>
              </w:rPr>
              <w:t>rekome</w:t>
            </w:r>
            <w:r w:rsidR="002E12C0">
              <w:rPr>
                <w:rFonts w:eastAsia="Calibri"/>
                <w:bdr w:val="none" w:sz="0" w:space="0" w:color="auto"/>
                <w:lang w:val="lt-LT"/>
              </w:rPr>
              <w:t>n</w:t>
            </w:r>
            <w:r w:rsidR="002E12C0">
              <w:rPr>
                <w:rFonts w:eastAsia="Calibri"/>
                <w:bdr w:val="none" w:sz="0" w:space="0" w:color="auto"/>
                <w:lang w:val="lt-LT"/>
              </w:rPr>
              <w:t>dacijos šalims (</w:t>
            </w:r>
            <w:proofErr w:type="spellStart"/>
            <w:r w:rsidR="002E12C0" w:rsidRPr="002E12C0">
              <w:rPr>
                <w:rFonts w:eastAsia="Calibri"/>
                <w:bdr w:val="none" w:sz="0" w:space="0" w:color="auto"/>
                <w:lang w:val="lt-LT"/>
              </w:rPr>
              <w:t>CSR‘s</w:t>
            </w:r>
            <w:proofErr w:type="spellEnd"/>
            <w:r w:rsidR="002E12C0">
              <w:rPr>
                <w:rFonts w:eastAsia="Calibri"/>
                <w:bdr w:val="none" w:sz="0" w:space="0" w:color="auto"/>
                <w:lang w:val="lt-LT"/>
              </w:rPr>
              <w:t>)</w:t>
            </w:r>
            <w:r w:rsidR="002E12C0" w:rsidRPr="002E12C0">
              <w:rPr>
                <w:rFonts w:eastAsia="Calibri"/>
                <w:bdr w:val="none" w:sz="0" w:space="0" w:color="auto"/>
                <w:lang w:val="lt-LT"/>
              </w:rPr>
              <w:t xml:space="preserve"> buvo labiau kokybinio pobūdžio, nei kiekybinio. Tuo pat metu rekome</w:t>
            </w:r>
            <w:r w:rsidR="002E12C0" w:rsidRPr="002E12C0">
              <w:rPr>
                <w:rFonts w:eastAsia="Calibri"/>
                <w:bdr w:val="none" w:sz="0" w:space="0" w:color="auto"/>
                <w:lang w:val="lt-LT"/>
              </w:rPr>
              <w:t>n</w:t>
            </w:r>
            <w:r w:rsidR="002E12C0" w:rsidRPr="002E12C0">
              <w:rPr>
                <w:rFonts w:eastAsia="Calibri"/>
                <w:bdr w:val="none" w:sz="0" w:space="0" w:color="auto"/>
                <w:lang w:val="lt-LT"/>
              </w:rPr>
              <w:t>dacijos buvo diferencijuotos fiskalinio tvarumo, išlaidų augimo ir vidutinio laikotarpio gairių srityse, t.y., labiau įsiskolinusioms VN buvo labiau akcentuotas fiskalinio tvarumo el</w:t>
            </w:r>
            <w:r w:rsidR="002E12C0" w:rsidRPr="002E12C0">
              <w:rPr>
                <w:rFonts w:eastAsia="Calibri"/>
                <w:bdr w:val="none" w:sz="0" w:space="0" w:color="auto"/>
                <w:lang w:val="lt-LT"/>
              </w:rPr>
              <w:t>e</w:t>
            </w:r>
            <w:r w:rsidR="002E12C0" w:rsidRPr="002E12C0">
              <w:rPr>
                <w:rFonts w:eastAsia="Calibri"/>
                <w:bdr w:val="none" w:sz="0" w:space="0" w:color="auto"/>
                <w:lang w:val="lt-LT"/>
              </w:rPr>
              <w:t>mentas. Kai kurios VN norėjo, kad rekomendacijos stipriau akcentuotų skatinančią fiskalinę p</w:t>
            </w:r>
            <w:r w:rsidR="002E12C0" w:rsidRPr="002E12C0">
              <w:rPr>
                <w:rFonts w:eastAsia="Calibri"/>
                <w:bdr w:val="none" w:sz="0" w:space="0" w:color="auto"/>
                <w:lang w:val="lt-LT"/>
              </w:rPr>
              <w:t>o</w:t>
            </w:r>
            <w:r w:rsidR="002E12C0" w:rsidRPr="002E12C0">
              <w:rPr>
                <w:rFonts w:eastAsia="Calibri"/>
                <w:bdr w:val="none" w:sz="0" w:space="0" w:color="auto"/>
                <w:lang w:val="lt-LT"/>
              </w:rPr>
              <w:t>litiką, kitos VN norėjo didesnės kiekybinės diferenciacijos atsižvelgiant į skolos lygius.</w:t>
            </w:r>
          </w:p>
          <w:p w:rsidR="002E12C0" w:rsidRPr="002E12C0" w:rsidRDefault="002E12C0" w:rsidP="002E12C0">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2E12C0">
              <w:rPr>
                <w:rFonts w:eastAsia="Calibri"/>
                <w:bdr w:val="none" w:sz="0" w:space="0" w:color="auto"/>
                <w:lang w:val="lt-LT"/>
              </w:rPr>
              <w:t>Tuo pačiu, nefiskalinės rekomendacijos ir Šalių ataskaitos buvo iš dalies pakeistos RRP vertin</w:t>
            </w:r>
            <w:r w:rsidRPr="002E12C0">
              <w:rPr>
                <w:rFonts w:eastAsia="Calibri"/>
                <w:bdr w:val="none" w:sz="0" w:space="0" w:color="auto"/>
                <w:lang w:val="lt-LT"/>
              </w:rPr>
              <w:t>i</w:t>
            </w:r>
            <w:r w:rsidRPr="002E12C0">
              <w:rPr>
                <w:rFonts w:eastAsia="Calibri"/>
                <w:bdr w:val="none" w:sz="0" w:space="0" w:color="auto"/>
                <w:lang w:val="lt-LT"/>
              </w:rPr>
              <w:t xml:space="preserve">mais. VN pažymėjo, kad ateityje svarbu tęsti tiek Šalių ataskaitų, tiek pilnaverčių rekomendacijų teikimą. VN taip pat sveikino makroekonominių </w:t>
            </w:r>
            <w:proofErr w:type="spellStart"/>
            <w:r w:rsidRPr="002E12C0">
              <w:rPr>
                <w:rFonts w:eastAsia="Calibri"/>
                <w:bdr w:val="none" w:sz="0" w:space="0" w:color="auto"/>
                <w:lang w:val="lt-LT"/>
              </w:rPr>
              <w:t>disbalansų</w:t>
            </w:r>
            <w:proofErr w:type="spellEnd"/>
            <w:r w:rsidRPr="002E12C0">
              <w:rPr>
                <w:rFonts w:eastAsia="Calibri"/>
                <w:bdr w:val="none" w:sz="0" w:space="0" w:color="auto"/>
                <w:lang w:val="lt-LT"/>
              </w:rPr>
              <w:t xml:space="preserve"> procedūros (MIP) tęsimą ir pažym</w:t>
            </w:r>
            <w:r w:rsidRPr="002E12C0">
              <w:rPr>
                <w:rFonts w:eastAsia="Calibri"/>
                <w:bdr w:val="none" w:sz="0" w:space="0" w:color="auto"/>
                <w:lang w:val="lt-LT"/>
              </w:rPr>
              <w:t>ė</w:t>
            </w:r>
            <w:r w:rsidRPr="002E12C0">
              <w:rPr>
                <w:rFonts w:eastAsia="Calibri"/>
                <w:bdr w:val="none" w:sz="0" w:space="0" w:color="auto"/>
                <w:lang w:val="lt-LT"/>
              </w:rPr>
              <w:t xml:space="preserve">jo, kad pandemija pablogino </w:t>
            </w:r>
            <w:proofErr w:type="spellStart"/>
            <w:r w:rsidRPr="002E12C0">
              <w:rPr>
                <w:rFonts w:eastAsia="Calibri"/>
                <w:bdr w:val="none" w:sz="0" w:space="0" w:color="auto"/>
                <w:lang w:val="lt-LT"/>
              </w:rPr>
              <w:t>disbalansus</w:t>
            </w:r>
            <w:proofErr w:type="spellEnd"/>
            <w:r w:rsidRPr="002E12C0">
              <w:rPr>
                <w:rFonts w:eastAsia="Calibri"/>
                <w:bdr w:val="none" w:sz="0" w:space="0" w:color="auto"/>
                <w:lang w:val="lt-LT"/>
              </w:rPr>
              <w:t xml:space="preserve">, susijusius su privačiomis ir viešosiomis skolomis.  </w:t>
            </w:r>
          </w:p>
          <w:p w:rsidR="002E12C0" w:rsidRPr="002E12C0" w:rsidRDefault="002E12C0" w:rsidP="002E12C0">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u w:val="single"/>
                <w:bdr w:val="none" w:sz="0" w:space="0" w:color="auto"/>
                <w:lang w:val="lt-LT"/>
              </w:rPr>
            </w:pPr>
            <w:r w:rsidRPr="002E12C0">
              <w:rPr>
                <w:rFonts w:eastAsia="Calibri"/>
                <w:u w:val="single"/>
                <w:bdr w:val="none" w:sz="0" w:space="0" w:color="auto"/>
                <w:lang w:val="lt-LT"/>
              </w:rPr>
              <w:t>Ateities iššūkiai:</w:t>
            </w:r>
          </w:p>
          <w:p w:rsidR="002E12C0" w:rsidRPr="002E12C0" w:rsidRDefault="002E12C0" w:rsidP="002E12C0">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bdr w:val="none" w:sz="0" w:space="0" w:color="auto"/>
                <w:lang w:val="lt-LT"/>
              </w:rPr>
            </w:pPr>
            <w:r w:rsidRPr="002E12C0">
              <w:rPr>
                <w:rFonts w:eastAsia="Calibri"/>
                <w:bdr w:val="none" w:sz="0" w:space="0" w:color="auto"/>
                <w:lang w:val="lt-LT"/>
              </w:rPr>
              <w:t>Išvengti administracinės naštos dėl RRF ir Semestro dubliavimosi, ypač atsiskaitymo sr</w:t>
            </w:r>
            <w:r w:rsidRPr="002E12C0">
              <w:rPr>
                <w:rFonts w:eastAsia="Calibri"/>
                <w:bdr w:val="none" w:sz="0" w:space="0" w:color="auto"/>
                <w:lang w:val="lt-LT"/>
              </w:rPr>
              <w:t>i</w:t>
            </w:r>
            <w:r w:rsidRPr="002E12C0">
              <w:rPr>
                <w:rFonts w:eastAsia="Calibri"/>
                <w:bdr w:val="none" w:sz="0" w:space="0" w:color="auto"/>
                <w:lang w:val="lt-LT"/>
              </w:rPr>
              <w:t>tyje. Taip pat, visos VN akcentavo, kad svarbu, jog stebėjimas Semestro kontekste api</w:t>
            </w:r>
            <w:r w:rsidRPr="002E12C0">
              <w:rPr>
                <w:rFonts w:eastAsia="Calibri"/>
                <w:bdr w:val="none" w:sz="0" w:space="0" w:color="auto"/>
                <w:lang w:val="lt-LT"/>
              </w:rPr>
              <w:t>m</w:t>
            </w:r>
            <w:r w:rsidRPr="002E12C0">
              <w:rPr>
                <w:rFonts w:eastAsia="Calibri"/>
                <w:bdr w:val="none" w:sz="0" w:space="0" w:color="auto"/>
                <w:lang w:val="lt-LT"/>
              </w:rPr>
              <w:t>tų tiek iššūkius, pažymėtus RRF kontekste, tiek visus likusius.</w:t>
            </w:r>
          </w:p>
          <w:p w:rsidR="002E12C0" w:rsidRPr="002E12C0" w:rsidRDefault="002E12C0" w:rsidP="002E12C0">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bdr w:val="none" w:sz="0" w:space="0" w:color="auto"/>
                <w:lang w:val="lt-LT"/>
              </w:rPr>
            </w:pPr>
            <w:r w:rsidRPr="002E12C0">
              <w:rPr>
                <w:rFonts w:eastAsia="Calibri"/>
                <w:bdr w:val="none" w:sz="0" w:space="0" w:color="auto"/>
                <w:lang w:val="lt-LT"/>
              </w:rPr>
              <w:t>Kadangi 2022 m. fiskalinės rekomendacijos bus daugiau kokybinės, atsiskaitymas už jų įgyvendinimą kiek skirsis nuo įprastinio (vietoje struktūrinių balansų bus vertinamas i</w:t>
            </w:r>
            <w:r w:rsidRPr="002E12C0">
              <w:rPr>
                <w:rFonts w:eastAsia="Calibri"/>
                <w:bdr w:val="none" w:sz="0" w:space="0" w:color="auto"/>
                <w:lang w:val="lt-LT"/>
              </w:rPr>
              <w:t>š</w:t>
            </w:r>
            <w:r w:rsidRPr="002E12C0">
              <w:rPr>
                <w:rFonts w:eastAsia="Calibri"/>
                <w:bdr w:val="none" w:sz="0" w:space="0" w:color="auto"/>
                <w:lang w:val="lt-LT"/>
              </w:rPr>
              <w:lastRenderedPageBreak/>
              <w:t>laidų pasikeitimas). Todėl kai kurios VN pažymėjo, kad reikia atsargiau interpretuoti r</w:t>
            </w:r>
            <w:r w:rsidRPr="002E12C0">
              <w:rPr>
                <w:rFonts w:eastAsia="Calibri"/>
                <w:bdr w:val="none" w:sz="0" w:space="0" w:color="auto"/>
                <w:lang w:val="lt-LT"/>
              </w:rPr>
              <w:t>e</w:t>
            </w:r>
            <w:r w:rsidRPr="002E12C0">
              <w:rPr>
                <w:rFonts w:eastAsia="Calibri"/>
                <w:bdr w:val="none" w:sz="0" w:space="0" w:color="auto"/>
                <w:lang w:val="lt-LT"/>
              </w:rPr>
              <w:t>zultatus, kylančius iš šių naujų indikatorių ir kėlė klausimą apie šių indikatorių naudoj</w:t>
            </w:r>
            <w:r w:rsidRPr="002E12C0">
              <w:rPr>
                <w:rFonts w:eastAsia="Calibri"/>
                <w:bdr w:val="none" w:sz="0" w:space="0" w:color="auto"/>
                <w:lang w:val="lt-LT"/>
              </w:rPr>
              <w:t>i</w:t>
            </w:r>
            <w:r w:rsidRPr="002E12C0">
              <w:rPr>
                <w:rFonts w:eastAsia="Calibri"/>
                <w:bdr w:val="none" w:sz="0" w:space="0" w:color="auto"/>
                <w:lang w:val="lt-LT"/>
              </w:rPr>
              <w:t>mą ateityje.</w:t>
            </w:r>
          </w:p>
          <w:p w:rsidR="002E12C0" w:rsidRPr="002E12C0" w:rsidRDefault="002E12C0" w:rsidP="002E12C0">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bdr w:val="none" w:sz="0" w:space="0" w:color="auto"/>
                <w:lang w:val="lt-LT"/>
              </w:rPr>
            </w:pPr>
            <w:r w:rsidRPr="002E12C0">
              <w:rPr>
                <w:rFonts w:eastAsia="Calibri"/>
                <w:bdr w:val="none" w:sz="0" w:space="0" w:color="auto"/>
                <w:lang w:val="lt-LT"/>
              </w:rPr>
              <w:t>Dauguma VN pabrėžė, kad būtina greitai grįžti prie įprastinio Semestro proceso, bet re</w:t>
            </w:r>
            <w:r w:rsidRPr="002E12C0">
              <w:rPr>
                <w:rFonts w:eastAsia="Calibri"/>
                <w:bdr w:val="none" w:sz="0" w:space="0" w:color="auto"/>
                <w:lang w:val="lt-LT"/>
              </w:rPr>
              <w:t>i</w:t>
            </w:r>
            <w:r w:rsidRPr="002E12C0">
              <w:rPr>
                <w:rFonts w:eastAsia="Calibri"/>
                <w:bdr w:val="none" w:sz="0" w:space="0" w:color="auto"/>
                <w:lang w:val="lt-LT"/>
              </w:rPr>
              <w:t>kėtų patikslinti Nacionalinių reformų darbotvarkių gaires. Dalis VN</w:t>
            </w:r>
            <w:r w:rsidRPr="002E12C0">
              <w:rPr>
                <w:rFonts w:eastAsia="Calibri"/>
                <w:bdr w:val="none" w:sz="0" w:space="0" w:color="auto"/>
                <w:vertAlign w:val="superscript"/>
                <w:lang w:val="lt-LT"/>
              </w:rPr>
              <w:footnoteReference w:id="1"/>
            </w:r>
            <w:r w:rsidRPr="002E12C0">
              <w:rPr>
                <w:rFonts w:eastAsia="Calibri"/>
                <w:bdr w:val="none" w:sz="0" w:space="0" w:color="auto"/>
                <w:lang w:val="lt-LT"/>
              </w:rPr>
              <w:t xml:space="preserve"> pasiūlė </w:t>
            </w:r>
            <w:proofErr w:type="spellStart"/>
            <w:r w:rsidRPr="002E12C0">
              <w:rPr>
                <w:rFonts w:eastAsia="Calibri"/>
                <w:bdr w:val="none" w:sz="0" w:space="0" w:color="auto"/>
                <w:lang w:val="lt-LT"/>
              </w:rPr>
              <w:t>CSR‘s</w:t>
            </w:r>
            <w:proofErr w:type="spellEnd"/>
            <w:r w:rsidRPr="002E12C0">
              <w:rPr>
                <w:rFonts w:eastAsia="Calibri"/>
                <w:bdr w:val="none" w:sz="0" w:space="0" w:color="auto"/>
                <w:lang w:val="lt-LT"/>
              </w:rPr>
              <w:t xml:space="preserve"> a</w:t>
            </w:r>
            <w:r w:rsidRPr="002E12C0">
              <w:rPr>
                <w:rFonts w:eastAsia="Calibri"/>
                <w:bdr w:val="none" w:sz="0" w:space="0" w:color="auto"/>
                <w:lang w:val="lt-LT"/>
              </w:rPr>
              <w:t>t</w:t>
            </w:r>
            <w:r w:rsidRPr="002E12C0">
              <w:rPr>
                <w:rFonts w:eastAsia="Calibri"/>
                <w:bdr w:val="none" w:sz="0" w:space="0" w:color="auto"/>
                <w:lang w:val="lt-LT"/>
              </w:rPr>
              <w:t>naujinimą daryti kas 2 metus, o ne kas 1 kaip buvo iki šiol, tačiau stebėjimą palikti ka</w:t>
            </w:r>
            <w:r w:rsidRPr="002E12C0">
              <w:rPr>
                <w:rFonts w:eastAsia="Calibri"/>
                <w:bdr w:val="none" w:sz="0" w:space="0" w:color="auto"/>
                <w:lang w:val="lt-LT"/>
              </w:rPr>
              <w:t>s</w:t>
            </w:r>
            <w:r w:rsidRPr="002E12C0">
              <w:rPr>
                <w:rFonts w:eastAsia="Calibri"/>
                <w:bdr w:val="none" w:sz="0" w:space="0" w:color="auto"/>
                <w:lang w:val="lt-LT"/>
              </w:rPr>
              <w:t>metiniu. Be to, kai kurios VN pažymėjo grįžimo prie kiekybinių fiskalinių rekomendac</w:t>
            </w:r>
            <w:r w:rsidRPr="002E12C0">
              <w:rPr>
                <w:rFonts w:eastAsia="Calibri"/>
                <w:bdr w:val="none" w:sz="0" w:space="0" w:color="auto"/>
                <w:lang w:val="lt-LT"/>
              </w:rPr>
              <w:t>i</w:t>
            </w:r>
            <w:r w:rsidRPr="002E12C0">
              <w:rPr>
                <w:rFonts w:eastAsia="Calibri"/>
                <w:bdr w:val="none" w:sz="0" w:space="0" w:color="auto"/>
                <w:lang w:val="lt-LT"/>
              </w:rPr>
              <w:t>jų svarbą, kitos akcentavo neapibrėžtumą ir poreikį išlaikyti fiskalinės politikos lankst</w:t>
            </w:r>
            <w:r w:rsidRPr="002E12C0">
              <w:rPr>
                <w:rFonts w:eastAsia="Calibri"/>
                <w:bdr w:val="none" w:sz="0" w:space="0" w:color="auto"/>
                <w:lang w:val="lt-LT"/>
              </w:rPr>
              <w:t>u</w:t>
            </w:r>
            <w:r w:rsidRPr="002E12C0">
              <w:rPr>
                <w:rFonts w:eastAsia="Calibri"/>
                <w:bdr w:val="none" w:sz="0" w:space="0" w:color="auto"/>
                <w:lang w:val="lt-LT"/>
              </w:rPr>
              <w:t xml:space="preserve">mą siekiant atsigavimo. </w:t>
            </w:r>
          </w:p>
          <w:p w:rsidR="00193BC3" w:rsidRPr="002E12C0" w:rsidRDefault="002E12C0" w:rsidP="00193BC3">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bdr w:val="none" w:sz="0" w:space="0" w:color="auto"/>
                <w:lang w:val="lt-LT"/>
              </w:rPr>
            </w:pPr>
            <w:r w:rsidRPr="002E12C0">
              <w:rPr>
                <w:rFonts w:eastAsia="Calibri"/>
                <w:bdr w:val="none" w:sz="0" w:space="0" w:color="auto"/>
                <w:lang w:val="lt-LT"/>
              </w:rPr>
              <w:t>Pakelti Semestro efektyvumą pasinaudojant RRF įgyvendinimo patirtimi. Tačiau nebuvo sutarimo dėl to, ar Semestras turėtų koncentruotis tik į griežtai ekonominius klausimus (pvz., MIP) ar apimti platesnį klausimų ratą (tvaraus vystymosi tikslus, socialinių teisių ramstį).</w:t>
            </w:r>
          </w:p>
          <w:p w:rsidR="009F3E8B" w:rsidRPr="009F3E8B" w:rsidRDefault="00193BC3" w:rsidP="009F3E8B">
            <w:pPr>
              <w:pStyle w:val="BodyA"/>
              <w:jc w:val="both"/>
              <w:rPr>
                <w:rFonts w:hAnsi="Times New Roman" w:cs="Times New Roman"/>
                <w:lang w:val="lt-LT"/>
              </w:rPr>
            </w:pPr>
            <w:r w:rsidRPr="009F3E8B">
              <w:rPr>
                <w:rFonts w:hAnsi="Times New Roman" w:cs="Times New Roman"/>
                <w:b/>
                <w:u w:val="single"/>
                <w:lang w:val="lt-LT"/>
              </w:rPr>
              <w:t>Lietuvos pozicija:</w:t>
            </w:r>
            <w:r w:rsidR="00A65258" w:rsidRPr="00517C6F">
              <w:rPr>
                <w:rFonts w:hAnsi="Times New Roman" w:cs="Times New Roman"/>
                <w:lang w:val="lt-LT"/>
              </w:rPr>
              <w:t xml:space="preserve"> </w:t>
            </w:r>
            <w:r w:rsidR="009F3E8B" w:rsidRPr="009F3E8B">
              <w:rPr>
                <w:rFonts w:hAnsi="Times New Roman" w:cs="Times New Roman"/>
                <w:lang w:val="lt-LT"/>
              </w:rPr>
              <w:t>Pritariame, kad reikia vengti nereikalingo persidengimo tarp RRF ir Semes</w:t>
            </w:r>
            <w:r w:rsidR="009F3E8B" w:rsidRPr="009F3E8B">
              <w:rPr>
                <w:rFonts w:hAnsi="Times New Roman" w:cs="Times New Roman"/>
                <w:lang w:val="lt-LT"/>
              </w:rPr>
              <w:t>t</w:t>
            </w:r>
            <w:r w:rsidR="009F3E8B" w:rsidRPr="009F3E8B">
              <w:rPr>
                <w:rFonts w:hAnsi="Times New Roman" w:cs="Times New Roman"/>
                <w:lang w:val="lt-LT"/>
              </w:rPr>
              <w:t xml:space="preserve">ro kartu su didėjančia administracine našta. VN neturėtų teikti tos pačios informacijos du kartus. EK gairės </w:t>
            </w:r>
            <w:r w:rsidR="00E949DE">
              <w:rPr>
                <w:rFonts w:hAnsi="Times New Roman" w:cs="Times New Roman"/>
                <w:lang w:val="lt-LT"/>
              </w:rPr>
              <w:t xml:space="preserve">nacionalinėms reformų programoms </w:t>
            </w:r>
            <w:r w:rsidR="009F3E8B" w:rsidRPr="009F3E8B">
              <w:rPr>
                <w:rFonts w:hAnsi="Times New Roman" w:cs="Times New Roman"/>
                <w:lang w:val="lt-LT"/>
              </w:rPr>
              <w:t>ir kitiems raportavimo instrumentams, atsižve</w:t>
            </w:r>
            <w:r w:rsidR="009F3E8B" w:rsidRPr="009F3E8B">
              <w:rPr>
                <w:rFonts w:hAnsi="Times New Roman" w:cs="Times New Roman"/>
                <w:lang w:val="lt-LT"/>
              </w:rPr>
              <w:t>l</w:t>
            </w:r>
            <w:r w:rsidR="009F3E8B" w:rsidRPr="009F3E8B">
              <w:rPr>
                <w:rFonts w:hAnsi="Times New Roman" w:cs="Times New Roman"/>
                <w:lang w:val="lt-LT"/>
              </w:rPr>
              <w:t xml:space="preserve">giant į administracinės naštos problemą, būtų sveikintinos ir naudingos. </w:t>
            </w:r>
          </w:p>
          <w:p w:rsidR="009F3E8B" w:rsidRPr="009F3E8B" w:rsidRDefault="009F3E8B" w:rsidP="009F3E8B">
            <w:pPr>
              <w:pStyle w:val="BodyA"/>
              <w:jc w:val="both"/>
              <w:rPr>
                <w:rFonts w:hAnsi="Times New Roman" w:cs="Times New Roman"/>
                <w:lang w:val="lt-LT"/>
              </w:rPr>
            </w:pPr>
            <w:r w:rsidRPr="009F3E8B">
              <w:rPr>
                <w:rFonts w:hAnsi="Times New Roman" w:cs="Times New Roman"/>
                <w:lang w:val="lt-LT"/>
              </w:rPr>
              <w:t>Dėl Semestro ateities, pritariame, kad reikia sugrįžti prie įprastinio Semestro proceso</w:t>
            </w:r>
            <w:r>
              <w:rPr>
                <w:rFonts w:hAnsi="Times New Roman" w:cs="Times New Roman"/>
                <w:lang w:val="lt-LT"/>
              </w:rPr>
              <w:t>,</w:t>
            </w:r>
            <w:r w:rsidRPr="009F3E8B">
              <w:rPr>
                <w:rFonts w:hAnsi="Times New Roman" w:cs="Times New Roman"/>
                <w:lang w:val="lt-LT"/>
              </w:rPr>
              <w:t xml:space="preserve"> apimančio pilnas rekomendacijas ir Šalių ataskaitas. Nepaisant to, galima tobulinti šį procesą, todėl prit</w:t>
            </w:r>
            <w:r w:rsidRPr="009F3E8B">
              <w:rPr>
                <w:rFonts w:hAnsi="Times New Roman" w:cs="Times New Roman"/>
                <w:lang w:val="lt-LT"/>
              </w:rPr>
              <w:t>a</w:t>
            </w:r>
            <w:r w:rsidRPr="009F3E8B">
              <w:rPr>
                <w:rFonts w:hAnsi="Times New Roman" w:cs="Times New Roman"/>
                <w:lang w:val="lt-LT"/>
              </w:rPr>
              <w:t xml:space="preserve">riame, kad šalims skirtas struktūrines rekomendacijas galima būtų teikti kas du metus, tuo pat metu atliekant stebėjimą kasmet. </w:t>
            </w:r>
          </w:p>
          <w:p w:rsidR="00193BC3" w:rsidRPr="00517C6F" w:rsidRDefault="009F3E8B" w:rsidP="009F3E8B">
            <w:pPr>
              <w:pStyle w:val="BodyA"/>
              <w:jc w:val="both"/>
              <w:rPr>
                <w:rFonts w:hAnsi="Times New Roman" w:cs="Times New Roman"/>
                <w:lang w:val="lt-LT"/>
              </w:rPr>
            </w:pPr>
            <w:r w:rsidRPr="009F3E8B">
              <w:rPr>
                <w:rFonts w:hAnsi="Times New Roman" w:cs="Times New Roman"/>
                <w:lang w:val="lt-LT"/>
              </w:rPr>
              <w:t xml:space="preserve">Dėl fiskalinės Semestro dalies, būtina įdėmiai stebėti padėtį siekiant išvengti makroekonominių </w:t>
            </w:r>
            <w:proofErr w:type="spellStart"/>
            <w:r w:rsidRPr="009F3E8B">
              <w:rPr>
                <w:rFonts w:hAnsi="Times New Roman" w:cs="Times New Roman"/>
                <w:lang w:val="lt-LT"/>
              </w:rPr>
              <w:t>disbalansų</w:t>
            </w:r>
            <w:proofErr w:type="spellEnd"/>
            <w:r w:rsidRPr="009F3E8B">
              <w:rPr>
                <w:rFonts w:hAnsi="Times New Roman" w:cs="Times New Roman"/>
                <w:lang w:val="lt-LT"/>
              </w:rPr>
              <w:t>, tačiau tuo pat metu atsižvelgti į dėl pandemijos esantį ne apibrėžtumą bei tai, kad atsigavimo tempai skiriasi tarp VN. Šiuo atveju, pilno pobūdžio šalims skirtos fiskalinės rek</w:t>
            </w:r>
            <w:r w:rsidRPr="009F3E8B">
              <w:rPr>
                <w:rFonts w:hAnsi="Times New Roman" w:cs="Times New Roman"/>
                <w:lang w:val="lt-LT"/>
              </w:rPr>
              <w:t>o</w:t>
            </w:r>
            <w:r w:rsidRPr="009F3E8B">
              <w:rPr>
                <w:rFonts w:hAnsi="Times New Roman" w:cs="Times New Roman"/>
                <w:lang w:val="lt-LT"/>
              </w:rPr>
              <w:t>mendacijos, kartu su diferencijuotomis kiekybinėmis gairėmis (kiek tai įmanoma), būtų naudi</w:t>
            </w:r>
            <w:r w:rsidRPr="009F3E8B">
              <w:rPr>
                <w:rFonts w:hAnsi="Times New Roman" w:cs="Times New Roman"/>
                <w:lang w:val="lt-LT"/>
              </w:rPr>
              <w:t>n</w:t>
            </w:r>
            <w:r w:rsidRPr="009F3E8B">
              <w:rPr>
                <w:rFonts w:hAnsi="Times New Roman" w:cs="Times New Roman"/>
                <w:lang w:val="lt-LT"/>
              </w:rPr>
              <w:t xml:space="preserve">gos. Taip pat, atsižvelgiant į tai, kad </w:t>
            </w:r>
            <w:r>
              <w:rPr>
                <w:rFonts w:hAnsi="Times New Roman" w:cs="Times New Roman"/>
                <w:lang w:val="lt-LT"/>
              </w:rPr>
              <w:t>Stabilumo ir augimo pakto bendroji išimtis (</w:t>
            </w:r>
            <w:r w:rsidRPr="009F3E8B">
              <w:rPr>
                <w:rFonts w:hAnsi="Times New Roman" w:cs="Times New Roman"/>
                <w:lang w:val="lt-LT"/>
              </w:rPr>
              <w:t>GEC</w:t>
            </w:r>
            <w:r>
              <w:rPr>
                <w:rFonts w:hAnsi="Times New Roman" w:cs="Times New Roman"/>
                <w:lang w:val="lt-LT"/>
              </w:rPr>
              <w:t>)</w:t>
            </w:r>
            <w:r w:rsidRPr="009F3E8B">
              <w:rPr>
                <w:rFonts w:hAnsi="Times New Roman" w:cs="Times New Roman"/>
                <w:lang w:val="lt-LT"/>
              </w:rPr>
              <w:t xml:space="preserve"> bus i</w:t>
            </w:r>
            <w:r w:rsidRPr="009F3E8B">
              <w:rPr>
                <w:rFonts w:hAnsi="Times New Roman" w:cs="Times New Roman"/>
                <w:lang w:val="lt-LT"/>
              </w:rPr>
              <w:t>š</w:t>
            </w:r>
            <w:r w:rsidRPr="009F3E8B">
              <w:rPr>
                <w:rFonts w:hAnsi="Times New Roman" w:cs="Times New Roman"/>
                <w:lang w:val="lt-LT"/>
              </w:rPr>
              <w:t>jungta 2023 m., EK gairės dėl esamų SAP taisyklių taikymo ir stebėjimo procedūrų ateinančiais metais būtų labai naudingos.</w:t>
            </w:r>
          </w:p>
          <w:p w:rsidR="0098163A" w:rsidRDefault="0098163A" w:rsidP="009C6662">
            <w:pPr>
              <w:pStyle w:val="BodyA"/>
              <w:jc w:val="both"/>
              <w:rPr>
                <w:rFonts w:hAnsi="Times New Roman" w:cs="Times New Roman"/>
                <w:lang w:val="lt-LT"/>
              </w:rPr>
            </w:pPr>
          </w:p>
          <w:p w:rsidR="00373BAD" w:rsidRPr="00373BAD" w:rsidRDefault="008D674A" w:rsidP="007F5B19">
            <w:pPr>
              <w:pStyle w:val="BodyA"/>
              <w:jc w:val="both"/>
              <w:rPr>
                <w:rFonts w:hAnsi="Times New Roman" w:cs="Times New Roman"/>
                <w:b/>
                <w:lang w:val="lt-LT"/>
              </w:rPr>
            </w:pPr>
            <w:r>
              <w:rPr>
                <w:rFonts w:hAnsi="Times New Roman" w:cs="Times New Roman"/>
                <w:b/>
                <w:lang w:val="lt-LT"/>
              </w:rPr>
              <w:t>4</w:t>
            </w:r>
            <w:r w:rsidR="009E659A">
              <w:rPr>
                <w:rFonts w:hAnsi="Times New Roman" w:cs="Times New Roman"/>
                <w:b/>
                <w:lang w:val="lt-LT"/>
              </w:rPr>
              <w:t xml:space="preserve">. </w:t>
            </w:r>
            <w:r w:rsidR="007F5B19">
              <w:rPr>
                <w:rFonts w:hAnsi="Times New Roman" w:cs="Times New Roman"/>
                <w:b/>
                <w:lang w:val="lt-LT"/>
              </w:rPr>
              <w:t>Priemonės SURE įgyvendinimas (</w:t>
            </w:r>
            <w:r w:rsidR="007F5B19" w:rsidRPr="007F5B19">
              <w:rPr>
                <w:rFonts w:hAnsi="Times New Roman" w:cs="Times New Roman"/>
                <w:i/>
                <w:lang w:val="lt-LT"/>
              </w:rPr>
              <w:t>Dabartinė padėtis / pasikeitimas nuomonėmis</w:t>
            </w:r>
            <w:r w:rsidR="007F5B19">
              <w:rPr>
                <w:rFonts w:hAnsi="Times New Roman" w:cs="Times New Roman"/>
                <w:i/>
                <w:lang w:val="lt-LT"/>
              </w:rPr>
              <w:t>)</w:t>
            </w:r>
          </w:p>
          <w:p w:rsidR="002A0B19" w:rsidRPr="002A0B19" w:rsidRDefault="00FD429F" w:rsidP="00E949DE">
            <w:pPr>
              <w:contextualSpacing/>
              <w:jc w:val="both"/>
              <w:rPr>
                <w:rFonts w:eastAsia="Calibri"/>
                <w:bdr w:val="none" w:sz="0" w:space="0" w:color="auto"/>
                <w:lang w:val="lt-LT"/>
              </w:rPr>
            </w:pPr>
            <w:r w:rsidRPr="002A0B19">
              <w:rPr>
                <w:b/>
                <w:u w:val="single"/>
                <w:lang w:val="lt-LT"/>
              </w:rPr>
              <w:t xml:space="preserve">Klausimo esmė. </w:t>
            </w:r>
            <w:r w:rsidR="002A0B19" w:rsidRPr="002A0B19">
              <w:rPr>
                <w:rFonts w:eastAsia="Calibri"/>
                <w:bdr w:val="none" w:sz="0" w:space="0" w:color="auto"/>
                <w:lang w:val="lt-LT"/>
              </w:rPr>
              <w:t>Š. m. rugsėjo 22 d. Europos Komisija paskelbė antrąją ataskaitą apie Priem</w:t>
            </w:r>
            <w:r w:rsidR="002A0B19" w:rsidRPr="002A0B19">
              <w:rPr>
                <w:rFonts w:eastAsia="Calibri"/>
                <w:bdr w:val="none" w:sz="0" w:space="0" w:color="auto"/>
                <w:lang w:val="lt-LT"/>
              </w:rPr>
              <w:t>o</w:t>
            </w:r>
            <w:r w:rsidR="002A0B19" w:rsidRPr="002A0B19">
              <w:rPr>
                <w:rFonts w:eastAsia="Calibri"/>
                <w:bdr w:val="none" w:sz="0" w:space="0" w:color="auto"/>
                <w:lang w:val="lt-LT"/>
              </w:rPr>
              <w:t xml:space="preserve">nės, kuria </w:t>
            </w:r>
            <w:proofErr w:type="spellStart"/>
            <w:r w:rsidR="002A0B19" w:rsidRPr="002A0B19">
              <w:rPr>
                <w:rFonts w:eastAsia="Calibri"/>
                <w:bdr w:val="none" w:sz="0" w:space="0" w:color="auto"/>
                <w:lang w:val="lt-LT"/>
              </w:rPr>
              <w:t>koronaviruso</w:t>
            </w:r>
            <w:proofErr w:type="spellEnd"/>
            <w:r w:rsidR="002A0B19" w:rsidRPr="002A0B19">
              <w:rPr>
                <w:rFonts w:eastAsia="Calibri"/>
                <w:bdr w:val="none" w:sz="0" w:space="0" w:color="auto"/>
                <w:lang w:val="lt-LT"/>
              </w:rPr>
              <w:t xml:space="preserve"> (COVID-19) pandemijos paveiktoms Europos Sąjungos </w:t>
            </w:r>
            <w:r w:rsidR="00E949DE">
              <w:rPr>
                <w:rFonts w:eastAsia="Calibri"/>
                <w:bdr w:val="none" w:sz="0" w:space="0" w:color="auto"/>
                <w:lang w:val="lt-LT"/>
              </w:rPr>
              <w:t>VN</w:t>
            </w:r>
            <w:r w:rsidR="002A0B19" w:rsidRPr="002A0B19">
              <w:rPr>
                <w:rFonts w:eastAsia="Calibri"/>
                <w:bdr w:val="none" w:sz="0" w:space="0" w:color="auto"/>
                <w:lang w:val="lt-LT"/>
              </w:rPr>
              <w:t xml:space="preserve"> suteikiama parama patyrus staigų viešųjų išlaidų, skirtų užimtumui išsaugoti, padidėjimą (toliau – SURE) įgyvendinimą. Pagal SURE Reglamentą, tokios ataskaitos bus s</w:t>
            </w:r>
            <w:r w:rsidR="00E949DE">
              <w:rPr>
                <w:rFonts w:eastAsia="Calibri"/>
                <w:bdr w:val="none" w:sz="0" w:space="0" w:color="auto"/>
                <w:lang w:val="lt-LT"/>
              </w:rPr>
              <w:t xml:space="preserve">kelbiamos du kartus per metus. </w:t>
            </w:r>
          </w:p>
          <w:p w:rsidR="002A0B19" w:rsidRPr="002A0B19" w:rsidRDefault="002A0B19" w:rsidP="002A0B1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2A0B19">
              <w:rPr>
                <w:rFonts w:eastAsia="Calibri"/>
                <w:bdr w:val="none" w:sz="0" w:space="0" w:color="auto"/>
                <w:lang w:val="lt-LT"/>
              </w:rPr>
              <w:t>Tarybos reglament</w:t>
            </w:r>
            <w:r w:rsidR="00E949DE">
              <w:rPr>
                <w:rFonts w:eastAsia="Calibri"/>
                <w:bdr w:val="none" w:sz="0" w:space="0" w:color="auto"/>
                <w:lang w:val="lt-LT"/>
              </w:rPr>
              <w:t>as, kuriuo</w:t>
            </w:r>
            <w:r w:rsidRPr="002A0B19">
              <w:rPr>
                <w:rFonts w:eastAsia="Calibri"/>
                <w:bdr w:val="none" w:sz="0" w:space="0" w:color="auto"/>
                <w:lang w:val="lt-LT"/>
              </w:rPr>
              <w:t xml:space="preserve"> sukurta SURE kaip laikina finansinė 100 mlrd. EUR apimties priemonė, priimtas 2020 m. gegužės 19 d. Ja siekiama paremti VN joms suteikiant paskolas u</w:t>
            </w:r>
            <w:r w:rsidRPr="002A0B19">
              <w:rPr>
                <w:rFonts w:eastAsia="Calibri"/>
                <w:bdr w:val="none" w:sz="0" w:space="0" w:color="auto"/>
                <w:lang w:val="lt-LT"/>
              </w:rPr>
              <w:t>ž</w:t>
            </w:r>
            <w:r w:rsidRPr="002A0B19">
              <w:rPr>
                <w:rFonts w:eastAsia="Calibri"/>
                <w:bdr w:val="none" w:sz="0" w:space="0" w:color="auto"/>
                <w:lang w:val="lt-LT"/>
              </w:rPr>
              <w:t>imtumo palaikymo priemonių finansavimui bei išlaidoms, susijusioms su asmeninės apsaugos priemonėmis, apsaugančiomis darbuotojus ir savarankiškai dir</w:t>
            </w:r>
            <w:r w:rsidR="00E949DE">
              <w:rPr>
                <w:rFonts w:eastAsia="Calibri"/>
                <w:bdr w:val="none" w:sz="0" w:space="0" w:color="auto"/>
                <w:lang w:val="lt-LT"/>
              </w:rPr>
              <w:t xml:space="preserve">bančius asmenis darbo vietose. </w:t>
            </w:r>
          </w:p>
          <w:p w:rsidR="002A0B19" w:rsidRPr="002A0B19" w:rsidRDefault="002A0B19" w:rsidP="002A0B1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2A0B19">
              <w:rPr>
                <w:rFonts w:eastAsia="Calibri"/>
                <w:bdr w:val="none" w:sz="0" w:space="0" w:color="auto"/>
                <w:lang w:val="lt-LT"/>
              </w:rPr>
              <w:t>Ataskaitoje pažymima, kad paklausa iš VN šiai priemonei buvo stipri, iki šiol 19 šalių yra p</w:t>
            </w:r>
            <w:r w:rsidRPr="002A0B19">
              <w:rPr>
                <w:rFonts w:eastAsia="Calibri"/>
                <w:bdr w:val="none" w:sz="0" w:space="0" w:color="auto"/>
                <w:lang w:val="lt-LT"/>
              </w:rPr>
              <w:t>a</w:t>
            </w:r>
            <w:r w:rsidRPr="002A0B19">
              <w:rPr>
                <w:rFonts w:eastAsia="Calibri"/>
                <w:bdr w:val="none" w:sz="0" w:space="0" w:color="auto"/>
                <w:lang w:val="lt-LT"/>
              </w:rPr>
              <w:t xml:space="preserve">skirstyta  daugiau nei 94% visos instrumento apimties (100 mlrd. EUR). </w:t>
            </w:r>
          </w:p>
          <w:p w:rsidR="002A0B19" w:rsidRPr="002A0B19" w:rsidRDefault="002A0B19" w:rsidP="002A0B1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2A0B19">
              <w:rPr>
                <w:rFonts w:eastAsia="Calibri"/>
                <w:bdr w:val="none" w:sz="0" w:space="0" w:color="auto"/>
                <w:lang w:val="lt-LT"/>
              </w:rPr>
              <w:t xml:space="preserve">Šešios VN, kurios jau naudojasi SURE (Belgija, Kipras, Graikija, </w:t>
            </w:r>
            <w:r w:rsidRPr="002A0B19">
              <w:rPr>
                <w:rFonts w:eastAsia="Calibri"/>
                <w:b/>
                <w:bdr w:val="none" w:sz="0" w:space="0" w:color="auto"/>
                <w:lang w:val="lt-LT"/>
              </w:rPr>
              <w:t>Lietuva</w:t>
            </w:r>
            <w:r w:rsidRPr="002A0B19">
              <w:rPr>
                <w:rFonts w:eastAsia="Calibri"/>
                <w:bdr w:val="none" w:sz="0" w:space="0" w:color="auto"/>
                <w:lang w:val="lt-LT"/>
              </w:rPr>
              <w:t xml:space="preserve">, Latvija ir Malta), 2021 m. kovo </w:t>
            </w:r>
            <w:r w:rsidR="00E949DE">
              <w:rPr>
                <w:rFonts w:eastAsia="Calibri"/>
                <w:bdr w:val="none" w:sz="0" w:space="0" w:color="auto"/>
                <w:lang w:val="lt-LT"/>
              </w:rPr>
              <w:t xml:space="preserve">mėn. </w:t>
            </w:r>
            <w:r w:rsidRPr="002A0B19">
              <w:rPr>
                <w:rFonts w:eastAsia="Calibri"/>
                <w:bdr w:val="none" w:sz="0" w:space="0" w:color="auto"/>
                <w:lang w:val="lt-LT"/>
              </w:rPr>
              <w:t xml:space="preserve">pateikė </w:t>
            </w:r>
            <w:r w:rsidR="00E949DE">
              <w:rPr>
                <w:rFonts w:eastAsia="Calibri"/>
                <w:bdr w:val="none" w:sz="0" w:space="0" w:color="auto"/>
                <w:lang w:val="lt-LT"/>
              </w:rPr>
              <w:t>prašymus dėl papildomų paskolų suteikimo</w:t>
            </w:r>
            <w:r w:rsidRPr="002A0B19">
              <w:rPr>
                <w:rFonts w:eastAsia="Calibri"/>
                <w:bdr w:val="none" w:sz="0" w:space="0" w:color="auto"/>
                <w:lang w:val="lt-LT"/>
              </w:rPr>
              <w:t>.</w:t>
            </w:r>
            <w:r>
              <w:rPr>
                <w:rFonts w:eastAsia="Calibri"/>
                <w:bdr w:val="none" w:sz="0" w:space="0" w:color="auto"/>
                <w:lang w:val="lt-LT"/>
              </w:rPr>
              <w:t xml:space="preserve"> </w:t>
            </w:r>
            <w:r w:rsidRPr="002A0B19">
              <w:rPr>
                <w:rFonts w:eastAsia="Calibri"/>
                <w:bdr w:val="none" w:sz="0" w:space="0" w:color="auto"/>
                <w:lang w:val="lt-LT"/>
              </w:rPr>
              <w:t xml:space="preserve">Iki šiol yra išmokėta 62,5 mlrd. EUR paskolų. </w:t>
            </w:r>
          </w:p>
          <w:p w:rsidR="002A0B19" w:rsidRPr="002A0B19" w:rsidRDefault="002A0B19" w:rsidP="00E949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Pr>
                <w:rFonts w:eastAsia="Calibri"/>
                <w:bdr w:val="none" w:sz="0" w:space="0" w:color="auto"/>
                <w:lang w:val="lt-LT"/>
              </w:rPr>
              <w:t>Lietuvai pagal šią priemonę iš viso suteikta 959,5 mln. EUR paskolų.</w:t>
            </w:r>
          </w:p>
          <w:p w:rsidR="002A0B19" w:rsidRPr="002A0B19" w:rsidRDefault="002A0B19" w:rsidP="00E949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2A0B19">
              <w:rPr>
                <w:rFonts w:eastAsia="Calibri"/>
                <w:bdr w:val="none" w:sz="0" w:space="0" w:color="auto"/>
                <w:lang w:val="lt-LT"/>
              </w:rPr>
              <w:t>Iš esmės ataskaitoje pateiktas teigiamas SURE panaudojimo per 2020 m. vertinimas:</w:t>
            </w:r>
          </w:p>
          <w:p w:rsidR="002A0B19" w:rsidRPr="002A0B19" w:rsidRDefault="002A0B19" w:rsidP="00E949D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8" w:hanging="142"/>
              <w:contextualSpacing/>
              <w:jc w:val="both"/>
              <w:rPr>
                <w:rFonts w:eastAsia="Calibri"/>
                <w:bdr w:val="none" w:sz="0" w:space="0" w:color="auto"/>
                <w:lang w:val="lt-LT"/>
              </w:rPr>
            </w:pPr>
            <w:r w:rsidRPr="002A0B19">
              <w:rPr>
                <w:rFonts w:eastAsia="Calibri"/>
                <w:bdr w:val="none" w:sz="0" w:space="0" w:color="auto"/>
                <w:lang w:val="lt-LT"/>
              </w:rPr>
              <w:t xml:space="preserve">apie 31 mln. žmonių ir 2,5 mln. įmonių gavo SURE paramą; </w:t>
            </w:r>
          </w:p>
          <w:p w:rsidR="002A0B19" w:rsidRPr="002A0B19" w:rsidRDefault="002A0B19" w:rsidP="00E949D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8" w:hanging="142"/>
              <w:contextualSpacing/>
              <w:jc w:val="both"/>
              <w:rPr>
                <w:rFonts w:eastAsia="Calibri"/>
                <w:bdr w:val="none" w:sz="0" w:space="0" w:color="auto"/>
                <w:lang w:val="lt-LT"/>
              </w:rPr>
            </w:pPr>
            <w:r w:rsidRPr="002A0B19">
              <w:rPr>
                <w:rFonts w:eastAsia="Calibri"/>
                <w:bdr w:val="none" w:sz="0" w:space="0" w:color="auto"/>
                <w:lang w:val="lt-LT"/>
              </w:rPr>
              <w:t xml:space="preserve">SURE remiamos nacionalinės darbo rinkos priemonės sumažino nedarbą 1,5 mln. žmonių; </w:t>
            </w:r>
          </w:p>
          <w:p w:rsidR="002A0B19" w:rsidRPr="002A0B19" w:rsidRDefault="002A0B19" w:rsidP="00E949D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8" w:hanging="142"/>
              <w:contextualSpacing/>
              <w:jc w:val="both"/>
              <w:rPr>
                <w:rFonts w:eastAsia="Calibri"/>
                <w:bdr w:val="none" w:sz="0" w:space="0" w:color="auto"/>
                <w:lang w:val="lt-LT"/>
              </w:rPr>
            </w:pPr>
            <w:r w:rsidRPr="002A0B19">
              <w:rPr>
                <w:rFonts w:eastAsia="Calibri"/>
                <w:bdr w:val="none" w:sz="0" w:space="0" w:color="auto"/>
                <w:lang w:val="lt-LT"/>
              </w:rPr>
              <w:lastRenderedPageBreak/>
              <w:t xml:space="preserve">daugiau nei pusę SURE finansinės paramos valstybės narės skyrė remti trumpalaikio </w:t>
            </w:r>
            <w:r w:rsidR="00185FD2">
              <w:rPr>
                <w:rFonts w:eastAsia="Calibri"/>
                <w:bdr w:val="none" w:sz="0" w:space="0" w:color="auto"/>
                <w:lang w:val="lt-LT"/>
              </w:rPr>
              <w:t>ne</w:t>
            </w:r>
            <w:r w:rsidRPr="002A0B19">
              <w:rPr>
                <w:rFonts w:eastAsia="Calibri"/>
                <w:bdr w:val="none" w:sz="0" w:space="0" w:color="auto"/>
                <w:lang w:val="lt-LT"/>
              </w:rPr>
              <w:t>darbo schemas ir daugiau nei 40 proc. remti panašias priemones, įskaitant  trečdalį – skirta sav</w:t>
            </w:r>
            <w:r w:rsidRPr="002A0B19">
              <w:rPr>
                <w:rFonts w:eastAsia="Calibri"/>
                <w:bdr w:val="none" w:sz="0" w:space="0" w:color="auto"/>
                <w:lang w:val="lt-LT"/>
              </w:rPr>
              <w:t>a</w:t>
            </w:r>
            <w:r w:rsidRPr="002A0B19">
              <w:rPr>
                <w:rFonts w:eastAsia="Calibri"/>
                <w:bdr w:val="none" w:sz="0" w:space="0" w:color="auto"/>
                <w:lang w:val="lt-LT"/>
              </w:rPr>
              <w:t>rankiškai dirbantiems asmenims, 5 proc. – sveikatos priežiūros priemonėms finansuoti;</w:t>
            </w:r>
          </w:p>
          <w:p w:rsidR="002A0B19" w:rsidRPr="002A0B19" w:rsidRDefault="002A0B19" w:rsidP="00E949D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8" w:hanging="142"/>
              <w:contextualSpacing/>
              <w:jc w:val="both"/>
              <w:rPr>
                <w:rFonts w:eastAsia="Calibri"/>
                <w:bdr w:val="none" w:sz="0" w:space="0" w:color="auto"/>
                <w:lang w:val="lt-LT"/>
              </w:rPr>
            </w:pPr>
            <w:r w:rsidRPr="002A0B19">
              <w:rPr>
                <w:rFonts w:eastAsia="Calibri"/>
                <w:bdr w:val="none" w:sz="0" w:space="0" w:color="auto"/>
                <w:lang w:val="lt-LT"/>
              </w:rPr>
              <w:t>finansinė pagalba per SURE taip pat sutaupė daug biudžeto lėšų – apie 8,2 mlrd. EUR pal</w:t>
            </w:r>
            <w:r w:rsidRPr="002A0B19">
              <w:rPr>
                <w:rFonts w:eastAsia="Calibri"/>
                <w:bdr w:val="none" w:sz="0" w:space="0" w:color="auto"/>
                <w:lang w:val="lt-LT"/>
              </w:rPr>
              <w:t>ū</w:t>
            </w:r>
            <w:r w:rsidRPr="002A0B19">
              <w:rPr>
                <w:rFonts w:eastAsia="Calibri"/>
                <w:bdr w:val="none" w:sz="0" w:space="0" w:color="auto"/>
                <w:lang w:val="lt-LT"/>
              </w:rPr>
              <w:t xml:space="preserve">kanų. </w:t>
            </w:r>
          </w:p>
          <w:p w:rsidR="004D0CA6" w:rsidRPr="002A0B19" w:rsidRDefault="002A0B19" w:rsidP="00E949D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18" w:hanging="142"/>
              <w:contextualSpacing/>
              <w:jc w:val="both"/>
              <w:rPr>
                <w:rFonts w:eastAsia="Calibri"/>
                <w:bdr w:val="none" w:sz="0" w:space="0" w:color="auto"/>
                <w:lang w:val="lt-LT"/>
              </w:rPr>
            </w:pPr>
            <w:r w:rsidRPr="002A0B19">
              <w:rPr>
                <w:rFonts w:eastAsia="Calibri"/>
                <w:bdr w:val="none" w:sz="0" w:space="0" w:color="auto"/>
                <w:lang w:val="lt-LT"/>
              </w:rPr>
              <w:t>iki 2022 m. pabaigos dar galima gauti beveik 6 mlrd. EUR SURE paramos, kuri galėtų būti panaudota toliau sprendžiant kilusius didelius ekonominius sutrikimus dėl COVID-19 p</w:t>
            </w:r>
            <w:r w:rsidRPr="002A0B19">
              <w:rPr>
                <w:rFonts w:eastAsia="Calibri"/>
                <w:bdr w:val="none" w:sz="0" w:space="0" w:color="auto"/>
                <w:lang w:val="lt-LT"/>
              </w:rPr>
              <w:t>a</w:t>
            </w:r>
            <w:r w:rsidRPr="002A0B19">
              <w:rPr>
                <w:rFonts w:eastAsia="Calibri"/>
                <w:bdr w:val="none" w:sz="0" w:space="0" w:color="auto"/>
                <w:lang w:val="lt-LT"/>
              </w:rPr>
              <w:t>ndemijos.</w:t>
            </w:r>
          </w:p>
          <w:p w:rsidR="004D0CA6" w:rsidRDefault="004D0CA6" w:rsidP="00FD429F">
            <w:pPr>
              <w:pStyle w:val="BodyA"/>
              <w:jc w:val="both"/>
              <w:rPr>
                <w:rFonts w:hAnsi="Times New Roman" w:cs="Times New Roman"/>
                <w:lang w:val="lt-LT"/>
              </w:rPr>
            </w:pPr>
            <w:r w:rsidRPr="004D0CA6">
              <w:rPr>
                <w:rFonts w:hAnsi="Times New Roman" w:cs="Times New Roman"/>
                <w:b/>
                <w:u w:val="single"/>
                <w:lang w:val="lt-LT"/>
              </w:rPr>
              <w:t>Lietuvos pozicija</w:t>
            </w:r>
            <w:r w:rsidRPr="002A0B19">
              <w:rPr>
                <w:rFonts w:hAnsi="Times New Roman" w:cs="Times New Roman"/>
                <w:b/>
                <w:u w:val="single"/>
                <w:lang w:val="lt-LT"/>
              </w:rPr>
              <w:t>.</w:t>
            </w:r>
            <w:r w:rsidRPr="002A0B19">
              <w:rPr>
                <w:rFonts w:hAnsi="Times New Roman" w:cs="Times New Roman"/>
              </w:rPr>
              <w:t xml:space="preserve"> </w:t>
            </w:r>
            <w:proofErr w:type="spellStart"/>
            <w:r w:rsidR="002A0B19" w:rsidRPr="002A0B19">
              <w:rPr>
                <w:rFonts w:hAnsi="Times New Roman" w:cs="Times New Roman"/>
              </w:rPr>
              <w:t>Išklausyti</w:t>
            </w:r>
            <w:proofErr w:type="spellEnd"/>
            <w:r w:rsidR="002A0B19" w:rsidRPr="002A0B19">
              <w:rPr>
                <w:rFonts w:hAnsi="Times New Roman" w:cs="Times New Roman"/>
              </w:rPr>
              <w:t xml:space="preserve"> </w:t>
            </w:r>
            <w:proofErr w:type="spellStart"/>
            <w:r w:rsidR="002A0B19" w:rsidRPr="002A0B19">
              <w:rPr>
                <w:rFonts w:hAnsi="Times New Roman" w:cs="Times New Roman"/>
              </w:rPr>
              <w:t>informaciją</w:t>
            </w:r>
            <w:proofErr w:type="spellEnd"/>
            <w:r w:rsidR="002A0B19" w:rsidRPr="002A0B19">
              <w:rPr>
                <w:rFonts w:hAnsi="Times New Roman" w:cs="Times New Roman"/>
              </w:rPr>
              <w:t>.</w:t>
            </w:r>
          </w:p>
          <w:p w:rsidR="008D674A" w:rsidRPr="00FD429F" w:rsidRDefault="008D674A" w:rsidP="00FD429F">
            <w:pPr>
              <w:pStyle w:val="BodyA"/>
              <w:jc w:val="both"/>
              <w:rPr>
                <w:rFonts w:hAnsi="Times New Roman" w:cs="Times New Roman"/>
                <w:b/>
                <w:u w:val="single"/>
                <w:lang w:val="lt-LT"/>
              </w:rPr>
            </w:pPr>
          </w:p>
          <w:p w:rsidR="007F5B19" w:rsidRPr="007F5B19" w:rsidRDefault="008D674A" w:rsidP="007F5B19">
            <w:pPr>
              <w:pStyle w:val="BodyA"/>
              <w:jc w:val="both"/>
              <w:rPr>
                <w:rFonts w:hAnsi="Times New Roman" w:cs="Times New Roman"/>
                <w:b/>
                <w:lang w:val="lt-LT"/>
              </w:rPr>
            </w:pPr>
            <w:r w:rsidRPr="00DF5114">
              <w:rPr>
                <w:rFonts w:hAnsi="Times New Roman" w:cs="Times New Roman"/>
                <w:b/>
                <w:lang w:val="lt-LT"/>
              </w:rPr>
              <w:t>5</w:t>
            </w:r>
            <w:r w:rsidR="001E5D73" w:rsidRPr="00DF5114">
              <w:rPr>
                <w:rFonts w:hAnsi="Times New Roman" w:cs="Times New Roman"/>
                <w:b/>
                <w:lang w:val="lt-LT"/>
              </w:rPr>
              <w:t>.</w:t>
            </w:r>
            <w:r w:rsidR="00E91FEC" w:rsidRPr="00DF5114">
              <w:rPr>
                <w:rFonts w:hAnsi="Times New Roman" w:cs="Times New Roman"/>
                <w:b/>
                <w:lang w:val="lt-LT"/>
              </w:rPr>
              <w:t xml:space="preserve"> </w:t>
            </w:r>
            <w:r w:rsidR="007F5B19" w:rsidRPr="007F5B19">
              <w:rPr>
                <w:rFonts w:hAnsi="Times New Roman" w:cs="Times New Roman"/>
                <w:b/>
                <w:lang w:val="lt-LT"/>
              </w:rPr>
              <w:t>Pasirengimas G 20 finansų ministrų ir centrinių bankų</w:t>
            </w:r>
            <w:r w:rsidR="007F5B19">
              <w:rPr>
                <w:rFonts w:hAnsi="Times New Roman" w:cs="Times New Roman"/>
                <w:b/>
                <w:lang w:val="lt-LT"/>
              </w:rPr>
              <w:t xml:space="preserve"> valdytojų </w:t>
            </w:r>
            <w:r w:rsidR="007F5B19" w:rsidRPr="007F5B19">
              <w:rPr>
                <w:rFonts w:hAnsi="Times New Roman" w:cs="Times New Roman"/>
                <w:b/>
                <w:lang w:val="lt-LT"/>
              </w:rPr>
              <w:t>susitikimui ir TVF metiniams susitikimams (2021 m. spalio 12–14 d.)</w:t>
            </w:r>
          </w:p>
          <w:p w:rsidR="007F5B19" w:rsidRPr="007F5B19" w:rsidRDefault="007F5B19" w:rsidP="007F5B19">
            <w:pPr>
              <w:pStyle w:val="BodyA"/>
              <w:jc w:val="both"/>
              <w:rPr>
                <w:rFonts w:hAnsi="Times New Roman" w:cs="Times New Roman"/>
                <w:b/>
                <w:lang w:val="lt-LT"/>
              </w:rPr>
            </w:pPr>
            <w:r w:rsidRPr="007F5B19">
              <w:rPr>
                <w:rFonts w:hAnsi="Times New Roman" w:cs="Times New Roman"/>
                <w:b/>
                <w:lang w:val="lt-LT"/>
              </w:rPr>
              <w:t>a) ES įgaliojimai G 20 susitikimui</w:t>
            </w:r>
          </w:p>
          <w:p w:rsidR="007F5B19" w:rsidRPr="007F5B19" w:rsidRDefault="007F5B19" w:rsidP="007F5B19">
            <w:pPr>
              <w:pStyle w:val="BodyA"/>
              <w:jc w:val="both"/>
              <w:rPr>
                <w:rFonts w:hAnsi="Times New Roman" w:cs="Times New Roman"/>
                <w:b/>
                <w:lang w:val="lt-LT"/>
              </w:rPr>
            </w:pPr>
            <w:r w:rsidRPr="007F5B19">
              <w:rPr>
                <w:rFonts w:hAnsi="Times New Roman" w:cs="Times New Roman"/>
                <w:b/>
                <w:lang w:val="lt-LT"/>
              </w:rPr>
              <w:t>b) Pareiškimas Tarptautiniam pinigų ir finansų komitetui</w:t>
            </w:r>
          </w:p>
          <w:p w:rsidR="0098163A" w:rsidRPr="007F5B19" w:rsidRDefault="007F5B19" w:rsidP="007F5B19">
            <w:pPr>
              <w:pStyle w:val="BodyA"/>
              <w:jc w:val="both"/>
              <w:rPr>
                <w:rFonts w:hAnsi="Times New Roman" w:cs="Times New Roman"/>
                <w:i/>
                <w:lang w:val="lt-LT"/>
              </w:rPr>
            </w:pPr>
            <w:r w:rsidRPr="007F5B19">
              <w:rPr>
                <w:rFonts w:hAnsi="Times New Roman" w:cs="Times New Roman"/>
                <w:i/>
                <w:lang w:val="lt-LT"/>
              </w:rPr>
              <w:t>(Tvirtinimas)</w:t>
            </w:r>
          </w:p>
          <w:p w:rsidR="009A0353" w:rsidRPr="009A0353" w:rsidRDefault="0098163A" w:rsidP="009A0353">
            <w:pPr>
              <w:pStyle w:val="BodyA"/>
              <w:jc w:val="both"/>
              <w:rPr>
                <w:rFonts w:hAnsi="Times New Roman" w:cs="Times New Roman"/>
                <w:lang w:val="lt-LT"/>
              </w:rPr>
            </w:pPr>
            <w:r w:rsidRPr="00DF5114">
              <w:rPr>
                <w:rFonts w:hAnsi="Times New Roman" w:cs="Times New Roman"/>
                <w:b/>
                <w:u w:val="single"/>
                <w:lang w:val="lt-LT"/>
              </w:rPr>
              <w:t>Klausimo esmė.</w:t>
            </w:r>
            <w:r w:rsidRPr="00DF5114">
              <w:rPr>
                <w:rFonts w:hAnsi="Times New Roman" w:cs="Times New Roman"/>
                <w:lang w:val="lt-LT"/>
              </w:rPr>
              <w:t xml:space="preserve"> </w:t>
            </w:r>
            <w:r w:rsidR="009A0353" w:rsidRPr="009A0353">
              <w:rPr>
                <w:rFonts w:hAnsi="Times New Roman" w:cs="Times New Roman"/>
                <w:lang w:val="lt-LT"/>
              </w:rPr>
              <w:t>Š. m. spalio 5 d. ECOFIN tarybos posėdžio metu bus siūloma patvirtinti Sl</w:t>
            </w:r>
            <w:r w:rsidR="009A0353" w:rsidRPr="009A0353">
              <w:rPr>
                <w:rFonts w:hAnsi="Times New Roman" w:cs="Times New Roman"/>
                <w:lang w:val="lt-LT"/>
              </w:rPr>
              <w:t>o</w:t>
            </w:r>
            <w:r w:rsidR="009A0353" w:rsidRPr="009A0353">
              <w:rPr>
                <w:rFonts w:hAnsi="Times New Roman" w:cs="Times New Roman"/>
                <w:lang w:val="lt-LT"/>
              </w:rPr>
              <w:t xml:space="preserve">vėnijos finansų ministro </w:t>
            </w:r>
            <w:proofErr w:type="spellStart"/>
            <w:r w:rsidR="009A0353" w:rsidRPr="009A0353">
              <w:rPr>
                <w:rFonts w:hAnsi="Times New Roman" w:cs="Times New Roman"/>
                <w:lang w:val="lt-LT"/>
              </w:rPr>
              <w:t>Andrej</w:t>
            </w:r>
            <w:proofErr w:type="spellEnd"/>
            <w:r w:rsidR="009A0353" w:rsidRPr="009A0353">
              <w:rPr>
                <w:rFonts w:hAnsi="Times New Roman" w:cs="Times New Roman"/>
                <w:lang w:val="lt-LT"/>
              </w:rPr>
              <w:t xml:space="preserve"> </w:t>
            </w:r>
            <w:proofErr w:type="spellStart"/>
            <w:r w:rsidR="009A0353" w:rsidRPr="009A0353">
              <w:rPr>
                <w:rFonts w:hAnsi="Times New Roman" w:cs="Times New Roman"/>
                <w:lang w:val="lt-LT"/>
              </w:rPr>
              <w:t>Šircelj</w:t>
            </w:r>
            <w:proofErr w:type="spellEnd"/>
            <w:r w:rsidR="009A0353" w:rsidRPr="009A0353">
              <w:rPr>
                <w:rFonts w:hAnsi="Times New Roman" w:cs="Times New Roman"/>
                <w:lang w:val="lt-LT"/>
              </w:rPr>
              <w:t xml:space="preserve"> pareiškimą Tarptautinio pinigų ir finansų komiteto (angl. </w:t>
            </w:r>
            <w:proofErr w:type="spellStart"/>
            <w:r w:rsidR="009A0353" w:rsidRPr="002446DC">
              <w:rPr>
                <w:rFonts w:hAnsi="Times New Roman" w:cs="Times New Roman"/>
                <w:i/>
                <w:lang w:val="lt-LT"/>
              </w:rPr>
              <w:t>International</w:t>
            </w:r>
            <w:proofErr w:type="spellEnd"/>
            <w:r w:rsidR="009A0353" w:rsidRPr="002446DC">
              <w:rPr>
                <w:rFonts w:hAnsi="Times New Roman" w:cs="Times New Roman"/>
                <w:i/>
                <w:lang w:val="lt-LT"/>
              </w:rPr>
              <w:t xml:space="preserve"> </w:t>
            </w:r>
            <w:proofErr w:type="spellStart"/>
            <w:r w:rsidR="009A0353" w:rsidRPr="002446DC">
              <w:rPr>
                <w:rFonts w:hAnsi="Times New Roman" w:cs="Times New Roman"/>
                <w:i/>
                <w:lang w:val="lt-LT"/>
              </w:rPr>
              <w:t>Monetary</w:t>
            </w:r>
            <w:proofErr w:type="spellEnd"/>
            <w:r w:rsidR="009A0353" w:rsidRPr="002446DC">
              <w:rPr>
                <w:rFonts w:hAnsi="Times New Roman" w:cs="Times New Roman"/>
                <w:i/>
                <w:lang w:val="lt-LT"/>
              </w:rPr>
              <w:t xml:space="preserve"> </w:t>
            </w:r>
            <w:proofErr w:type="spellStart"/>
            <w:r w:rsidR="009A0353" w:rsidRPr="002446DC">
              <w:rPr>
                <w:rFonts w:hAnsi="Times New Roman" w:cs="Times New Roman"/>
                <w:i/>
                <w:lang w:val="lt-LT"/>
              </w:rPr>
              <w:t>and</w:t>
            </w:r>
            <w:proofErr w:type="spellEnd"/>
            <w:r w:rsidR="009A0353" w:rsidRPr="002446DC">
              <w:rPr>
                <w:rFonts w:hAnsi="Times New Roman" w:cs="Times New Roman"/>
                <w:i/>
                <w:lang w:val="lt-LT"/>
              </w:rPr>
              <w:t xml:space="preserve"> </w:t>
            </w:r>
            <w:proofErr w:type="spellStart"/>
            <w:r w:rsidR="009A0353" w:rsidRPr="002446DC">
              <w:rPr>
                <w:rFonts w:hAnsi="Times New Roman" w:cs="Times New Roman"/>
                <w:i/>
                <w:lang w:val="lt-LT"/>
              </w:rPr>
              <w:t>Finance</w:t>
            </w:r>
            <w:proofErr w:type="spellEnd"/>
            <w:r w:rsidR="009A0353" w:rsidRPr="002446DC">
              <w:rPr>
                <w:rFonts w:hAnsi="Times New Roman" w:cs="Times New Roman"/>
                <w:i/>
                <w:lang w:val="lt-LT"/>
              </w:rPr>
              <w:t xml:space="preserve"> </w:t>
            </w:r>
            <w:proofErr w:type="spellStart"/>
            <w:r w:rsidR="009A0353" w:rsidRPr="002446DC">
              <w:rPr>
                <w:rFonts w:hAnsi="Times New Roman" w:cs="Times New Roman"/>
                <w:i/>
                <w:lang w:val="lt-LT"/>
              </w:rPr>
              <w:t>Committee</w:t>
            </w:r>
            <w:proofErr w:type="spellEnd"/>
            <w:r w:rsidR="009A0353" w:rsidRPr="009A0353">
              <w:rPr>
                <w:rFonts w:hAnsi="Times New Roman" w:cs="Times New Roman"/>
                <w:lang w:val="lt-LT"/>
              </w:rPr>
              <w:t>, toliau – IMFC) posėdžiui ir E</w:t>
            </w:r>
            <w:r w:rsidR="009A0353">
              <w:rPr>
                <w:rFonts w:hAnsi="Times New Roman" w:cs="Times New Roman"/>
                <w:lang w:val="lt-LT"/>
              </w:rPr>
              <w:t xml:space="preserve">S įgaliojimus G20 susitikimui. </w:t>
            </w:r>
          </w:p>
          <w:p w:rsidR="009A0353" w:rsidRPr="009A0353" w:rsidRDefault="009A0353" w:rsidP="009A0353">
            <w:pPr>
              <w:pStyle w:val="BodyA"/>
              <w:jc w:val="both"/>
              <w:rPr>
                <w:rFonts w:hAnsi="Times New Roman" w:cs="Times New Roman"/>
                <w:u w:val="single"/>
                <w:lang w:val="lt-LT"/>
              </w:rPr>
            </w:pPr>
            <w:r w:rsidRPr="009A0353">
              <w:rPr>
                <w:rFonts w:hAnsi="Times New Roman" w:cs="Times New Roman"/>
                <w:u w:val="single"/>
                <w:lang w:val="lt-LT"/>
              </w:rPr>
              <w:t>Pagrindiniai ES įgaliojimų G20 susitikimui aspektai:</w:t>
            </w:r>
          </w:p>
          <w:p w:rsidR="009A0353" w:rsidRPr="009A0353" w:rsidRDefault="009A0353" w:rsidP="009A0353">
            <w:pPr>
              <w:pStyle w:val="BodyA"/>
              <w:jc w:val="both"/>
              <w:rPr>
                <w:rFonts w:hAnsi="Times New Roman" w:cs="Times New Roman"/>
                <w:lang w:val="lt-LT"/>
              </w:rPr>
            </w:pPr>
            <w:r>
              <w:rPr>
                <w:rFonts w:hAnsi="Times New Roman" w:cs="Times New Roman"/>
                <w:lang w:val="lt-LT"/>
              </w:rPr>
              <w:t>- A</w:t>
            </w:r>
            <w:r w:rsidRPr="009A0353">
              <w:rPr>
                <w:rFonts w:hAnsi="Times New Roman" w:cs="Times New Roman"/>
                <w:lang w:val="lt-LT"/>
              </w:rPr>
              <w:t>ptariama pasaulio ekonomikos situacija, pabrėžiama vakcinų prieinamumo svarba ir remi</w:t>
            </w:r>
            <w:r w:rsidRPr="009A0353">
              <w:rPr>
                <w:rFonts w:hAnsi="Times New Roman" w:cs="Times New Roman"/>
                <w:lang w:val="lt-LT"/>
              </w:rPr>
              <w:t>a</w:t>
            </w:r>
            <w:r w:rsidRPr="009A0353">
              <w:rPr>
                <w:rFonts w:hAnsi="Times New Roman" w:cs="Times New Roman"/>
                <w:lang w:val="lt-LT"/>
              </w:rPr>
              <w:t>mas TVF pasiūlytas tikslas iki 2021 m. pasiekti 40 %, o iki 2022 m. vidurio - 60 % bendrą ski</w:t>
            </w:r>
            <w:r w:rsidRPr="009A0353">
              <w:rPr>
                <w:rFonts w:hAnsi="Times New Roman" w:cs="Times New Roman"/>
                <w:lang w:val="lt-LT"/>
              </w:rPr>
              <w:t>e</w:t>
            </w:r>
            <w:r w:rsidRPr="009A0353">
              <w:rPr>
                <w:rFonts w:hAnsi="Times New Roman" w:cs="Times New Roman"/>
                <w:lang w:val="lt-LT"/>
              </w:rPr>
              <w:t>pijimosi lygį. Pažymima, kad fiskalinė parama neturėtų būti nutraukta per anksti, ji turėtų būti lanksti ir tikslinga, fiskalinis tvarumas turėtų būti užtikrinamas vidutiniu laikotarpiu, taip pat pabrėžiama aiškios ir skaidrios centrinių bankų komunikacijos monetarinės politikos klausimu svarba. Akcentuojama vis didėjanti klimato kaitos svarba ir vertinamas TVF darbas šioje srityje.</w:t>
            </w:r>
          </w:p>
          <w:p w:rsidR="009A0353" w:rsidRDefault="009A0353" w:rsidP="009A0353">
            <w:pPr>
              <w:pStyle w:val="BodyA"/>
              <w:jc w:val="both"/>
              <w:rPr>
                <w:rFonts w:hAnsi="Times New Roman" w:cs="Times New Roman"/>
                <w:lang w:val="lt-LT"/>
              </w:rPr>
            </w:pPr>
            <w:r w:rsidRPr="009A0353">
              <w:rPr>
                <w:rFonts w:hAnsi="Times New Roman" w:cs="Times New Roman"/>
                <w:lang w:val="lt-LT"/>
              </w:rPr>
              <w:t xml:space="preserve">- Remiamas G20 ir sukurtos darbo grupės vaidmuo, formuojant pasirengimą </w:t>
            </w:r>
            <w:proofErr w:type="spellStart"/>
            <w:r w:rsidRPr="009A0353">
              <w:rPr>
                <w:rFonts w:hAnsi="Times New Roman" w:cs="Times New Roman"/>
                <w:lang w:val="lt-LT"/>
              </w:rPr>
              <w:t>pandemijoms</w:t>
            </w:r>
            <w:proofErr w:type="spellEnd"/>
            <w:r w:rsidRPr="009A0353">
              <w:rPr>
                <w:rFonts w:hAnsi="Times New Roman" w:cs="Times New Roman"/>
                <w:lang w:val="lt-LT"/>
              </w:rPr>
              <w:t xml:space="preserve">, kuris turėtų būti koordinuojamas su visomis suinteresuotomis šalimis. </w:t>
            </w:r>
          </w:p>
          <w:p w:rsidR="009A0353" w:rsidRPr="009A0353" w:rsidRDefault="009A0353" w:rsidP="009A0353">
            <w:pPr>
              <w:pStyle w:val="BodyA"/>
              <w:jc w:val="both"/>
              <w:rPr>
                <w:rFonts w:hAnsi="Times New Roman" w:cs="Times New Roman"/>
                <w:lang w:val="lt-LT"/>
              </w:rPr>
            </w:pPr>
            <w:r w:rsidRPr="009A0353">
              <w:rPr>
                <w:rFonts w:hAnsi="Times New Roman" w:cs="Times New Roman"/>
                <w:lang w:val="lt-LT"/>
              </w:rPr>
              <w:t>- Skaitmeninio apmokestinimo srityje skatinama išspręsti likusius iššūkius ir iki spalio mėn. p</w:t>
            </w:r>
            <w:r w:rsidRPr="009A0353">
              <w:rPr>
                <w:rFonts w:hAnsi="Times New Roman" w:cs="Times New Roman"/>
                <w:lang w:val="lt-LT"/>
              </w:rPr>
              <w:t>a</w:t>
            </w:r>
            <w:r w:rsidRPr="009A0353">
              <w:rPr>
                <w:rFonts w:hAnsi="Times New Roman" w:cs="Times New Roman"/>
                <w:lang w:val="lt-LT"/>
              </w:rPr>
              <w:t xml:space="preserve">siekti sutarimą, kad būtų mokama teisinga mokesčių dalis. </w:t>
            </w:r>
          </w:p>
          <w:p w:rsidR="009A0353" w:rsidRPr="009A0353" w:rsidRDefault="009A0353" w:rsidP="009A0353">
            <w:pPr>
              <w:pStyle w:val="BodyA"/>
              <w:jc w:val="both"/>
              <w:rPr>
                <w:rFonts w:hAnsi="Times New Roman" w:cs="Times New Roman"/>
                <w:lang w:val="lt-LT"/>
              </w:rPr>
            </w:pPr>
            <w:r w:rsidRPr="009A0353">
              <w:rPr>
                <w:rFonts w:hAnsi="Times New Roman" w:cs="Times New Roman"/>
                <w:lang w:val="lt-LT"/>
              </w:rPr>
              <w:t>- Raginama kurti tarptautinių įmonių ataskaitų teikimo standartus, apimanči</w:t>
            </w:r>
            <w:r>
              <w:rPr>
                <w:rFonts w:hAnsi="Times New Roman" w:cs="Times New Roman"/>
                <w:lang w:val="lt-LT"/>
              </w:rPr>
              <w:t>us ir įvarius tvarumo klausimus</w:t>
            </w:r>
            <w:r w:rsidRPr="009A0353">
              <w:rPr>
                <w:rFonts w:hAnsi="Times New Roman" w:cs="Times New Roman"/>
                <w:lang w:val="lt-LT"/>
              </w:rPr>
              <w:t>.</w:t>
            </w:r>
          </w:p>
          <w:p w:rsidR="009A0353" w:rsidRPr="009A0353" w:rsidRDefault="009A0353" w:rsidP="009A0353">
            <w:pPr>
              <w:pStyle w:val="BodyA"/>
              <w:jc w:val="both"/>
              <w:rPr>
                <w:rFonts w:hAnsi="Times New Roman" w:cs="Times New Roman"/>
                <w:lang w:val="lt-LT"/>
              </w:rPr>
            </w:pPr>
            <w:r w:rsidRPr="009A0353">
              <w:rPr>
                <w:rFonts w:hAnsi="Times New Roman" w:cs="Times New Roman"/>
                <w:lang w:val="lt-LT"/>
              </w:rPr>
              <w:t>- Remiama diskusija dėl mokesčių politikos ir kitų reformų galimybės sprendžiant su klimato kaita susijusius iššūkius. Remiama sisteminga makroekonominės rizikos, kylančios dėl klimato kaitos, ir jos poveikio analizė, kurios pagrindinis tikslas – nustatyti tinkamiausius prisitaikymo būdus, užtikrinančius teisingą ir tvarų perėjimą.</w:t>
            </w:r>
          </w:p>
          <w:p w:rsidR="009A0353" w:rsidRPr="009A0353" w:rsidRDefault="009A0353" w:rsidP="009A0353">
            <w:pPr>
              <w:pStyle w:val="BodyA"/>
              <w:jc w:val="both"/>
              <w:rPr>
                <w:rFonts w:hAnsi="Times New Roman" w:cs="Times New Roman"/>
                <w:lang w:val="lt-LT"/>
              </w:rPr>
            </w:pPr>
            <w:r>
              <w:rPr>
                <w:rFonts w:hAnsi="Times New Roman" w:cs="Times New Roman"/>
                <w:lang w:val="lt-LT"/>
              </w:rPr>
              <w:t>- Remiama pažanga, pasiekta</w:t>
            </w:r>
            <w:r w:rsidRPr="009A0353">
              <w:rPr>
                <w:rFonts w:hAnsi="Times New Roman" w:cs="Times New Roman"/>
                <w:lang w:val="lt-LT"/>
              </w:rPr>
              <w:t xml:space="preserve"> įgyvendinant G20 Paryžiaus klubo </w:t>
            </w:r>
            <w:r w:rsidR="005D3A86" w:rsidRPr="005D3A86">
              <w:rPr>
                <w:rFonts w:hAnsi="Times New Roman" w:cs="Times New Roman"/>
                <w:lang w:val="lt-LT"/>
              </w:rPr>
              <w:t>skolų grąžinimo sustabdymo iniciatyvą (DSSI)</w:t>
            </w:r>
            <w:r w:rsidRPr="009A0353">
              <w:rPr>
                <w:rFonts w:hAnsi="Times New Roman" w:cs="Times New Roman"/>
                <w:lang w:val="lt-LT"/>
              </w:rPr>
              <w:t xml:space="preserve"> ir jos pratęsimą iki 2021 m. pabaigos, pabrėžiama svarba įgyvendinti Bendrąją skolų tvarkymo sistemą. Skatinamas tarptautinių finansinių institucijų darbas dėl skolos skai</w:t>
            </w:r>
            <w:r w:rsidRPr="009A0353">
              <w:rPr>
                <w:rFonts w:hAnsi="Times New Roman" w:cs="Times New Roman"/>
                <w:lang w:val="lt-LT"/>
              </w:rPr>
              <w:t>d</w:t>
            </w:r>
            <w:r w:rsidRPr="009A0353">
              <w:rPr>
                <w:rFonts w:hAnsi="Times New Roman" w:cs="Times New Roman"/>
                <w:lang w:val="lt-LT"/>
              </w:rPr>
              <w:t>rumo principų ir remiamos TVF ir Pasaulio banko pastangos skatinti skolos duomenų suderin</w:t>
            </w:r>
            <w:r w:rsidRPr="009A0353">
              <w:rPr>
                <w:rFonts w:hAnsi="Times New Roman" w:cs="Times New Roman"/>
                <w:lang w:val="lt-LT"/>
              </w:rPr>
              <w:t>i</w:t>
            </w:r>
            <w:r w:rsidRPr="009A0353">
              <w:rPr>
                <w:rFonts w:hAnsi="Times New Roman" w:cs="Times New Roman"/>
                <w:lang w:val="lt-LT"/>
              </w:rPr>
              <w:t>mą ir atskleidimą.</w:t>
            </w:r>
          </w:p>
          <w:p w:rsidR="005D3A86" w:rsidRDefault="00E949DE" w:rsidP="009A0353">
            <w:pPr>
              <w:pStyle w:val="BodyA"/>
              <w:jc w:val="both"/>
              <w:rPr>
                <w:rFonts w:hAnsi="Times New Roman" w:cs="Times New Roman"/>
                <w:lang w:val="lt-LT"/>
              </w:rPr>
            </w:pPr>
            <w:r>
              <w:rPr>
                <w:rFonts w:hAnsi="Times New Roman" w:cs="Times New Roman"/>
                <w:lang w:val="lt-LT"/>
              </w:rPr>
              <w:t>- P</w:t>
            </w:r>
            <w:r w:rsidR="009A0353" w:rsidRPr="009A0353">
              <w:rPr>
                <w:rFonts w:hAnsi="Times New Roman" w:cs="Times New Roman"/>
                <w:lang w:val="lt-LT"/>
              </w:rPr>
              <w:t>alankiai vertinam</w:t>
            </w:r>
            <w:r w:rsidR="005D3A86">
              <w:rPr>
                <w:rFonts w:hAnsi="Times New Roman" w:cs="Times New Roman"/>
                <w:lang w:val="lt-LT"/>
              </w:rPr>
              <w:t xml:space="preserve">as TVF </w:t>
            </w:r>
            <w:r w:rsidR="005D3A86" w:rsidRPr="005D3A86">
              <w:rPr>
                <w:rFonts w:hAnsi="Times New Roman" w:cs="Times New Roman"/>
                <w:lang w:val="lt-LT"/>
              </w:rPr>
              <w:t>Specialiųjų skolinimosi teisių (SDR)</w:t>
            </w:r>
            <w:r w:rsidR="005D3A86">
              <w:rPr>
                <w:rFonts w:hAnsi="Times New Roman" w:cs="Times New Roman"/>
                <w:lang w:val="lt-LT"/>
              </w:rPr>
              <w:t xml:space="preserve"> paskirstymas, valstybės </w:t>
            </w:r>
            <w:r w:rsidR="009A0353" w:rsidRPr="009A0353">
              <w:rPr>
                <w:rFonts w:hAnsi="Times New Roman" w:cs="Times New Roman"/>
                <w:lang w:val="lt-LT"/>
              </w:rPr>
              <w:t>rag</w:t>
            </w:r>
            <w:r w:rsidR="009A0353" w:rsidRPr="009A0353">
              <w:rPr>
                <w:rFonts w:hAnsi="Times New Roman" w:cs="Times New Roman"/>
                <w:lang w:val="lt-LT"/>
              </w:rPr>
              <w:t>i</w:t>
            </w:r>
            <w:r w:rsidR="009A0353" w:rsidRPr="009A0353">
              <w:rPr>
                <w:rFonts w:hAnsi="Times New Roman" w:cs="Times New Roman"/>
                <w:lang w:val="lt-LT"/>
              </w:rPr>
              <w:t xml:space="preserve">namos pasirašyti savanoriškus prekybos SDR susitarimus ir kviečiamos savanoriškai nukreipti dalį paskirtų SDR </w:t>
            </w:r>
            <w:proofErr w:type="spellStart"/>
            <w:r w:rsidR="009A0353" w:rsidRPr="009A0353">
              <w:rPr>
                <w:rFonts w:hAnsi="Times New Roman" w:cs="Times New Roman"/>
                <w:lang w:val="lt-LT"/>
              </w:rPr>
              <w:t>pažeidžiamiausioms</w:t>
            </w:r>
            <w:proofErr w:type="spellEnd"/>
            <w:r w:rsidR="009A0353" w:rsidRPr="009A0353">
              <w:rPr>
                <w:rFonts w:hAnsi="Times New Roman" w:cs="Times New Roman"/>
                <w:lang w:val="lt-LT"/>
              </w:rPr>
              <w:t xml:space="preserve"> šalims. PRGT, laikomas kaip vienas realiausių variantų SDR nukreipimui, taip pat remiama galimo naujo „Atsparumo ir tvarumo“ fondo (RST) sukūr</w:t>
            </w:r>
            <w:r w:rsidR="009A0353" w:rsidRPr="009A0353">
              <w:rPr>
                <w:rFonts w:hAnsi="Times New Roman" w:cs="Times New Roman"/>
                <w:lang w:val="lt-LT"/>
              </w:rPr>
              <w:t>i</w:t>
            </w:r>
            <w:r w:rsidR="005D3A86">
              <w:rPr>
                <w:rFonts w:hAnsi="Times New Roman" w:cs="Times New Roman"/>
                <w:lang w:val="lt-LT"/>
              </w:rPr>
              <w:t>mo analizė.</w:t>
            </w:r>
          </w:p>
          <w:p w:rsidR="009A0353" w:rsidRPr="009A0353" w:rsidRDefault="009A0353" w:rsidP="009A0353">
            <w:pPr>
              <w:pStyle w:val="BodyA"/>
              <w:jc w:val="both"/>
              <w:rPr>
                <w:rFonts w:hAnsi="Times New Roman" w:cs="Times New Roman"/>
                <w:lang w:val="lt-LT"/>
              </w:rPr>
            </w:pPr>
            <w:r w:rsidRPr="009A0353">
              <w:rPr>
                <w:rFonts w:hAnsi="Times New Roman" w:cs="Times New Roman"/>
                <w:lang w:val="lt-LT"/>
              </w:rPr>
              <w:t xml:space="preserve">- Finansinio stabilumo taryba (angl. </w:t>
            </w:r>
            <w:proofErr w:type="spellStart"/>
            <w:r w:rsidRPr="005D3A86">
              <w:rPr>
                <w:rFonts w:hAnsi="Times New Roman" w:cs="Times New Roman"/>
                <w:i/>
                <w:lang w:val="lt-LT"/>
              </w:rPr>
              <w:t>Financial</w:t>
            </w:r>
            <w:proofErr w:type="spellEnd"/>
            <w:r w:rsidRPr="005D3A86">
              <w:rPr>
                <w:rFonts w:hAnsi="Times New Roman" w:cs="Times New Roman"/>
                <w:i/>
                <w:lang w:val="lt-LT"/>
              </w:rPr>
              <w:t xml:space="preserve"> </w:t>
            </w:r>
            <w:proofErr w:type="spellStart"/>
            <w:r w:rsidRPr="005D3A86">
              <w:rPr>
                <w:rFonts w:hAnsi="Times New Roman" w:cs="Times New Roman"/>
                <w:i/>
                <w:lang w:val="lt-LT"/>
              </w:rPr>
              <w:t>Stability</w:t>
            </w:r>
            <w:proofErr w:type="spellEnd"/>
            <w:r w:rsidRPr="005D3A86">
              <w:rPr>
                <w:rFonts w:hAnsi="Times New Roman" w:cs="Times New Roman"/>
                <w:i/>
                <w:lang w:val="lt-LT"/>
              </w:rPr>
              <w:t xml:space="preserve"> </w:t>
            </w:r>
            <w:proofErr w:type="spellStart"/>
            <w:r w:rsidRPr="005D3A86">
              <w:rPr>
                <w:rFonts w:hAnsi="Times New Roman" w:cs="Times New Roman"/>
                <w:i/>
                <w:lang w:val="lt-LT"/>
              </w:rPr>
              <w:t>Board</w:t>
            </w:r>
            <w:proofErr w:type="spellEnd"/>
            <w:r w:rsidRPr="009A0353">
              <w:rPr>
                <w:rFonts w:hAnsi="Times New Roman" w:cs="Times New Roman"/>
                <w:lang w:val="lt-LT"/>
              </w:rPr>
              <w:t>, FSB) skatinama toliau dirbti ties nebankinio finansinio tarpininkavimo sektoriaus atsparumu, prašoma FSB, bendradarbiaujant su tarptautinėmis organizacijos, laiku ir veiksmingai įgyvendinti G20 veiksmų planą, skirtą tar</w:t>
            </w:r>
            <w:r w:rsidRPr="009A0353">
              <w:rPr>
                <w:rFonts w:hAnsi="Times New Roman" w:cs="Times New Roman"/>
                <w:lang w:val="lt-LT"/>
              </w:rPr>
              <w:t>p</w:t>
            </w:r>
            <w:r w:rsidRPr="009A0353">
              <w:rPr>
                <w:rFonts w:hAnsi="Times New Roman" w:cs="Times New Roman"/>
                <w:lang w:val="lt-LT"/>
              </w:rPr>
              <w:t>valstybiniams mokėjimams, įskaitant perlaidas, gerinti.</w:t>
            </w:r>
          </w:p>
          <w:p w:rsidR="009A0353" w:rsidRPr="009A0353" w:rsidRDefault="009A0353" w:rsidP="009A0353">
            <w:pPr>
              <w:pStyle w:val="BodyA"/>
              <w:jc w:val="both"/>
              <w:rPr>
                <w:rFonts w:hAnsi="Times New Roman" w:cs="Times New Roman"/>
                <w:lang w:val="lt-LT"/>
              </w:rPr>
            </w:pPr>
          </w:p>
          <w:p w:rsidR="009A0353" w:rsidRPr="009A0353" w:rsidRDefault="009A0353" w:rsidP="009A0353">
            <w:pPr>
              <w:pStyle w:val="BodyA"/>
              <w:jc w:val="both"/>
              <w:rPr>
                <w:rFonts w:hAnsi="Times New Roman" w:cs="Times New Roman"/>
                <w:u w:val="single"/>
                <w:lang w:val="lt-LT"/>
              </w:rPr>
            </w:pPr>
            <w:r w:rsidRPr="009A0353">
              <w:rPr>
                <w:rFonts w:hAnsi="Times New Roman" w:cs="Times New Roman"/>
                <w:u w:val="single"/>
                <w:lang w:val="lt-LT"/>
              </w:rPr>
              <w:t>Pagrindiniai IMFC pranešimo aspektai:</w:t>
            </w:r>
          </w:p>
          <w:p w:rsidR="009A0353" w:rsidRPr="009A0353" w:rsidRDefault="00E949DE" w:rsidP="009A0353">
            <w:pPr>
              <w:pStyle w:val="BodyA"/>
              <w:jc w:val="both"/>
              <w:rPr>
                <w:rFonts w:hAnsi="Times New Roman" w:cs="Times New Roman"/>
                <w:lang w:val="lt-LT"/>
              </w:rPr>
            </w:pPr>
            <w:r>
              <w:rPr>
                <w:rFonts w:hAnsi="Times New Roman" w:cs="Times New Roman"/>
                <w:lang w:val="lt-LT"/>
              </w:rPr>
              <w:t xml:space="preserve">IMFC pranešime </w:t>
            </w:r>
            <w:r w:rsidR="009A0353" w:rsidRPr="009A0353">
              <w:rPr>
                <w:rFonts w:hAnsi="Times New Roman" w:cs="Times New Roman"/>
                <w:lang w:val="lt-LT"/>
              </w:rPr>
              <w:t xml:space="preserve">aptariama pasaulio ekonomikos situacija, atsigavimo tendencijos, pabrėžiama globalaus vakcinų prieinamumo svarba ir remiamas TVF pasiūlytas </w:t>
            </w:r>
            <w:r w:rsidR="005D3A86">
              <w:rPr>
                <w:rFonts w:hAnsi="Times New Roman" w:cs="Times New Roman"/>
                <w:lang w:val="lt-LT"/>
              </w:rPr>
              <w:t xml:space="preserve">skiepijimo lygio </w:t>
            </w:r>
            <w:r w:rsidR="009A0353" w:rsidRPr="009A0353">
              <w:rPr>
                <w:rFonts w:hAnsi="Times New Roman" w:cs="Times New Roman"/>
                <w:lang w:val="lt-LT"/>
              </w:rPr>
              <w:t>tikslas</w:t>
            </w:r>
            <w:r w:rsidR="005D3A86">
              <w:rPr>
                <w:rFonts w:hAnsi="Times New Roman" w:cs="Times New Roman"/>
                <w:lang w:val="lt-LT"/>
              </w:rPr>
              <w:t>.</w:t>
            </w:r>
            <w:r w:rsidR="009A0353" w:rsidRPr="009A0353">
              <w:rPr>
                <w:rFonts w:hAnsi="Times New Roman" w:cs="Times New Roman"/>
                <w:lang w:val="lt-LT"/>
              </w:rPr>
              <w:t xml:space="preserve"> Pažymima, kad fiskalinė parama turėtų būti lanksti ir tikslinga, neturėtų būti nutraukta per ank</w:t>
            </w:r>
            <w:r w:rsidR="009A0353" w:rsidRPr="009A0353">
              <w:rPr>
                <w:rFonts w:hAnsi="Times New Roman" w:cs="Times New Roman"/>
                <w:lang w:val="lt-LT"/>
              </w:rPr>
              <w:t>s</w:t>
            </w:r>
            <w:r w:rsidR="009A0353" w:rsidRPr="009A0353">
              <w:rPr>
                <w:rFonts w:hAnsi="Times New Roman" w:cs="Times New Roman"/>
                <w:lang w:val="lt-LT"/>
              </w:rPr>
              <w:t xml:space="preserve">ti. Pagrindinis ir didžiausias ES instrumentas atsakui į COVID-19 krizę yra RRF priemonė, kuri turėtų leisti ES valstybėms narėms skirti ypatingą dėmesį struktūrinėms reformoms, </w:t>
            </w:r>
            <w:proofErr w:type="spellStart"/>
            <w:r w:rsidR="009A0353" w:rsidRPr="009A0353">
              <w:rPr>
                <w:rFonts w:hAnsi="Times New Roman" w:cs="Times New Roman"/>
                <w:lang w:val="lt-LT"/>
              </w:rPr>
              <w:t>skaitmen</w:t>
            </w:r>
            <w:r w:rsidR="009A0353" w:rsidRPr="009A0353">
              <w:rPr>
                <w:rFonts w:hAnsi="Times New Roman" w:cs="Times New Roman"/>
                <w:lang w:val="lt-LT"/>
              </w:rPr>
              <w:t>i</w:t>
            </w:r>
            <w:r w:rsidR="005D3A86">
              <w:rPr>
                <w:rFonts w:hAnsi="Times New Roman" w:cs="Times New Roman"/>
                <w:lang w:val="lt-LT"/>
              </w:rPr>
              <w:t>nimui</w:t>
            </w:r>
            <w:proofErr w:type="spellEnd"/>
            <w:r w:rsidR="005D3A86">
              <w:rPr>
                <w:rFonts w:hAnsi="Times New Roman" w:cs="Times New Roman"/>
                <w:lang w:val="lt-LT"/>
              </w:rPr>
              <w:t>, žaliajai transformacijai.</w:t>
            </w:r>
          </w:p>
          <w:p w:rsidR="00665736" w:rsidRPr="00DF5114" w:rsidRDefault="009A0353" w:rsidP="009A0353">
            <w:pPr>
              <w:pStyle w:val="BodyA"/>
              <w:jc w:val="both"/>
              <w:rPr>
                <w:rFonts w:hAnsi="Times New Roman" w:cs="Times New Roman"/>
                <w:lang w:val="lt-LT"/>
              </w:rPr>
            </w:pPr>
            <w:r w:rsidRPr="009A0353">
              <w:rPr>
                <w:rFonts w:hAnsi="Times New Roman" w:cs="Times New Roman"/>
                <w:lang w:val="lt-LT"/>
              </w:rPr>
              <w:t>IMFC pranešimo antrojoje dalyje pabrėžiamas greitas ir ryžtingas TVF atsakas į COVID-19 p</w:t>
            </w:r>
            <w:r w:rsidRPr="009A0353">
              <w:rPr>
                <w:rFonts w:hAnsi="Times New Roman" w:cs="Times New Roman"/>
                <w:lang w:val="lt-LT"/>
              </w:rPr>
              <w:t>a</w:t>
            </w:r>
            <w:r w:rsidRPr="009A0353">
              <w:rPr>
                <w:rFonts w:hAnsi="Times New Roman" w:cs="Times New Roman"/>
                <w:lang w:val="lt-LT"/>
              </w:rPr>
              <w:t>ndemiją, palankiai vertinamas 650 mlrd.</w:t>
            </w:r>
            <w:r w:rsidR="005D3A86">
              <w:rPr>
                <w:rFonts w:hAnsi="Times New Roman" w:cs="Times New Roman"/>
                <w:lang w:val="lt-LT"/>
              </w:rPr>
              <w:t xml:space="preserve"> vertės SDR paskirstymas</w:t>
            </w:r>
            <w:r w:rsidRPr="009A0353">
              <w:rPr>
                <w:rFonts w:hAnsi="Times New Roman" w:cs="Times New Roman"/>
                <w:lang w:val="lt-LT"/>
              </w:rPr>
              <w:t>, skirtas paremti atsigavimą po COVID-19 kri</w:t>
            </w:r>
            <w:r w:rsidR="005D3A86">
              <w:rPr>
                <w:rFonts w:hAnsi="Times New Roman" w:cs="Times New Roman"/>
                <w:lang w:val="lt-LT"/>
              </w:rPr>
              <w:t xml:space="preserve">zės. </w:t>
            </w:r>
            <w:r w:rsidRPr="009A0353">
              <w:rPr>
                <w:rFonts w:hAnsi="Times New Roman" w:cs="Times New Roman"/>
                <w:lang w:val="lt-LT"/>
              </w:rPr>
              <w:t xml:space="preserve">Taip pat nagrinėjami kiti aktualiausi TVF veiklos klausimai - įsipareigojama tęsti 16-tąją kvotų peržiūrą, remiama TVF klimato kaitos strategija ir TVF vaidmuo </w:t>
            </w:r>
            <w:proofErr w:type="spellStart"/>
            <w:r w:rsidRPr="009A0353">
              <w:rPr>
                <w:rFonts w:hAnsi="Times New Roman" w:cs="Times New Roman"/>
                <w:lang w:val="lt-LT"/>
              </w:rPr>
              <w:t>makrokr</w:t>
            </w:r>
            <w:r w:rsidRPr="009A0353">
              <w:rPr>
                <w:rFonts w:hAnsi="Times New Roman" w:cs="Times New Roman"/>
                <w:lang w:val="lt-LT"/>
              </w:rPr>
              <w:t>i</w:t>
            </w:r>
            <w:r w:rsidRPr="009A0353">
              <w:rPr>
                <w:rFonts w:hAnsi="Times New Roman" w:cs="Times New Roman"/>
                <w:lang w:val="lt-LT"/>
              </w:rPr>
              <w:t>tiškai</w:t>
            </w:r>
            <w:proofErr w:type="spellEnd"/>
            <w:r w:rsidRPr="009A0353">
              <w:rPr>
                <w:rFonts w:hAnsi="Times New Roman" w:cs="Times New Roman"/>
                <w:lang w:val="lt-LT"/>
              </w:rPr>
              <w:t xml:space="preserve"> svarbiuose klimato kaitos klausimuose, aptariama vykdoma TVF institucinio požiūrio pe</w:t>
            </w:r>
            <w:r w:rsidRPr="009A0353">
              <w:rPr>
                <w:rFonts w:hAnsi="Times New Roman" w:cs="Times New Roman"/>
                <w:lang w:val="lt-LT"/>
              </w:rPr>
              <w:t>r</w:t>
            </w:r>
            <w:r w:rsidRPr="009A0353">
              <w:rPr>
                <w:rFonts w:hAnsi="Times New Roman" w:cs="Times New Roman"/>
                <w:lang w:val="lt-LT"/>
              </w:rPr>
              <w:t>žiūra, skolos tvarumo ir skaidrumo iniciatyvos ir su jomis susijusi TVF veikla.</w:t>
            </w:r>
          </w:p>
          <w:p w:rsidR="00161D1D" w:rsidRPr="00DF5114" w:rsidRDefault="00161D1D" w:rsidP="00811E87">
            <w:pPr>
              <w:pStyle w:val="BodyA"/>
              <w:jc w:val="both"/>
              <w:rPr>
                <w:rFonts w:hAnsi="Times New Roman" w:cs="Times New Roman"/>
                <w:lang w:val="lt-LT"/>
              </w:rPr>
            </w:pPr>
          </w:p>
          <w:p w:rsidR="00811E87" w:rsidRPr="00856CFA" w:rsidRDefault="0098163A" w:rsidP="00C70F7A">
            <w:pPr>
              <w:pStyle w:val="BodyA"/>
              <w:jc w:val="both"/>
              <w:rPr>
                <w:rFonts w:eastAsia="Calibri"/>
                <w:bdr w:val="none" w:sz="0" w:space="0" w:color="auto"/>
                <w:lang w:val="lt-LT"/>
              </w:rPr>
            </w:pPr>
            <w:r w:rsidRPr="00DF5114">
              <w:rPr>
                <w:rFonts w:hAnsi="Times New Roman" w:cs="Times New Roman"/>
                <w:b/>
                <w:u w:val="single"/>
                <w:lang w:val="lt-LT"/>
              </w:rPr>
              <w:t>Lietuvos pozicija</w:t>
            </w:r>
            <w:r w:rsidRPr="00DF5114">
              <w:rPr>
                <w:rFonts w:hAnsi="Times New Roman" w:cs="Times New Roman"/>
                <w:u w:val="single"/>
                <w:lang w:val="lt-LT"/>
              </w:rPr>
              <w:t>.</w:t>
            </w:r>
            <w:r w:rsidR="009A0353">
              <w:rPr>
                <w:rFonts w:hAnsi="Times New Roman" w:cs="Times New Roman"/>
                <w:lang w:val="lt-LT"/>
              </w:rPr>
              <w:t xml:space="preserve"> P</w:t>
            </w:r>
            <w:r w:rsidR="009A0353" w:rsidRPr="009A0353">
              <w:rPr>
                <w:rFonts w:hAnsi="Times New Roman" w:cs="Times New Roman"/>
                <w:lang w:val="lt-LT"/>
              </w:rPr>
              <w:t>ritaria</w:t>
            </w:r>
            <w:r w:rsidR="009A0353">
              <w:rPr>
                <w:rFonts w:hAnsi="Times New Roman" w:cs="Times New Roman"/>
                <w:lang w:val="lt-LT"/>
              </w:rPr>
              <w:t>me</w:t>
            </w:r>
            <w:r w:rsidR="009A0353" w:rsidRPr="009A0353">
              <w:rPr>
                <w:rFonts w:hAnsi="Times New Roman" w:cs="Times New Roman"/>
                <w:lang w:val="lt-LT"/>
              </w:rPr>
              <w:t xml:space="preserve"> parengtiems ES įgaliojimų G20 susitikimui ir pranešimo Tarpta</w:t>
            </w:r>
            <w:r w:rsidR="009A0353" w:rsidRPr="009A0353">
              <w:rPr>
                <w:rFonts w:hAnsi="Times New Roman" w:cs="Times New Roman"/>
                <w:lang w:val="lt-LT"/>
              </w:rPr>
              <w:t>u</w:t>
            </w:r>
            <w:r w:rsidR="009A0353" w:rsidRPr="009A0353">
              <w:rPr>
                <w:rFonts w:hAnsi="Times New Roman" w:cs="Times New Roman"/>
                <w:lang w:val="lt-LT"/>
              </w:rPr>
              <w:t>tiniame pinigų ir finansų komitete projektams.</w:t>
            </w:r>
          </w:p>
          <w:p w:rsidR="0022359E" w:rsidRPr="00AA492E" w:rsidRDefault="0022359E" w:rsidP="004226F1">
            <w:pPr>
              <w:pStyle w:val="BodyA"/>
              <w:jc w:val="both"/>
              <w:rPr>
                <w:rFonts w:hAnsi="Times New Roman" w:cs="Times New Roman"/>
                <w:b/>
                <w:lang w:val="lt-LT"/>
              </w:rPr>
            </w:pPr>
          </w:p>
          <w:p w:rsidR="00AA492E" w:rsidRPr="0076574D" w:rsidRDefault="005B3FB0" w:rsidP="0076574D">
            <w:pPr>
              <w:pStyle w:val="BodyA"/>
              <w:jc w:val="both"/>
              <w:rPr>
                <w:rFonts w:hAnsi="Times New Roman" w:cs="Times New Roman"/>
                <w:b/>
                <w:lang w:val="lt-LT"/>
              </w:rPr>
            </w:pPr>
            <w:r>
              <w:rPr>
                <w:rFonts w:hAnsi="Times New Roman" w:cs="Times New Roman"/>
                <w:b/>
                <w:lang w:val="lt-LT"/>
              </w:rPr>
              <w:t>8</w:t>
            </w:r>
            <w:r w:rsidR="00E1240D" w:rsidRPr="00AA492E">
              <w:rPr>
                <w:rFonts w:hAnsi="Times New Roman" w:cs="Times New Roman"/>
                <w:b/>
                <w:lang w:val="lt-LT"/>
              </w:rPr>
              <w:t xml:space="preserve">. </w:t>
            </w:r>
            <w:r w:rsidR="0076574D" w:rsidRPr="0076574D">
              <w:rPr>
                <w:rFonts w:hAnsi="Times New Roman" w:cs="Times New Roman"/>
                <w:b/>
                <w:lang w:val="lt-LT"/>
              </w:rPr>
              <w:t xml:space="preserve">Išvados dėl kovos su klimato kaita </w:t>
            </w:r>
            <w:r w:rsidR="0076574D">
              <w:rPr>
                <w:rFonts w:hAnsi="Times New Roman" w:cs="Times New Roman"/>
                <w:b/>
                <w:lang w:val="lt-LT"/>
              </w:rPr>
              <w:t>finansavimo rengiantis 2021 m. s</w:t>
            </w:r>
            <w:r w:rsidR="0076574D" w:rsidRPr="0076574D">
              <w:rPr>
                <w:rFonts w:hAnsi="Times New Roman" w:cs="Times New Roman"/>
                <w:b/>
                <w:lang w:val="lt-LT"/>
              </w:rPr>
              <w:t xml:space="preserve">palio 31 d.–lapkričio 12 d. </w:t>
            </w:r>
            <w:proofErr w:type="spellStart"/>
            <w:r w:rsidR="0076574D" w:rsidRPr="0076574D">
              <w:rPr>
                <w:rFonts w:hAnsi="Times New Roman" w:cs="Times New Roman"/>
                <w:b/>
                <w:lang w:val="lt-LT"/>
              </w:rPr>
              <w:t>Glazge</w:t>
            </w:r>
            <w:proofErr w:type="spellEnd"/>
            <w:r w:rsidR="0076574D" w:rsidRPr="0076574D">
              <w:rPr>
                <w:rFonts w:hAnsi="Times New Roman" w:cs="Times New Roman"/>
                <w:b/>
                <w:lang w:val="lt-LT"/>
              </w:rPr>
              <w:t xml:space="preserve"> įvyksiančiai 26-ajai JT klimato kaitos konvencijos šalių konferenci</w:t>
            </w:r>
            <w:r w:rsidR="0076574D">
              <w:rPr>
                <w:rFonts w:hAnsi="Times New Roman" w:cs="Times New Roman"/>
                <w:b/>
                <w:lang w:val="lt-LT"/>
              </w:rPr>
              <w:t xml:space="preserve">jai (COP 26) </w:t>
            </w:r>
            <w:r w:rsidR="0076574D" w:rsidRPr="0076574D">
              <w:rPr>
                <w:rFonts w:hAnsi="Times New Roman" w:cs="Times New Roman"/>
                <w:i/>
                <w:lang w:val="lt-LT"/>
              </w:rPr>
              <w:t>(Tvirtinimas)</w:t>
            </w:r>
          </w:p>
          <w:p w:rsidR="0043443E" w:rsidRPr="002446DC" w:rsidRDefault="00E1240D" w:rsidP="0043443E">
            <w:pPr>
              <w:jc w:val="both"/>
              <w:rPr>
                <w:rFonts w:eastAsia="Times New Roman"/>
                <w:szCs w:val="20"/>
                <w:bdr w:val="none" w:sz="0" w:space="0" w:color="auto"/>
                <w:lang w:val="lt-LT" w:eastAsia="lt-LT"/>
              </w:rPr>
            </w:pPr>
            <w:r w:rsidRPr="00AA492E">
              <w:rPr>
                <w:b/>
                <w:u w:val="single"/>
                <w:lang w:val="lt-LT"/>
              </w:rPr>
              <w:t>Klausimo esmė.</w:t>
            </w:r>
            <w:r w:rsidRPr="00AA492E">
              <w:rPr>
                <w:b/>
                <w:lang w:val="lt-LT"/>
              </w:rPr>
              <w:t xml:space="preserve"> </w:t>
            </w:r>
            <w:r w:rsidR="00185FD2" w:rsidRPr="002446DC">
              <w:rPr>
                <w:rFonts w:eastAsia="Times New Roman"/>
                <w:szCs w:val="20"/>
                <w:bdr w:val="none" w:sz="0" w:space="0" w:color="auto"/>
                <w:lang w:val="lt-LT" w:eastAsia="lt-LT"/>
              </w:rPr>
              <w:t>ECOFIN metu bus tvirtinamos Tarybos išvados dėl klimato kaitos finansav</w:t>
            </w:r>
            <w:r w:rsidR="00185FD2" w:rsidRPr="002446DC">
              <w:rPr>
                <w:rFonts w:eastAsia="Times New Roman"/>
                <w:szCs w:val="20"/>
                <w:bdr w:val="none" w:sz="0" w:space="0" w:color="auto"/>
                <w:lang w:val="lt-LT" w:eastAsia="lt-LT"/>
              </w:rPr>
              <w:t>i</w:t>
            </w:r>
            <w:r w:rsidR="00185FD2" w:rsidRPr="002446DC">
              <w:rPr>
                <w:rFonts w:eastAsia="Times New Roman"/>
                <w:szCs w:val="20"/>
                <w:bdr w:val="none" w:sz="0" w:space="0" w:color="auto"/>
                <w:lang w:val="lt-LT" w:eastAsia="lt-LT"/>
              </w:rPr>
              <w:t xml:space="preserve">mo. </w:t>
            </w:r>
            <w:r w:rsidR="0043443E" w:rsidRPr="002446DC">
              <w:rPr>
                <w:rFonts w:eastAsia="Times New Roman"/>
                <w:szCs w:val="20"/>
                <w:bdr w:val="none" w:sz="0" w:space="0" w:color="auto"/>
                <w:lang w:val="lt-LT" w:eastAsia="lt-LT"/>
              </w:rPr>
              <w:t>Pagrindiniai ECOFIN išvadų aspektai:</w:t>
            </w:r>
          </w:p>
          <w:p w:rsidR="0043443E" w:rsidRDefault="0043443E" w:rsidP="0043443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eastAsia="Times New Roman"/>
                <w:iCs/>
                <w:szCs w:val="20"/>
                <w:bdr w:val="none" w:sz="0" w:space="0" w:color="auto"/>
                <w:lang w:val="lt-LT" w:eastAsia="lt-LT"/>
              </w:rPr>
            </w:pPr>
            <w:r>
              <w:rPr>
                <w:rFonts w:eastAsia="Times New Roman"/>
                <w:iCs/>
                <w:szCs w:val="20"/>
                <w:bdr w:val="none" w:sz="0" w:space="0" w:color="auto"/>
                <w:lang w:val="lt-LT" w:eastAsia="lt-LT"/>
              </w:rPr>
              <w:t xml:space="preserve">- </w:t>
            </w:r>
            <w:r w:rsidRPr="0043443E">
              <w:rPr>
                <w:rFonts w:eastAsia="Times New Roman"/>
                <w:iCs/>
                <w:szCs w:val="20"/>
                <w:bdr w:val="none" w:sz="0" w:space="0" w:color="auto"/>
                <w:lang w:val="lt-LT" w:eastAsia="lt-LT"/>
              </w:rPr>
              <w:t>Pabrėžiama ES parama Paryžiaus susitarimo įgyvendinimui ir išreiškiamas įsipareigojimas toliau skatinti ES Žaliojo kurso ir ES klimato finansų tikslų įgyvendinimą per ES daugiametę finansinę programą, įskaitant politikos priemones ir „Kitos kartos ES“ (angl. „</w:t>
            </w:r>
            <w:proofErr w:type="spellStart"/>
            <w:r w:rsidRPr="0043443E">
              <w:rPr>
                <w:rFonts w:eastAsia="Times New Roman"/>
                <w:iCs/>
                <w:szCs w:val="20"/>
                <w:bdr w:val="none" w:sz="0" w:space="0" w:color="auto"/>
                <w:lang w:val="lt-LT" w:eastAsia="lt-LT"/>
              </w:rPr>
              <w:t>Next</w:t>
            </w:r>
            <w:proofErr w:type="spellEnd"/>
            <w:r w:rsidRPr="0043443E">
              <w:rPr>
                <w:rFonts w:eastAsia="Times New Roman"/>
                <w:iCs/>
                <w:szCs w:val="20"/>
                <w:bdr w:val="none" w:sz="0" w:space="0" w:color="auto"/>
                <w:lang w:val="lt-LT" w:eastAsia="lt-LT"/>
              </w:rPr>
              <w:t xml:space="preserve"> </w:t>
            </w:r>
            <w:proofErr w:type="spellStart"/>
            <w:r w:rsidRPr="0043443E">
              <w:rPr>
                <w:rFonts w:eastAsia="Times New Roman"/>
                <w:iCs/>
                <w:szCs w:val="20"/>
                <w:bdr w:val="none" w:sz="0" w:space="0" w:color="auto"/>
                <w:lang w:val="lt-LT" w:eastAsia="lt-LT"/>
              </w:rPr>
              <w:t>Generation</w:t>
            </w:r>
            <w:proofErr w:type="spellEnd"/>
            <w:r w:rsidRPr="0043443E">
              <w:rPr>
                <w:rFonts w:eastAsia="Times New Roman"/>
                <w:iCs/>
                <w:szCs w:val="20"/>
                <w:bdr w:val="none" w:sz="0" w:space="0" w:color="auto"/>
                <w:lang w:val="lt-LT" w:eastAsia="lt-LT"/>
              </w:rPr>
              <w:t xml:space="preserve"> EU“) programą, remiant Europos klimato įstatyme numatytą siekį iki 2030 m. sumažinti ŠESD išmetimus bent</w:t>
            </w:r>
            <w:r>
              <w:rPr>
                <w:rFonts w:eastAsia="Times New Roman"/>
                <w:iCs/>
                <w:szCs w:val="20"/>
                <w:bdr w:val="none" w:sz="0" w:space="0" w:color="auto"/>
                <w:lang w:val="lt-LT" w:eastAsia="lt-LT"/>
              </w:rPr>
              <w:t xml:space="preserve"> 55 % lyginant su 1990 m. lygiu.</w:t>
            </w:r>
            <w:r w:rsidRPr="0043443E">
              <w:rPr>
                <w:rFonts w:eastAsia="Times New Roman"/>
                <w:iCs/>
                <w:szCs w:val="20"/>
                <w:bdr w:val="none" w:sz="0" w:space="0" w:color="auto"/>
                <w:lang w:val="lt-LT" w:eastAsia="lt-LT"/>
              </w:rPr>
              <w:t xml:space="preserve"> </w:t>
            </w:r>
          </w:p>
          <w:p w:rsidR="0043443E" w:rsidRPr="0043443E" w:rsidRDefault="0043443E" w:rsidP="0043443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eastAsia="Times New Roman"/>
                <w:iCs/>
                <w:szCs w:val="20"/>
                <w:bdr w:val="none" w:sz="0" w:space="0" w:color="auto"/>
                <w:lang w:val="lt-LT" w:eastAsia="lt-LT"/>
              </w:rPr>
            </w:pPr>
            <w:r w:rsidRPr="0043443E">
              <w:rPr>
                <w:rFonts w:eastAsia="Times New Roman"/>
                <w:iCs/>
                <w:szCs w:val="20"/>
                <w:bdr w:val="none" w:sz="0" w:space="0" w:color="auto"/>
                <w:lang w:val="lt-LT" w:eastAsia="lt-LT"/>
              </w:rPr>
              <w:t>- Pakartotinai akcentuojama greitos ir ambicingos pažangos svarba siekiant ilgalaikių Paryžiaus susitarimo tikslų</w:t>
            </w:r>
            <w:r>
              <w:rPr>
                <w:rFonts w:eastAsia="Times New Roman"/>
                <w:iCs/>
                <w:szCs w:val="20"/>
                <w:bdr w:val="none" w:sz="0" w:space="0" w:color="auto"/>
                <w:lang w:val="lt-LT" w:eastAsia="lt-LT"/>
              </w:rPr>
              <w:t xml:space="preserve">, </w:t>
            </w:r>
            <w:r w:rsidRPr="0043443E">
              <w:rPr>
                <w:rFonts w:eastAsia="Times New Roman"/>
                <w:iCs/>
                <w:szCs w:val="20"/>
                <w:bdr w:val="none" w:sz="0" w:space="0" w:color="auto"/>
                <w:lang w:val="lt-LT" w:eastAsia="lt-LT"/>
              </w:rPr>
              <w:t>pažymimas finansavimo poreikis ir pažangos kas dvejus metus įvertinimas, pabrėžiama svarba pasinaudoti pandemijos atsigavimui skiriamų lėšų galimybėmis siekiant ek</w:t>
            </w:r>
            <w:r w:rsidRPr="0043443E">
              <w:rPr>
                <w:rFonts w:eastAsia="Times New Roman"/>
                <w:iCs/>
                <w:szCs w:val="20"/>
                <w:bdr w:val="none" w:sz="0" w:space="0" w:color="auto"/>
                <w:lang w:val="lt-LT" w:eastAsia="lt-LT"/>
              </w:rPr>
              <w:t>o</w:t>
            </w:r>
            <w:r w:rsidRPr="0043443E">
              <w:rPr>
                <w:rFonts w:eastAsia="Times New Roman"/>
                <w:iCs/>
                <w:szCs w:val="20"/>
                <w:bdr w:val="none" w:sz="0" w:space="0" w:color="auto"/>
                <w:lang w:val="lt-LT" w:eastAsia="lt-LT"/>
              </w:rPr>
              <w:t>nomikos transformacijos link tvaresnės, žalesnės ir atsparesnės klimatui.</w:t>
            </w:r>
          </w:p>
          <w:p w:rsidR="0043443E" w:rsidRDefault="0043443E" w:rsidP="0043443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eastAsia="Times New Roman"/>
                <w:iCs/>
                <w:szCs w:val="20"/>
                <w:bdr w:val="none" w:sz="0" w:space="0" w:color="auto"/>
                <w:lang w:val="lt-LT" w:eastAsia="lt-LT"/>
              </w:rPr>
            </w:pPr>
            <w:r w:rsidRPr="0043443E">
              <w:rPr>
                <w:rFonts w:eastAsia="Times New Roman"/>
                <w:iCs/>
                <w:szCs w:val="20"/>
                <w:bdr w:val="none" w:sz="0" w:space="0" w:color="auto"/>
                <w:lang w:val="lt-LT" w:eastAsia="lt-LT"/>
              </w:rPr>
              <w:t>- Pabrėžiama privačių lėšų mobilizavimo ir tinkamų politikos priemonių svarba, siekiant didinti klimato finansus, privatus sektorius raginamas sutelkti pastangas siekiant klimatui n</w:t>
            </w:r>
            <w:r>
              <w:rPr>
                <w:rFonts w:eastAsia="Times New Roman"/>
                <w:iCs/>
                <w:szCs w:val="20"/>
                <w:bdr w:val="none" w:sz="0" w:space="0" w:color="auto"/>
                <w:lang w:val="lt-LT" w:eastAsia="lt-LT"/>
              </w:rPr>
              <w:t>eutralios ir atsparios ateities. R</w:t>
            </w:r>
            <w:r w:rsidRPr="0043443E">
              <w:rPr>
                <w:rFonts w:eastAsia="Times New Roman"/>
                <w:iCs/>
                <w:szCs w:val="20"/>
                <w:bdr w:val="none" w:sz="0" w:space="0" w:color="auto"/>
                <w:lang w:val="lt-LT" w:eastAsia="lt-LT"/>
              </w:rPr>
              <w:t xml:space="preserve">emiamos ES iniciatyvos ir pažanga tvarių </w:t>
            </w:r>
            <w:r>
              <w:rPr>
                <w:rFonts w:eastAsia="Times New Roman"/>
                <w:iCs/>
                <w:szCs w:val="20"/>
                <w:bdr w:val="none" w:sz="0" w:space="0" w:color="auto"/>
                <w:lang w:val="lt-LT" w:eastAsia="lt-LT"/>
              </w:rPr>
              <w:t>finansų ir investicijų srityse.</w:t>
            </w:r>
          </w:p>
          <w:p w:rsidR="0043443E" w:rsidRDefault="0043443E" w:rsidP="0043443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eastAsia="Times New Roman"/>
                <w:iCs/>
                <w:szCs w:val="20"/>
                <w:bdr w:val="none" w:sz="0" w:space="0" w:color="auto"/>
                <w:lang w:val="lt-LT" w:eastAsia="lt-LT"/>
              </w:rPr>
            </w:pPr>
            <w:r w:rsidRPr="0043443E">
              <w:rPr>
                <w:rFonts w:eastAsia="Times New Roman"/>
                <w:iCs/>
                <w:szCs w:val="20"/>
                <w:bdr w:val="none" w:sz="0" w:space="0" w:color="auto"/>
                <w:lang w:val="lt-LT" w:eastAsia="lt-LT"/>
              </w:rPr>
              <w:t>- Pabrėžiama anglies dioksido apmokestinimo mechanizmų ir žalingų subsidijų atsisakymo svarba siekiant klimato atžvilgiu neutralių ir tvarių investicijų, teisingo (angl. just) perėjimo prie klimato atžvilgiu neutralios ekonomikos ir įsipareigojama remti</w:t>
            </w:r>
            <w:r>
              <w:rPr>
                <w:rFonts w:eastAsia="Times New Roman"/>
                <w:iCs/>
                <w:szCs w:val="20"/>
                <w:bdr w:val="none" w:sz="0" w:space="0" w:color="auto"/>
                <w:lang w:val="lt-LT" w:eastAsia="lt-LT"/>
              </w:rPr>
              <w:t xml:space="preserve"> besivystančių šalių pastangas.</w:t>
            </w:r>
          </w:p>
          <w:p w:rsidR="00A45CF8" w:rsidRDefault="0043443E" w:rsidP="0043443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eastAsia="Times New Roman"/>
                <w:iCs/>
                <w:szCs w:val="20"/>
                <w:bdr w:val="none" w:sz="0" w:space="0" w:color="auto"/>
                <w:lang w:val="lt-LT" w:eastAsia="lt-LT"/>
              </w:rPr>
            </w:pPr>
            <w:r w:rsidRPr="0043443E">
              <w:rPr>
                <w:rFonts w:eastAsia="Times New Roman"/>
                <w:iCs/>
                <w:szCs w:val="20"/>
                <w:bdr w:val="none" w:sz="0" w:space="0" w:color="auto"/>
                <w:lang w:val="lt-LT" w:eastAsia="lt-LT"/>
              </w:rPr>
              <w:t>- Pabrėžiamas Finansų ministrų koalicijos klimato klausimams vaidmuo įtraukiant klimato ka</w:t>
            </w:r>
            <w:r w:rsidRPr="0043443E">
              <w:rPr>
                <w:rFonts w:eastAsia="Times New Roman"/>
                <w:iCs/>
                <w:szCs w:val="20"/>
                <w:bdr w:val="none" w:sz="0" w:space="0" w:color="auto"/>
                <w:lang w:val="lt-LT" w:eastAsia="lt-LT"/>
              </w:rPr>
              <w:t>i</w:t>
            </w:r>
            <w:r w:rsidRPr="0043443E">
              <w:rPr>
                <w:rFonts w:eastAsia="Times New Roman"/>
                <w:iCs/>
                <w:szCs w:val="20"/>
                <w:bdr w:val="none" w:sz="0" w:space="0" w:color="auto"/>
                <w:lang w:val="lt-LT" w:eastAsia="lt-LT"/>
              </w:rPr>
              <w:t>tos aspektus į makroekonominės politikos formavimo ir biudžeto procesus, skatinant anglies kainodaros priemonių naudojimą ir privačių klimato kaitos</w:t>
            </w:r>
            <w:r w:rsidR="00A45CF8">
              <w:rPr>
                <w:rFonts w:eastAsia="Times New Roman"/>
                <w:iCs/>
                <w:szCs w:val="20"/>
                <w:bdr w:val="none" w:sz="0" w:space="0" w:color="auto"/>
                <w:lang w:val="lt-LT" w:eastAsia="lt-LT"/>
              </w:rPr>
              <w:t xml:space="preserve"> finansavimo priemonių telkimą.</w:t>
            </w:r>
          </w:p>
          <w:p w:rsidR="0043443E" w:rsidRPr="0043443E" w:rsidRDefault="0043443E" w:rsidP="0043443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eastAsia="Times New Roman"/>
                <w:iCs/>
                <w:szCs w:val="20"/>
                <w:bdr w:val="none" w:sz="0" w:space="0" w:color="auto"/>
                <w:lang w:val="lt-LT" w:eastAsia="lt-LT"/>
              </w:rPr>
            </w:pPr>
            <w:r w:rsidRPr="0043443E">
              <w:rPr>
                <w:rFonts w:eastAsia="Times New Roman"/>
                <w:iCs/>
                <w:szCs w:val="20"/>
                <w:bdr w:val="none" w:sz="0" w:space="0" w:color="auto"/>
                <w:lang w:val="lt-LT" w:eastAsia="lt-LT"/>
              </w:rPr>
              <w:t>- Pažymima, kad ES ir toliau sieks didinti tarptautiniam klimato kaitos finansavimui mobilizu</w:t>
            </w:r>
            <w:r w:rsidRPr="0043443E">
              <w:rPr>
                <w:rFonts w:eastAsia="Times New Roman"/>
                <w:iCs/>
                <w:szCs w:val="20"/>
                <w:bdr w:val="none" w:sz="0" w:space="0" w:color="auto"/>
                <w:lang w:val="lt-LT" w:eastAsia="lt-LT"/>
              </w:rPr>
              <w:t>o</w:t>
            </w:r>
            <w:r w:rsidRPr="0043443E">
              <w:rPr>
                <w:rFonts w:eastAsia="Times New Roman"/>
                <w:iCs/>
                <w:szCs w:val="20"/>
                <w:bdr w:val="none" w:sz="0" w:space="0" w:color="auto"/>
                <w:lang w:val="lt-LT" w:eastAsia="lt-LT"/>
              </w:rPr>
              <w:t xml:space="preserve">jamas lėšas, taip prisidėdama prie 100 mlrd. JAV dolerių sumos, kurią iki 2025 m. išsivysčiusios šalys yra įsipareigojusios kasmet skirti klimato kaitos mažinimo ir prisitaikymo priemonėms besivystančiose šalyse. Primenama, kad ES ir valstybės narės yra didžiausios donorės, o nuo 2013 m. jų įnašas padidėjo daugiau nei dvigubai, kitos šalys skatinamos didinti klimato kaitos tikslams skiriamą finansavimą. </w:t>
            </w:r>
          </w:p>
          <w:p w:rsidR="0043443E" w:rsidRPr="0043443E" w:rsidRDefault="0043443E" w:rsidP="0043443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eastAsia="Times New Roman"/>
                <w:iCs/>
                <w:szCs w:val="20"/>
                <w:bdr w:val="none" w:sz="0" w:space="0" w:color="auto"/>
                <w:lang w:val="lt-LT" w:eastAsia="lt-LT"/>
              </w:rPr>
            </w:pPr>
            <w:r w:rsidRPr="0043443E">
              <w:rPr>
                <w:rFonts w:eastAsia="Times New Roman"/>
                <w:iCs/>
                <w:szCs w:val="20"/>
                <w:bdr w:val="none" w:sz="0" w:space="0" w:color="auto"/>
                <w:lang w:val="lt-LT" w:eastAsia="lt-LT"/>
              </w:rPr>
              <w:t>- Patvirtinamas ES dalyvavimas diskusijose dėl tolimesnio (nuo 2025 m.) tikslo, raginama tikslą suformuluoti taip, kad jis atitiktų ilgalaikius Paryžiaus susitarimo tikslus ir veiksmingai prisidėtų prie klimato kaitos švelninimo ir prisitaikymo, taip pat raginama pasimokyti iš esamų praktikų įvertinant šalių viešųjų ir privačių finansų indelį, plėsti priemonių ir finansavimo šaltinių įvair</w:t>
            </w:r>
            <w:r w:rsidRPr="0043443E">
              <w:rPr>
                <w:rFonts w:eastAsia="Times New Roman"/>
                <w:iCs/>
                <w:szCs w:val="20"/>
                <w:bdr w:val="none" w:sz="0" w:space="0" w:color="auto"/>
                <w:lang w:val="lt-LT" w:eastAsia="lt-LT"/>
              </w:rPr>
              <w:t>o</w:t>
            </w:r>
            <w:r w:rsidRPr="0043443E">
              <w:rPr>
                <w:rFonts w:eastAsia="Times New Roman"/>
                <w:iCs/>
                <w:szCs w:val="20"/>
                <w:bdr w:val="none" w:sz="0" w:space="0" w:color="auto"/>
                <w:lang w:val="lt-LT" w:eastAsia="lt-LT"/>
              </w:rPr>
              <w:t>vę.</w:t>
            </w:r>
          </w:p>
          <w:p w:rsidR="0043443E" w:rsidRPr="0043443E" w:rsidRDefault="0043443E" w:rsidP="0043443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eastAsia="Times New Roman"/>
                <w:iCs/>
                <w:szCs w:val="20"/>
                <w:bdr w:val="none" w:sz="0" w:space="0" w:color="auto"/>
                <w:lang w:val="lt-LT" w:eastAsia="lt-LT"/>
              </w:rPr>
            </w:pPr>
            <w:r w:rsidRPr="0043443E">
              <w:rPr>
                <w:rFonts w:eastAsia="Times New Roman"/>
                <w:iCs/>
                <w:szCs w:val="20"/>
                <w:bdr w:val="none" w:sz="0" w:space="0" w:color="auto"/>
                <w:lang w:val="lt-LT" w:eastAsia="lt-LT"/>
              </w:rPr>
              <w:lastRenderedPageBreak/>
              <w:t>- Primenamas svarbus Daugiašalių plėtros bankų (DPB) ir kitų vystymosi finansų institucijų (DFI) vaidmuo, ypač sutelkiant privatų finansavimą. Kitos MFB ir DFI, dar nepriėmusios klim</w:t>
            </w:r>
            <w:r w:rsidRPr="0043443E">
              <w:rPr>
                <w:rFonts w:eastAsia="Times New Roman"/>
                <w:iCs/>
                <w:szCs w:val="20"/>
                <w:bdr w:val="none" w:sz="0" w:space="0" w:color="auto"/>
                <w:lang w:val="lt-LT" w:eastAsia="lt-LT"/>
              </w:rPr>
              <w:t>a</w:t>
            </w:r>
            <w:r w:rsidRPr="0043443E">
              <w:rPr>
                <w:rFonts w:eastAsia="Times New Roman"/>
                <w:iCs/>
                <w:szCs w:val="20"/>
                <w:bdr w:val="none" w:sz="0" w:space="0" w:color="auto"/>
                <w:lang w:val="lt-LT" w:eastAsia="lt-LT"/>
              </w:rPr>
              <w:t>to strategijų, raginamos tai padaryti iki COP26 susitikimo ir daugiau lėšų skirti klimato fina</w:t>
            </w:r>
            <w:r w:rsidRPr="0043443E">
              <w:rPr>
                <w:rFonts w:eastAsia="Times New Roman"/>
                <w:iCs/>
                <w:szCs w:val="20"/>
                <w:bdr w:val="none" w:sz="0" w:space="0" w:color="auto"/>
                <w:lang w:val="lt-LT" w:eastAsia="lt-LT"/>
              </w:rPr>
              <w:t>n</w:t>
            </w:r>
            <w:r w:rsidRPr="0043443E">
              <w:rPr>
                <w:rFonts w:eastAsia="Times New Roman"/>
                <w:iCs/>
                <w:szCs w:val="20"/>
                <w:bdr w:val="none" w:sz="0" w:space="0" w:color="auto"/>
                <w:lang w:val="lt-LT" w:eastAsia="lt-LT"/>
              </w:rPr>
              <w:t>sams.</w:t>
            </w:r>
          </w:p>
          <w:p w:rsidR="0043443E" w:rsidRPr="0043443E" w:rsidRDefault="0043443E" w:rsidP="0043443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eastAsia="Times New Roman"/>
                <w:iCs/>
                <w:szCs w:val="20"/>
                <w:bdr w:val="none" w:sz="0" w:space="0" w:color="auto"/>
                <w:lang w:val="lt-LT" w:eastAsia="lt-LT"/>
              </w:rPr>
            </w:pPr>
            <w:r w:rsidRPr="0043443E">
              <w:rPr>
                <w:rFonts w:eastAsia="Times New Roman"/>
                <w:iCs/>
                <w:szCs w:val="20"/>
                <w:bdr w:val="none" w:sz="0" w:space="0" w:color="auto"/>
                <w:lang w:val="lt-LT" w:eastAsia="lt-LT"/>
              </w:rPr>
              <w:t>- Europos Komisija raginama prieš COP26 konferenciją pateikti 2020 m. duomenis apie ES, įskaitant Europos investicijų banką, skirtą finansavimo klimato kaitai besivystančioms šalims.</w:t>
            </w:r>
          </w:p>
          <w:p w:rsidR="00335ED8" w:rsidRPr="00E47362" w:rsidRDefault="00335ED8" w:rsidP="00335ED8">
            <w:pPr>
              <w:pStyle w:val="BodyA"/>
              <w:jc w:val="both"/>
              <w:rPr>
                <w:rFonts w:eastAsia="Times New Roman Bold" w:hAnsi="Times New Roman" w:cs="Times New Roman"/>
                <w:highlight w:val="yellow"/>
                <w:u w:val="single"/>
                <w:lang w:val="lt-LT"/>
              </w:rPr>
            </w:pPr>
          </w:p>
          <w:p w:rsidR="004B5739" w:rsidRDefault="00E1240D" w:rsidP="00A45CF8">
            <w:pPr>
              <w:pStyle w:val="BodyA"/>
              <w:jc w:val="both"/>
              <w:rPr>
                <w:rFonts w:hAnsi="Times New Roman" w:cs="Times New Roman"/>
                <w:b/>
                <w:lang w:val="lt-LT"/>
              </w:rPr>
            </w:pPr>
            <w:r w:rsidRPr="00E47362">
              <w:rPr>
                <w:rFonts w:hAnsi="Times New Roman" w:cs="Times New Roman"/>
                <w:b/>
                <w:u w:val="single"/>
                <w:lang w:val="lt-LT"/>
              </w:rPr>
              <w:t>Lietuvos pozicija.</w:t>
            </w:r>
            <w:r w:rsidRPr="00E47362">
              <w:rPr>
                <w:rFonts w:hAnsi="Times New Roman" w:cs="Times New Roman"/>
                <w:b/>
                <w:lang w:val="lt-LT"/>
              </w:rPr>
              <w:t xml:space="preserve"> </w:t>
            </w:r>
            <w:r w:rsidR="00A45CF8">
              <w:rPr>
                <w:rFonts w:hAnsi="Times New Roman" w:cs="Times New Roman"/>
                <w:lang w:val="lt-LT"/>
              </w:rPr>
              <w:t>P</w:t>
            </w:r>
            <w:r w:rsidR="00A45CF8" w:rsidRPr="00A45CF8">
              <w:rPr>
                <w:rFonts w:hAnsi="Times New Roman" w:cs="Times New Roman"/>
                <w:lang w:val="lt-LT"/>
              </w:rPr>
              <w:t>ritaria</w:t>
            </w:r>
            <w:r w:rsidR="00A45CF8">
              <w:rPr>
                <w:rFonts w:hAnsi="Times New Roman" w:cs="Times New Roman"/>
                <w:lang w:val="lt-LT"/>
              </w:rPr>
              <w:t>me</w:t>
            </w:r>
            <w:r w:rsidR="00A45CF8" w:rsidRPr="00A45CF8">
              <w:rPr>
                <w:rFonts w:hAnsi="Times New Roman" w:cs="Times New Roman"/>
                <w:lang w:val="lt-LT"/>
              </w:rPr>
              <w:t xml:space="preserve"> ECOFIN Tarybos išvadoms dėl tarptautinio klimato kaitos fina</w:t>
            </w:r>
            <w:r w:rsidR="00A45CF8" w:rsidRPr="00A45CF8">
              <w:rPr>
                <w:rFonts w:hAnsi="Times New Roman" w:cs="Times New Roman"/>
                <w:lang w:val="lt-LT"/>
              </w:rPr>
              <w:t>n</w:t>
            </w:r>
            <w:r w:rsidR="00A45CF8" w:rsidRPr="00A45CF8">
              <w:rPr>
                <w:rFonts w:hAnsi="Times New Roman" w:cs="Times New Roman"/>
                <w:lang w:val="lt-LT"/>
              </w:rPr>
              <w:t>savimo ir remia</w:t>
            </w:r>
            <w:r w:rsidR="00A45CF8">
              <w:rPr>
                <w:rFonts w:hAnsi="Times New Roman" w:cs="Times New Roman"/>
                <w:lang w:val="lt-LT"/>
              </w:rPr>
              <w:t>me</w:t>
            </w:r>
            <w:r w:rsidR="00A45CF8" w:rsidRPr="00A45CF8">
              <w:rPr>
                <w:rFonts w:hAnsi="Times New Roman" w:cs="Times New Roman"/>
                <w:lang w:val="lt-LT"/>
              </w:rPr>
              <w:t xml:space="preserve"> pagrindinius išvadų elementus. Ypač svarbus ir akcentuotinas poreikis įg</w:t>
            </w:r>
            <w:r w:rsidR="00A45CF8" w:rsidRPr="00A45CF8">
              <w:rPr>
                <w:rFonts w:hAnsi="Times New Roman" w:cs="Times New Roman"/>
                <w:lang w:val="lt-LT"/>
              </w:rPr>
              <w:t>y</w:t>
            </w:r>
            <w:r w:rsidR="00A45CF8" w:rsidRPr="00A45CF8">
              <w:rPr>
                <w:rFonts w:hAnsi="Times New Roman" w:cs="Times New Roman"/>
                <w:lang w:val="lt-LT"/>
              </w:rPr>
              <w:t>vendinti Paryžiaus susitarimo 2.1.c str. nuostatas, kad privataus klimato kaitos finansavimo a</w:t>
            </w:r>
            <w:r w:rsidR="00A45CF8" w:rsidRPr="00A45CF8">
              <w:rPr>
                <w:rFonts w:hAnsi="Times New Roman" w:cs="Times New Roman"/>
                <w:lang w:val="lt-LT"/>
              </w:rPr>
              <w:t>u</w:t>
            </w:r>
            <w:r w:rsidR="00A45CF8" w:rsidRPr="00A45CF8">
              <w:rPr>
                <w:rFonts w:hAnsi="Times New Roman" w:cs="Times New Roman"/>
                <w:lang w:val="lt-LT"/>
              </w:rPr>
              <w:t>gimas būtų kaip pagrindinis klimato kaitos finansavimo didėjimo šaltinis, išlaikant viešojo kl</w:t>
            </w:r>
            <w:r w:rsidR="00A45CF8" w:rsidRPr="00A45CF8">
              <w:rPr>
                <w:rFonts w:hAnsi="Times New Roman" w:cs="Times New Roman"/>
                <w:lang w:val="lt-LT"/>
              </w:rPr>
              <w:t>i</w:t>
            </w:r>
            <w:r w:rsidR="00A45CF8" w:rsidRPr="00A45CF8">
              <w:rPr>
                <w:rFonts w:hAnsi="Times New Roman" w:cs="Times New Roman"/>
                <w:lang w:val="lt-LT"/>
              </w:rPr>
              <w:t>mato kaitos finansavimo svarbą. Taip pat pritariame, kad reikalingas įvairių finansavimo šaltinių ir plataus dalyvių rato indėlis siekiant padidinti klimato kaitos finansavimą.</w:t>
            </w:r>
          </w:p>
          <w:p w:rsidR="0076574D" w:rsidRDefault="0076574D" w:rsidP="0076574D">
            <w:pPr>
              <w:pStyle w:val="BodyA"/>
              <w:rPr>
                <w:rFonts w:hAnsi="Times New Roman" w:cs="Times New Roman"/>
                <w:b/>
                <w:lang w:val="lt-LT"/>
              </w:rPr>
            </w:pPr>
          </w:p>
          <w:p w:rsidR="0076574D" w:rsidRDefault="0076574D" w:rsidP="00004B94">
            <w:pPr>
              <w:pStyle w:val="BodyA"/>
              <w:rPr>
                <w:rFonts w:hAnsi="Times New Roman" w:cs="Times New Roman"/>
                <w:i/>
                <w:lang w:val="lt-LT"/>
              </w:rPr>
            </w:pPr>
            <w:r>
              <w:rPr>
                <w:rFonts w:hAnsi="Times New Roman" w:cs="Times New Roman"/>
                <w:b/>
                <w:lang w:val="lt-LT"/>
              </w:rPr>
              <w:t xml:space="preserve">9. </w:t>
            </w:r>
            <w:r w:rsidRPr="0076574D">
              <w:rPr>
                <w:rFonts w:hAnsi="Times New Roman" w:cs="Times New Roman"/>
                <w:b/>
                <w:lang w:val="lt-LT"/>
              </w:rPr>
              <w:t>Išvados dėl mokesčių tikslais nebe</w:t>
            </w:r>
            <w:r>
              <w:rPr>
                <w:rFonts w:hAnsi="Times New Roman" w:cs="Times New Roman"/>
                <w:b/>
                <w:lang w:val="lt-LT"/>
              </w:rPr>
              <w:t xml:space="preserve">ndradarbiaujančių jurisdikciją </w:t>
            </w:r>
            <w:r w:rsidRPr="0076574D">
              <w:rPr>
                <w:rFonts w:hAnsi="Times New Roman" w:cs="Times New Roman"/>
                <w:b/>
                <w:lang w:val="lt-LT"/>
              </w:rPr>
              <w:t>turinč</w:t>
            </w:r>
            <w:r>
              <w:rPr>
                <w:rFonts w:hAnsi="Times New Roman" w:cs="Times New Roman"/>
                <w:b/>
                <w:lang w:val="lt-LT"/>
              </w:rPr>
              <w:t xml:space="preserve">ių subjektų ES sąrašo peržiūros </w:t>
            </w:r>
            <w:r w:rsidRPr="0076574D">
              <w:rPr>
                <w:rFonts w:hAnsi="Times New Roman" w:cs="Times New Roman"/>
                <w:i/>
                <w:lang w:val="lt-LT"/>
              </w:rPr>
              <w:t>(Tvirtinimas)</w:t>
            </w:r>
          </w:p>
          <w:p w:rsidR="00004B94" w:rsidRDefault="0076574D" w:rsidP="00004B94">
            <w:pPr>
              <w:ind w:firstLine="34"/>
              <w:jc w:val="both"/>
              <w:rPr>
                <w:rFonts w:eastAsia="Calibri"/>
                <w:bdr w:val="none" w:sz="0" w:space="0" w:color="auto"/>
                <w:lang w:val="lt-LT"/>
              </w:rPr>
            </w:pPr>
            <w:r w:rsidRPr="00AA492E">
              <w:rPr>
                <w:b/>
                <w:u w:val="single"/>
                <w:lang w:val="lt-LT"/>
              </w:rPr>
              <w:t>Klausimo esmė.</w:t>
            </w:r>
            <w:r w:rsidRPr="00AA492E">
              <w:rPr>
                <w:b/>
                <w:lang w:val="lt-LT"/>
              </w:rPr>
              <w:t xml:space="preserve"> </w:t>
            </w:r>
            <w:r w:rsidR="00004B94" w:rsidRPr="00004B94">
              <w:rPr>
                <w:lang w:val="lt-LT"/>
              </w:rPr>
              <w:t>Tarybai siūloma</w:t>
            </w:r>
            <w:r w:rsidR="00004B94">
              <w:rPr>
                <w:b/>
                <w:lang w:val="lt-LT"/>
              </w:rPr>
              <w:t xml:space="preserve"> </w:t>
            </w:r>
            <w:r w:rsidR="00004B94" w:rsidRPr="00004B94">
              <w:rPr>
                <w:rFonts w:eastAsia="Calibri"/>
                <w:bdr w:val="none" w:sz="0" w:space="0" w:color="auto"/>
                <w:lang w:val="lt-LT"/>
              </w:rPr>
              <w:t xml:space="preserve">patvirtinti Verslo elgesio kodekso grupės siūlymus </w:t>
            </w:r>
            <w:r w:rsidR="00004B94">
              <w:rPr>
                <w:rFonts w:eastAsia="Calibri"/>
                <w:bdr w:val="none" w:sz="0" w:space="0" w:color="auto"/>
                <w:lang w:val="lt-LT"/>
              </w:rPr>
              <w:t xml:space="preserve">dėl </w:t>
            </w:r>
            <w:r w:rsidR="00004B94" w:rsidRPr="00004B94">
              <w:rPr>
                <w:rFonts w:eastAsia="Calibri"/>
                <w:bdr w:val="none" w:sz="0" w:space="0" w:color="auto"/>
                <w:lang w:val="lt-LT"/>
              </w:rPr>
              <w:t>ES nebendrada</w:t>
            </w:r>
            <w:r w:rsidR="00004B94">
              <w:rPr>
                <w:rFonts w:eastAsia="Calibri"/>
                <w:bdr w:val="none" w:sz="0" w:space="0" w:color="auto"/>
                <w:lang w:val="lt-LT"/>
              </w:rPr>
              <w:t>rbiaujančių jurisdikcijų sąrašo</w:t>
            </w:r>
            <w:r w:rsidR="00004B94" w:rsidRPr="00004B94">
              <w:rPr>
                <w:rFonts w:eastAsia="Calibri"/>
                <w:bdr w:val="none" w:sz="0" w:space="0" w:color="auto"/>
                <w:lang w:val="lt-LT"/>
              </w:rPr>
              <w:t xml:space="preserve"> mokesčių tikslais</w:t>
            </w:r>
            <w:r w:rsidR="00004B94">
              <w:rPr>
                <w:rFonts w:eastAsia="Calibri"/>
                <w:bdr w:val="none" w:sz="0" w:space="0" w:color="auto"/>
                <w:lang w:val="lt-LT"/>
              </w:rPr>
              <w:t xml:space="preserve"> atnaujinimo</w:t>
            </w:r>
            <w:r w:rsidR="00004B94" w:rsidRPr="00004B94">
              <w:rPr>
                <w:rFonts w:eastAsia="Calibri"/>
                <w:bdr w:val="none" w:sz="0" w:space="0" w:color="auto"/>
                <w:lang w:val="lt-LT"/>
              </w:rPr>
              <w:t>, atsižvelgiant į sąraše esančių jurisdikcijų padarytą pažangą</w:t>
            </w:r>
            <w:r w:rsidR="00004B94">
              <w:rPr>
                <w:rFonts w:eastAsia="Calibri"/>
                <w:bdr w:val="none" w:sz="0" w:space="0" w:color="auto"/>
                <w:lang w:val="lt-LT"/>
              </w:rPr>
              <w:t>. P</w:t>
            </w:r>
            <w:r w:rsidR="00004B94" w:rsidRPr="00004B94">
              <w:rPr>
                <w:rFonts w:eastAsia="Calibri"/>
                <w:bdr w:val="none" w:sz="0" w:space="0" w:color="auto"/>
                <w:lang w:val="lt-LT"/>
              </w:rPr>
              <w:t>irmasis „ES sąrašas“ patvirtintas 2017 m. gruodžio mėn.; dabar galiojanti sąrašo redakcija patvirtinta 202</w:t>
            </w:r>
            <w:r w:rsidR="00004B94" w:rsidRPr="00004B94">
              <w:rPr>
                <w:rFonts w:eastAsia="Calibri"/>
                <w:bdr w:val="none" w:sz="0" w:space="0" w:color="auto"/>
              </w:rPr>
              <w:t>1</w:t>
            </w:r>
            <w:r w:rsidR="00004B94" w:rsidRPr="00004B94">
              <w:rPr>
                <w:rFonts w:eastAsia="Calibri"/>
                <w:bdr w:val="none" w:sz="0" w:space="0" w:color="auto"/>
                <w:lang w:val="lt-LT"/>
              </w:rPr>
              <w:t xml:space="preserve"> m. vasario</w:t>
            </w:r>
            <w:r w:rsidR="00004B94">
              <w:rPr>
                <w:rFonts w:eastAsia="Calibri"/>
                <w:bdr w:val="none" w:sz="0" w:space="0" w:color="auto"/>
                <w:lang w:val="lt-LT"/>
              </w:rPr>
              <w:t xml:space="preserve"> mėn. </w:t>
            </w:r>
          </w:p>
          <w:p w:rsidR="00004B94" w:rsidRPr="00004B94" w:rsidRDefault="00004B94" w:rsidP="00004B94">
            <w:pPr>
              <w:ind w:firstLine="34"/>
              <w:jc w:val="both"/>
              <w:rPr>
                <w:rFonts w:eastAsia="Calibri"/>
                <w:bdr w:val="none" w:sz="0" w:space="0" w:color="auto"/>
                <w:lang w:val="lt-LT"/>
              </w:rPr>
            </w:pPr>
            <w:r>
              <w:rPr>
                <w:rFonts w:eastAsia="Calibri"/>
                <w:bdr w:val="none" w:sz="0" w:space="0" w:color="auto"/>
                <w:lang w:val="lt-LT"/>
              </w:rPr>
              <w:t>Siūlomi pakeitimai</w:t>
            </w:r>
            <w:r w:rsidRPr="00004B94">
              <w:rPr>
                <w:rFonts w:eastAsia="Calibri"/>
                <w:bdr w:val="none" w:sz="0" w:space="0" w:color="auto"/>
                <w:lang w:val="lt-LT"/>
              </w:rPr>
              <w:t xml:space="preserve">: </w:t>
            </w:r>
          </w:p>
          <w:p w:rsidR="00004B94" w:rsidRPr="00004B94" w:rsidRDefault="00004B94" w:rsidP="00004B94">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459" w:hanging="283"/>
              <w:contextualSpacing/>
              <w:jc w:val="both"/>
              <w:rPr>
                <w:rFonts w:eastAsia="Times New Roman"/>
                <w:color w:val="000000"/>
                <w:bdr w:val="none" w:sz="0" w:space="0" w:color="auto"/>
                <w:lang w:val="lt-LT" w:eastAsia="lt-LT" w:bidi="lt-LT"/>
              </w:rPr>
            </w:pPr>
            <w:r w:rsidRPr="00004B94">
              <w:rPr>
                <w:rFonts w:eastAsia="Times New Roman"/>
                <w:color w:val="000000"/>
                <w:u w:val="single"/>
                <w:bdr w:val="none" w:sz="0" w:space="0" w:color="auto"/>
                <w:lang w:val="lt-LT" w:eastAsia="lt-LT" w:bidi="lt-LT"/>
              </w:rPr>
              <w:t>Bus atnaujintas I priedas</w:t>
            </w:r>
            <w:r w:rsidRPr="00004B94">
              <w:rPr>
                <w:rFonts w:eastAsia="Times New Roman"/>
                <w:color w:val="000000"/>
                <w:bdr w:val="none" w:sz="0" w:space="0" w:color="auto"/>
                <w:lang w:val="lt-LT" w:eastAsia="lt-LT" w:bidi="lt-LT"/>
              </w:rPr>
              <w:t xml:space="preserve"> (ES sąrašas, į kurį įtraukiamos nebendradarbiaujančios jurisdikc</w:t>
            </w:r>
            <w:r w:rsidRPr="00004B94">
              <w:rPr>
                <w:rFonts w:eastAsia="Times New Roman"/>
                <w:color w:val="000000"/>
                <w:bdr w:val="none" w:sz="0" w:space="0" w:color="auto"/>
                <w:lang w:val="lt-LT" w:eastAsia="lt-LT" w:bidi="lt-LT"/>
              </w:rPr>
              <w:t>i</w:t>
            </w:r>
            <w:r w:rsidRPr="00004B94">
              <w:rPr>
                <w:rFonts w:eastAsia="Times New Roman"/>
                <w:color w:val="000000"/>
                <w:bdr w:val="none" w:sz="0" w:space="0" w:color="auto"/>
                <w:lang w:val="lt-LT" w:eastAsia="lt-LT" w:bidi="lt-LT"/>
              </w:rPr>
              <w:t>jos ). Šiuo metu į ES sąrašą yra įtraukta 12 jurisdikcijų</w:t>
            </w:r>
            <w:r w:rsidRPr="00004B94">
              <w:rPr>
                <w:rFonts w:eastAsia="Times New Roman"/>
                <w:color w:val="000000"/>
                <w:bdr w:val="none" w:sz="0" w:space="0" w:color="auto"/>
                <w:vertAlign w:val="superscript"/>
                <w:lang w:val="lt-LT" w:eastAsia="lt-LT" w:bidi="lt-LT"/>
              </w:rPr>
              <w:footnoteReference w:id="2"/>
            </w:r>
            <w:r w:rsidRPr="00004B94">
              <w:rPr>
                <w:rFonts w:eastAsia="Times New Roman"/>
                <w:color w:val="000000"/>
                <w:bdr w:val="none" w:sz="0" w:space="0" w:color="auto"/>
                <w:lang w:val="lt-LT" w:eastAsia="lt-LT" w:bidi="lt-LT"/>
              </w:rPr>
              <w:t xml:space="preserve">, iš kurių siūloma </w:t>
            </w:r>
            <w:r w:rsidRPr="00004B94">
              <w:rPr>
                <w:rFonts w:eastAsia="Times New Roman"/>
                <w:color w:val="000000"/>
                <w:u w:val="single"/>
                <w:bdr w:val="none" w:sz="0" w:space="0" w:color="auto"/>
                <w:lang w:val="lt-LT" w:eastAsia="lt-LT" w:bidi="lt-LT"/>
              </w:rPr>
              <w:t xml:space="preserve">išbraukti </w:t>
            </w:r>
            <w:proofErr w:type="spellStart"/>
            <w:r w:rsidRPr="00004B94">
              <w:rPr>
                <w:rFonts w:eastAsia="Times New Roman"/>
                <w:color w:val="000000"/>
                <w:u w:val="single"/>
                <w:bdr w:val="none" w:sz="0" w:space="0" w:color="auto"/>
                <w:lang w:val="lt-LT" w:eastAsia="lt-LT" w:bidi="lt-LT"/>
              </w:rPr>
              <w:t>Angiliją</w:t>
            </w:r>
            <w:proofErr w:type="spellEnd"/>
            <w:r w:rsidRPr="00004B94">
              <w:rPr>
                <w:rFonts w:eastAsia="Times New Roman"/>
                <w:color w:val="000000"/>
                <w:u w:val="single"/>
                <w:bdr w:val="none" w:sz="0" w:space="0" w:color="auto"/>
                <w:lang w:val="lt-LT" w:eastAsia="lt-LT" w:bidi="lt-LT"/>
              </w:rPr>
              <w:t>, Dominiką, Seišelius</w:t>
            </w:r>
            <w:r w:rsidRPr="00004B94">
              <w:rPr>
                <w:rFonts w:eastAsia="Times New Roman"/>
                <w:color w:val="000000"/>
                <w:bdr w:val="none" w:sz="0" w:space="0" w:color="auto"/>
                <w:lang w:val="lt-LT" w:eastAsia="lt-LT" w:bidi="lt-LT"/>
              </w:rPr>
              <w:t xml:space="preserve"> (perkeliant šias jurisdikcijas į II Priedą, įvertinus tai, kad nors jų keit</w:t>
            </w:r>
            <w:r w:rsidRPr="00004B94">
              <w:rPr>
                <w:rFonts w:eastAsia="Times New Roman"/>
                <w:color w:val="000000"/>
                <w:bdr w:val="none" w:sz="0" w:space="0" w:color="auto"/>
                <w:lang w:val="lt-LT" w:eastAsia="lt-LT" w:bidi="lt-LT"/>
              </w:rPr>
              <w:t>i</w:t>
            </w:r>
            <w:r w:rsidRPr="00004B94">
              <w:rPr>
                <w:rFonts w:eastAsia="Times New Roman"/>
                <w:color w:val="000000"/>
                <w:bdr w:val="none" w:sz="0" w:space="0" w:color="auto"/>
                <w:lang w:val="lt-LT" w:eastAsia="lt-LT" w:bidi="lt-LT"/>
              </w:rPr>
              <w:t>mosi mokestine informacija reitingas buvo pažemintas, tačiau jos kreipėsi į EBPO Pasaulinį forumą dėl papildomo vertinimo ir gavo sutikimą, kad vertinimas bus atliekamas).</w:t>
            </w:r>
          </w:p>
          <w:p w:rsidR="00004B94" w:rsidRPr="00004B94" w:rsidRDefault="00004B94" w:rsidP="00004B94">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9" w:hanging="283"/>
              <w:contextualSpacing/>
              <w:jc w:val="both"/>
              <w:rPr>
                <w:rFonts w:eastAsia="Times New Roman"/>
                <w:color w:val="000000"/>
                <w:bdr w:val="none" w:sz="0" w:space="0" w:color="auto"/>
                <w:lang w:val="lt-LT" w:eastAsia="lt-LT" w:bidi="lt-LT"/>
              </w:rPr>
            </w:pPr>
            <w:r w:rsidRPr="00004B94">
              <w:rPr>
                <w:rFonts w:eastAsia="Times New Roman"/>
                <w:color w:val="000000"/>
                <w:u w:val="single"/>
                <w:bdr w:val="none" w:sz="0" w:space="0" w:color="auto"/>
                <w:lang w:val="lt-LT" w:eastAsia="lt-LT" w:bidi="lt-LT"/>
              </w:rPr>
              <w:t>Bus atnaujintas II Priedas</w:t>
            </w:r>
            <w:r w:rsidRPr="00004B94">
              <w:rPr>
                <w:rFonts w:eastAsia="Times New Roman"/>
                <w:color w:val="000000"/>
                <w:bdr w:val="none" w:sz="0" w:space="0" w:color="auto"/>
                <w:lang w:val="lt-LT" w:eastAsia="lt-LT" w:bidi="lt-LT"/>
              </w:rPr>
              <w:t xml:space="preserve"> (jame </w:t>
            </w:r>
            <w:r w:rsidRPr="00004B94">
              <w:rPr>
                <w:rFonts w:eastAsia="Calibri"/>
                <w:color w:val="000000"/>
                <w:bdr w:val="none" w:sz="0" w:space="0" w:color="auto"/>
                <w:lang w:val="lt-LT" w:eastAsia="lt-LT" w:bidi="lt-LT"/>
              </w:rPr>
              <w:t>pateikiamas šiai dienai dar ne visus kriterijus atitinkančių, tačiau įsipareigojusių  iki tam tikro termino imtis reikiamų veiksmų kriterijų įgyvendinimui, jurisdikcijų sąrašas</w:t>
            </w:r>
            <w:r w:rsidRPr="00004B94">
              <w:rPr>
                <w:rFonts w:eastAsia="Times New Roman"/>
                <w:color w:val="000000"/>
                <w:bdr w:val="none" w:sz="0" w:space="0" w:color="auto"/>
                <w:lang w:val="lt-LT" w:eastAsia="lt-LT" w:bidi="lt-LT"/>
              </w:rPr>
              <w:t xml:space="preserve">). Siūloma </w:t>
            </w:r>
            <w:r w:rsidRPr="00004B94">
              <w:rPr>
                <w:rFonts w:eastAsia="Times New Roman"/>
                <w:color w:val="000000"/>
                <w:u w:val="single"/>
                <w:bdr w:val="none" w:sz="0" w:space="0" w:color="auto"/>
                <w:lang w:val="lt-LT" w:eastAsia="lt-LT" w:bidi="lt-LT"/>
              </w:rPr>
              <w:t>išbraukti Australiją, Jordaniją</w:t>
            </w:r>
            <w:r w:rsidRPr="00004B94">
              <w:rPr>
                <w:rFonts w:eastAsia="Times New Roman"/>
                <w:color w:val="000000"/>
                <w:bdr w:val="none" w:sz="0" w:space="0" w:color="auto"/>
                <w:lang w:val="lt-LT" w:eastAsia="lt-LT" w:bidi="lt-LT"/>
              </w:rPr>
              <w:t xml:space="preserve"> (pilnai įvykdė įsipareigojimus), </w:t>
            </w:r>
            <w:r w:rsidRPr="00004B94">
              <w:rPr>
                <w:rFonts w:eastAsia="Times New Roman"/>
                <w:color w:val="000000"/>
                <w:u w:val="single"/>
                <w:bdr w:val="none" w:sz="0" w:space="0" w:color="auto"/>
                <w:lang w:val="lt-LT" w:eastAsia="lt-LT" w:bidi="lt-LT"/>
              </w:rPr>
              <w:t xml:space="preserve">iš dalies išimti  Botsvaną, </w:t>
            </w:r>
            <w:proofErr w:type="spellStart"/>
            <w:r w:rsidRPr="00004B94">
              <w:rPr>
                <w:rFonts w:eastAsia="Times New Roman"/>
                <w:color w:val="000000"/>
                <w:u w:val="single"/>
                <w:bdr w:val="none" w:sz="0" w:space="0" w:color="auto"/>
                <w:lang w:val="lt-LT" w:eastAsia="lt-LT" w:bidi="lt-LT"/>
              </w:rPr>
              <w:t>Esvatini</w:t>
            </w:r>
            <w:proofErr w:type="spellEnd"/>
            <w:r w:rsidRPr="00004B94">
              <w:rPr>
                <w:rFonts w:eastAsia="Times New Roman"/>
                <w:color w:val="000000"/>
                <w:bdr w:val="none" w:sz="0" w:space="0" w:color="auto"/>
                <w:lang w:val="lt-LT" w:eastAsia="lt-LT" w:bidi="lt-LT"/>
              </w:rPr>
              <w:t xml:space="preserve"> (turėjo po kelis įsipareigojimus ir dar ne visus įvykdė); </w:t>
            </w:r>
            <w:r w:rsidRPr="00004B94">
              <w:rPr>
                <w:rFonts w:eastAsia="Times New Roman"/>
                <w:color w:val="000000"/>
                <w:u w:val="single"/>
                <w:bdr w:val="none" w:sz="0" w:space="0" w:color="auto"/>
                <w:lang w:val="lt-LT" w:eastAsia="lt-LT" w:bidi="lt-LT"/>
              </w:rPr>
              <w:t>įtraukti į II Priedą Honkongą, Malaiziją, Kosta Riką, Katarą, Urugvajų</w:t>
            </w:r>
            <w:r w:rsidRPr="00004B94">
              <w:rPr>
                <w:rFonts w:eastAsia="Times New Roman"/>
                <w:color w:val="000000"/>
                <w:bdr w:val="none" w:sz="0" w:space="0" w:color="auto"/>
                <w:lang w:val="lt-LT" w:eastAsia="lt-LT" w:bidi="lt-LT"/>
              </w:rPr>
              <w:t>, nes jie pateikė pas</w:t>
            </w:r>
            <w:r w:rsidRPr="00004B94">
              <w:rPr>
                <w:rFonts w:eastAsia="Times New Roman"/>
                <w:color w:val="000000"/>
                <w:bdr w:val="none" w:sz="0" w:space="0" w:color="auto"/>
                <w:lang w:val="lt-LT" w:eastAsia="lt-LT" w:bidi="lt-LT"/>
              </w:rPr>
              <w:t>i</w:t>
            </w:r>
            <w:r w:rsidRPr="00004B94">
              <w:rPr>
                <w:rFonts w:eastAsia="Times New Roman"/>
                <w:color w:val="000000"/>
                <w:bdr w:val="none" w:sz="0" w:space="0" w:color="auto"/>
                <w:lang w:val="lt-LT" w:eastAsia="lt-LT" w:bidi="lt-LT"/>
              </w:rPr>
              <w:t xml:space="preserve">žadėjimus reformuoti turimus žalingus režimus. Taip pat bus siūloma </w:t>
            </w:r>
            <w:r w:rsidRPr="00004B94">
              <w:rPr>
                <w:rFonts w:eastAsia="Times New Roman"/>
                <w:color w:val="000000"/>
                <w:u w:val="single"/>
                <w:bdr w:val="none" w:sz="0" w:space="0" w:color="auto"/>
                <w:lang w:val="lt-LT" w:eastAsia="lt-LT" w:bidi="lt-LT"/>
              </w:rPr>
              <w:t>II Priede palikti Tu</w:t>
            </w:r>
            <w:r w:rsidRPr="00004B94">
              <w:rPr>
                <w:rFonts w:eastAsia="Times New Roman"/>
                <w:color w:val="000000"/>
                <w:u w:val="single"/>
                <w:bdr w:val="none" w:sz="0" w:space="0" w:color="auto"/>
                <w:lang w:val="lt-LT" w:eastAsia="lt-LT" w:bidi="lt-LT"/>
              </w:rPr>
              <w:t>r</w:t>
            </w:r>
            <w:r w:rsidRPr="00004B94">
              <w:rPr>
                <w:rFonts w:eastAsia="Times New Roman"/>
                <w:color w:val="000000"/>
                <w:u w:val="single"/>
                <w:bdr w:val="none" w:sz="0" w:space="0" w:color="auto"/>
                <w:lang w:val="lt-LT" w:eastAsia="lt-LT" w:bidi="lt-LT"/>
              </w:rPr>
              <w:t>kiją</w:t>
            </w:r>
            <w:r w:rsidRPr="00004B94">
              <w:rPr>
                <w:rFonts w:eastAsia="Times New Roman"/>
                <w:color w:val="000000"/>
                <w:bdr w:val="none" w:sz="0" w:space="0" w:color="auto"/>
                <w:lang w:val="lt-LT" w:eastAsia="lt-LT" w:bidi="lt-LT"/>
              </w:rPr>
              <w:t>.</w:t>
            </w:r>
          </w:p>
          <w:p w:rsidR="00004B94" w:rsidRPr="00004B94" w:rsidRDefault="00004B94" w:rsidP="00004B94">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adjustRightInd w:val="0"/>
              <w:jc w:val="both"/>
              <w:rPr>
                <w:rFonts w:eastAsia="Calibri"/>
                <w:color w:val="000000"/>
                <w:sz w:val="23"/>
                <w:szCs w:val="23"/>
                <w:bdr w:val="none" w:sz="0" w:space="0" w:color="auto"/>
                <w:lang w:val="lt-LT"/>
              </w:rPr>
            </w:pPr>
            <w:r w:rsidRPr="00BD168E">
              <w:rPr>
                <w:rFonts w:eastAsia="Calibri"/>
                <w:color w:val="000000"/>
                <w:bdr w:val="none" w:sz="0" w:space="0" w:color="auto"/>
                <w:lang w:val="lt-LT"/>
              </w:rPr>
              <w:t>B</w:t>
            </w:r>
            <w:r w:rsidRPr="00004B94">
              <w:rPr>
                <w:rFonts w:eastAsia="Calibri"/>
                <w:color w:val="000000"/>
                <w:bdr w:val="none" w:sz="0" w:space="0" w:color="auto"/>
                <w:lang w:val="lt-LT"/>
              </w:rPr>
              <w:t xml:space="preserve">ūtent Turkijos vertinimas yra ginčo tarp ES VN objektas, nes šalys kol kas nesutaria, ar jos padaryta pažanga atitinka keltas sąlygas, </w:t>
            </w:r>
            <w:r>
              <w:rPr>
                <w:rFonts w:eastAsia="Calibri"/>
                <w:color w:val="000000"/>
                <w:bdr w:val="none" w:sz="0" w:space="0" w:color="auto"/>
                <w:lang w:val="lt-LT"/>
              </w:rPr>
              <w:t xml:space="preserve">bei </w:t>
            </w:r>
            <w:r w:rsidRPr="00004B94">
              <w:rPr>
                <w:rFonts w:eastAsia="Calibri"/>
                <w:color w:val="000000"/>
                <w:bdr w:val="none" w:sz="0" w:space="0" w:color="auto"/>
                <w:lang w:val="lt-LT"/>
              </w:rPr>
              <w:t>ar ji neturėtų būti  įtraukiama į ES sąrašą</w:t>
            </w:r>
            <w:r>
              <w:rPr>
                <w:rFonts w:eastAsia="Calibri"/>
                <w:color w:val="000000"/>
                <w:bdr w:val="none" w:sz="0" w:space="0" w:color="auto"/>
                <w:lang w:val="lt-LT"/>
              </w:rPr>
              <w:t>. N</w:t>
            </w:r>
            <w:r w:rsidRPr="00004B94">
              <w:rPr>
                <w:rFonts w:eastAsia="Calibri"/>
                <w:color w:val="000000"/>
                <w:bdr w:val="none" w:sz="0" w:space="0" w:color="auto"/>
                <w:lang w:val="lt-LT"/>
              </w:rPr>
              <w:t>ors daugumai VN Turkija pateikė informacijos rinkinius nustatytais terminais,  tačiau jos pateikta informacija daugeliu atvejų bevertė, nes dokumentai arba neatsidaro</w:t>
            </w:r>
            <w:r w:rsidR="00BD168E">
              <w:rPr>
                <w:rFonts w:eastAsia="Calibri"/>
                <w:color w:val="000000"/>
                <w:bdr w:val="none" w:sz="0" w:space="0" w:color="auto"/>
                <w:lang w:val="lt-LT"/>
              </w:rPr>
              <w:t xml:space="preserve"> (tokia situacija ir su VMI teikta Turkijos informacija)</w:t>
            </w:r>
            <w:r w:rsidRPr="00004B94">
              <w:rPr>
                <w:rFonts w:eastAsia="Calibri"/>
                <w:color w:val="000000"/>
                <w:bdr w:val="none" w:sz="0" w:space="0" w:color="auto"/>
                <w:lang w:val="lt-LT"/>
              </w:rPr>
              <w:t>, arba pateikta informacija nekokybiška. Kiprui informacija apskritai neteikiama, nes Turkija nepalaiko su Kipru jokių diplomatinių santykių. Atsižvelgiant į tai, da</w:t>
            </w:r>
            <w:r w:rsidRPr="00004B94">
              <w:rPr>
                <w:rFonts w:eastAsia="Calibri"/>
                <w:color w:val="000000"/>
                <w:bdr w:val="none" w:sz="0" w:space="0" w:color="auto"/>
                <w:lang w:val="lt-LT"/>
              </w:rPr>
              <w:t>u</w:t>
            </w:r>
            <w:r w:rsidRPr="00004B94">
              <w:rPr>
                <w:rFonts w:eastAsia="Calibri"/>
                <w:color w:val="000000"/>
                <w:bdr w:val="none" w:sz="0" w:space="0" w:color="auto"/>
                <w:lang w:val="lt-LT"/>
              </w:rPr>
              <w:t>guma VN sutaria, kad Turkiją reikia palikti II Priede nurodant, kad ji turi imtis priemonių te</w:t>
            </w:r>
            <w:r w:rsidRPr="00004B94">
              <w:rPr>
                <w:rFonts w:eastAsia="Calibri"/>
                <w:color w:val="000000"/>
                <w:bdr w:val="none" w:sz="0" w:space="0" w:color="auto"/>
                <w:lang w:val="lt-LT"/>
              </w:rPr>
              <w:t>i</w:t>
            </w:r>
            <w:r w:rsidRPr="00004B94">
              <w:rPr>
                <w:rFonts w:eastAsia="Calibri"/>
                <w:color w:val="000000"/>
                <w:bdr w:val="none" w:sz="0" w:space="0" w:color="auto"/>
                <w:lang w:val="lt-LT"/>
              </w:rPr>
              <w:t>kiamos informacijos kokybei gerinti, tačiau Kipras ir Graikija kol kas laikosi pozicijos, kad Tu</w:t>
            </w:r>
            <w:r w:rsidRPr="00004B94">
              <w:rPr>
                <w:rFonts w:eastAsia="Calibri"/>
                <w:color w:val="000000"/>
                <w:bdr w:val="none" w:sz="0" w:space="0" w:color="auto"/>
                <w:lang w:val="lt-LT"/>
              </w:rPr>
              <w:t>r</w:t>
            </w:r>
            <w:r w:rsidRPr="00004B94">
              <w:rPr>
                <w:rFonts w:eastAsia="Calibri"/>
                <w:color w:val="000000"/>
                <w:bdr w:val="none" w:sz="0" w:space="0" w:color="auto"/>
                <w:lang w:val="lt-LT"/>
              </w:rPr>
              <w:t>kija laiku įsipareigojimų neįvykdė, todėl</w:t>
            </w:r>
            <w:r w:rsidRPr="00004B94">
              <w:rPr>
                <w:rFonts w:eastAsia="Calibri"/>
                <w:bCs/>
                <w:color w:val="000000"/>
                <w:bdr w:val="none" w:sz="0" w:space="0" w:color="auto"/>
                <w:lang w:val="lt-LT"/>
              </w:rPr>
              <w:t xml:space="preserve"> jau dabar turėtų būti įtraukta į ES sąrašą.</w:t>
            </w:r>
            <w:r w:rsidRPr="00004B94">
              <w:rPr>
                <w:rFonts w:eastAsia="Calibri"/>
                <w:bCs/>
                <w:color w:val="000000"/>
                <w:sz w:val="23"/>
                <w:szCs w:val="23"/>
                <w:bdr w:val="none" w:sz="0" w:space="0" w:color="auto"/>
                <w:lang w:val="fr-BE"/>
              </w:rPr>
              <w:t xml:space="preserve"> </w:t>
            </w:r>
          </w:p>
          <w:p w:rsidR="0076574D" w:rsidRPr="00E47362" w:rsidRDefault="0076574D" w:rsidP="00004B94">
            <w:pPr>
              <w:pStyle w:val="BodyA"/>
              <w:jc w:val="both"/>
              <w:rPr>
                <w:rFonts w:eastAsia="Times New Roman Bold" w:hAnsi="Times New Roman" w:cs="Times New Roman"/>
                <w:highlight w:val="yellow"/>
                <w:u w:val="single"/>
                <w:lang w:val="lt-LT"/>
              </w:rPr>
            </w:pPr>
          </w:p>
          <w:p w:rsidR="0076574D" w:rsidRPr="0076574D" w:rsidRDefault="0076574D" w:rsidP="0076574D">
            <w:pPr>
              <w:pStyle w:val="BodyA"/>
              <w:rPr>
                <w:rFonts w:hAnsi="Times New Roman" w:cs="Times New Roman"/>
                <w:b/>
                <w:lang w:val="lt-LT"/>
              </w:rPr>
            </w:pPr>
            <w:r w:rsidRPr="00E47362">
              <w:rPr>
                <w:rFonts w:hAnsi="Times New Roman" w:cs="Times New Roman"/>
                <w:b/>
                <w:u w:val="single"/>
                <w:lang w:val="lt-LT"/>
              </w:rPr>
              <w:t>Lietuvos pozicija.</w:t>
            </w:r>
            <w:r w:rsidRPr="00E47362">
              <w:rPr>
                <w:rFonts w:hAnsi="Times New Roman" w:cs="Times New Roman"/>
                <w:b/>
                <w:lang w:val="lt-LT"/>
              </w:rPr>
              <w:t xml:space="preserve"> </w:t>
            </w:r>
            <w:r w:rsidR="00BD168E" w:rsidRPr="00BD168E">
              <w:rPr>
                <w:rFonts w:hAnsi="Times New Roman" w:cs="Times New Roman"/>
                <w:lang w:val="lt-LT"/>
              </w:rPr>
              <w:t>pritarti Tarybos išvadų projektui paliekant Turkiją II priede.</w:t>
            </w:r>
          </w:p>
        </w:tc>
      </w:tr>
    </w:tbl>
    <w:p w:rsidR="005515EF" w:rsidRDefault="005515EF" w:rsidP="00704CBF">
      <w:pPr>
        <w:jc w:val="center"/>
        <w:rPr>
          <w:rFonts w:eastAsia="Calibri"/>
          <w:b/>
          <w:lang w:val="lt-LT"/>
        </w:rPr>
      </w:pPr>
    </w:p>
    <w:p w:rsidR="00C56C82" w:rsidRDefault="00C56C82" w:rsidP="00704CBF">
      <w:pPr>
        <w:jc w:val="center"/>
        <w:rPr>
          <w:rFonts w:eastAsia="Calibri"/>
          <w:b/>
          <w:lang w:val="lt-LT"/>
        </w:rPr>
      </w:pPr>
    </w:p>
    <w:p w:rsidR="002F39D0" w:rsidRPr="00E47362" w:rsidRDefault="00790FF5" w:rsidP="00704CBF">
      <w:pPr>
        <w:jc w:val="center"/>
        <w:rPr>
          <w:rFonts w:eastAsia="Calibri"/>
          <w:b/>
          <w:lang w:val="lt-LT"/>
        </w:rPr>
      </w:pPr>
      <w:r w:rsidRPr="00E47362">
        <w:rPr>
          <w:rFonts w:eastAsia="Calibri"/>
          <w:b/>
          <w:lang w:val="lt-LT"/>
        </w:rPr>
        <w:t>2021</w:t>
      </w:r>
      <w:r w:rsidR="00274F66" w:rsidRPr="00E47362">
        <w:rPr>
          <w:rFonts w:eastAsia="Calibri"/>
          <w:b/>
          <w:lang w:val="lt-LT"/>
        </w:rPr>
        <w:t xml:space="preserve"> </w:t>
      </w:r>
      <w:r w:rsidR="00EA7709">
        <w:rPr>
          <w:rFonts w:eastAsia="Calibri"/>
          <w:b/>
          <w:lang w:val="lt-LT"/>
        </w:rPr>
        <w:t>M. SPALIO 4</w:t>
      </w:r>
      <w:r w:rsidR="00EE0A8F" w:rsidRPr="00E47362">
        <w:rPr>
          <w:rFonts w:eastAsia="Calibri"/>
          <w:b/>
          <w:lang w:val="lt-LT"/>
        </w:rPr>
        <w:t xml:space="preserve"> D. EURO GRUPĖS </w:t>
      </w:r>
      <w:r w:rsidR="00185FD2">
        <w:rPr>
          <w:rFonts w:eastAsia="Calibri"/>
          <w:b/>
          <w:lang w:val="lt-LT"/>
        </w:rPr>
        <w:t xml:space="preserve">(EG) </w:t>
      </w:r>
      <w:r w:rsidR="00A43544">
        <w:rPr>
          <w:rFonts w:eastAsia="Calibri"/>
          <w:b/>
          <w:lang w:val="lt-LT"/>
        </w:rPr>
        <w:t>SUSITIKIMAS</w:t>
      </w:r>
    </w:p>
    <w:p w:rsidR="005A71D9" w:rsidRPr="00E47362" w:rsidRDefault="005A71D9" w:rsidP="00704CBF">
      <w:pPr>
        <w:jc w:val="center"/>
        <w:rPr>
          <w:rFonts w:eastAsia="Calibri"/>
          <w:b/>
          <w:lang w:val="lt-LT"/>
        </w:rPr>
      </w:pPr>
    </w:p>
    <w:p w:rsidR="00530736" w:rsidRDefault="00530736" w:rsidP="00530736">
      <w:pPr>
        <w:pStyle w:val="Default"/>
      </w:pPr>
    </w:p>
    <w:p w:rsidR="00AE4846" w:rsidRPr="009A52A2" w:rsidRDefault="00AE4846" w:rsidP="00664A68">
      <w:pPr>
        <w:pBdr>
          <w:top w:val="single" w:sz="4" w:space="1" w:color="auto"/>
          <w:left w:val="single" w:sz="4" w:space="4" w:color="auto"/>
          <w:bottom w:val="single" w:sz="4" w:space="1" w:color="auto"/>
          <w:right w:val="single" w:sz="4" w:space="4" w:color="auto"/>
          <w:between w:val="none" w:sz="0" w:space="0" w:color="auto"/>
          <w:bar w:val="none" w:sz="0" w:color="auto"/>
        </w:pBdr>
        <w:rPr>
          <w:b/>
          <w:bdr w:val="none" w:sz="0" w:space="0" w:color="auto"/>
          <w:lang w:val="lt-LT"/>
        </w:rPr>
      </w:pPr>
      <w:r w:rsidRPr="005A71D9">
        <w:rPr>
          <w:b/>
          <w:color w:val="202124"/>
          <w:bdr w:val="none" w:sz="0" w:space="0" w:color="auto"/>
          <w:lang w:val="lt-LT" w:eastAsia="lt-LT"/>
        </w:rPr>
        <w:t>1</w:t>
      </w:r>
      <w:r w:rsidRPr="009A52A2">
        <w:rPr>
          <w:b/>
          <w:color w:val="202124"/>
          <w:bdr w:val="none" w:sz="0" w:space="0" w:color="auto"/>
          <w:lang w:val="lt-LT" w:eastAsia="lt-LT"/>
        </w:rPr>
        <w:t xml:space="preserve">. </w:t>
      </w:r>
      <w:proofErr w:type="spellStart"/>
      <w:r w:rsidR="00EA7709" w:rsidRPr="00EA7709">
        <w:rPr>
          <w:b/>
          <w:color w:val="202124"/>
          <w:bdr w:val="none" w:sz="0" w:space="0" w:color="auto"/>
          <w:lang w:val="lt-LT" w:eastAsia="lt-LT"/>
        </w:rPr>
        <w:t>Makorekonominės</w:t>
      </w:r>
      <w:proofErr w:type="spellEnd"/>
      <w:r w:rsidR="00EA7709" w:rsidRPr="00EA7709">
        <w:rPr>
          <w:b/>
          <w:color w:val="202124"/>
          <w:bdr w:val="none" w:sz="0" w:space="0" w:color="auto"/>
          <w:lang w:val="lt-LT" w:eastAsia="lt-LT"/>
        </w:rPr>
        <w:t xml:space="preserve"> tendencijos euro zonoje, įskaitant energijos kainų tendencijas</w:t>
      </w:r>
    </w:p>
    <w:p w:rsidR="00A93E92" w:rsidRPr="00A93E92" w:rsidRDefault="00AE4846" w:rsidP="00A93E92">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9A52A2">
        <w:rPr>
          <w:b/>
          <w:u w:val="single"/>
          <w:bdr w:val="none" w:sz="0" w:space="0" w:color="auto"/>
          <w:lang w:val="lt-LT"/>
        </w:rPr>
        <w:lastRenderedPageBreak/>
        <w:t>Klausimo esmė.</w:t>
      </w:r>
      <w:r w:rsidRPr="009A52A2">
        <w:rPr>
          <w:bdr w:val="none" w:sz="0" w:space="0" w:color="auto"/>
          <w:lang w:val="lt-LT"/>
        </w:rPr>
        <w:t xml:space="preserve"> </w:t>
      </w:r>
      <w:r w:rsidR="00185FD2">
        <w:rPr>
          <w:bdr w:val="none" w:sz="0" w:space="0" w:color="auto"/>
          <w:lang w:val="lt-LT"/>
        </w:rPr>
        <w:t xml:space="preserve">EG metu bus aptartas klausimas dėl makroekonominių tendencijų ir energijos kainų. </w:t>
      </w:r>
      <w:r w:rsidR="00A93E92">
        <w:rPr>
          <w:bdr w:val="none" w:sz="0" w:space="0" w:color="auto"/>
          <w:lang w:val="lt-LT"/>
        </w:rPr>
        <w:t>Pagal l</w:t>
      </w:r>
      <w:r w:rsidR="00A93E92" w:rsidRPr="00A93E92">
        <w:rPr>
          <w:bdr w:val="none" w:sz="0" w:space="0" w:color="auto"/>
          <w:lang w:val="lt-LT"/>
        </w:rPr>
        <w:t xml:space="preserve">iepos </w:t>
      </w:r>
      <w:r w:rsidR="00A93E92">
        <w:rPr>
          <w:bdr w:val="none" w:sz="0" w:space="0" w:color="auto"/>
          <w:lang w:val="lt-LT"/>
        </w:rPr>
        <w:t xml:space="preserve">mėn. EK paskelbtas </w:t>
      </w:r>
      <w:r w:rsidR="00A93E92" w:rsidRPr="00A93E92">
        <w:rPr>
          <w:bdr w:val="none" w:sz="0" w:space="0" w:color="auto"/>
          <w:lang w:val="lt-LT"/>
        </w:rPr>
        <w:t xml:space="preserve">vasaros </w:t>
      </w:r>
      <w:r w:rsidR="00A93E92">
        <w:rPr>
          <w:bdr w:val="none" w:sz="0" w:space="0" w:color="auto"/>
          <w:lang w:val="lt-LT"/>
        </w:rPr>
        <w:t>ekonomines prognozes</w:t>
      </w:r>
      <w:r w:rsidR="00592A92">
        <w:rPr>
          <w:bdr w:val="none" w:sz="0" w:space="0" w:color="auto"/>
          <w:lang w:val="lt-LT"/>
        </w:rPr>
        <w:t>,</w:t>
      </w:r>
      <w:r w:rsidR="00A93E92" w:rsidRPr="00A93E92">
        <w:rPr>
          <w:bdr w:val="none" w:sz="0" w:space="0" w:color="auto"/>
          <w:lang w:val="lt-LT"/>
        </w:rPr>
        <w:t xml:space="preserve"> tiek ES, tiek euro zonoje (EZ) BVP 2021 m. augs 4,8%, 2022 m. – 4,5%. Gamybos apimtys paskutinįjį 2021 m. </w:t>
      </w:r>
      <w:proofErr w:type="spellStart"/>
      <w:r w:rsidR="00A93E92" w:rsidRPr="00A93E92">
        <w:rPr>
          <w:bdr w:val="none" w:sz="0" w:space="0" w:color="auto"/>
          <w:lang w:val="lt-LT"/>
        </w:rPr>
        <w:t>ketv</w:t>
      </w:r>
      <w:proofErr w:type="spellEnd"/>
      <w:r w:rsidR="00A93E92" w:rsidRPr="00A93E92">
        <w:rPr>
          <w:bdr w:val="none" w:sz="0" w:space="0" w:color="auto"/>
          <w:lang w:val="lt-LT"/>
        </w:rPr>
        <w:t xml:space="preserve">. grįš į </w:t>
      </w:r>
      <w:proofErr w:type="spellStart"/>
      <w:r w:rsidR="00A93E92" w:rsidRPr="00A93E92">
        <w:rPr>
          <w:bdr w:val="none" w:sz="0" w:space="0" w:color="auto"/>
          <w:lang w:val="lt-LT"/>
        </w:rPr>
        <w:t>prieškrizinį</w:t>
      </w:r>
      <w:proofErr w:type="spellEnd"/>
      <w:r w:rsidR="00A93E92" w:rsidRPr="00A93E92">
        <w:rPr>
          <w:bdr w:val="none" w:sz="0" w:space="0" w:color="auto"/>
          <w:lang w:val="lt-LT"/>
        </w:rPr>
        <w:t xml:space="preserve"> lygį (2019 m. IV </w:t>
      </w:r>
      <w:proofErr w:type="spellStart"/>
      <w:r w:rsidR="00A93E92" w:rsidRPr="00A93E92">
        <w:rPr>
          <w:bdr w:val="none" w:sz="0" w:space="0" w:color="auto"/>
          <w:lang w:val="lt-LT"/>
        </w:rPr>
        <w:t>ketv</w:t>
      </w:r>
      <w:proofErr w:type="spellEnd"/>
      <w:r w:rsidR="00A93E92" w:rsidRPr="00A93E92">
        <w:rPr>
          <w:bdr w:val="none" w:sz="0" w:space="0" w:color="auto"/>
          <w:lang w:val="lt-LT"/>
        </w:rPr>
        <w:t>.), o tai yra ketvirčiu anksčiau, nei skelbta EZ pavasario progn</w:t>
      </w:r>
      <w:r w:rsidR="00A93E92" w:rsidRPr="00A93E92">
        <w:rPr>
          <w:bdr w:val="none" w:sz="0" w:space="0" w:color="auto"/>
          <w:lang w:val="lt-LT"/>
        </w:rPr>
        <w:t>o</w:t>
      </w:r>
      <w:r w:rsidR="00A93E92" w:rsidRPr="00A93E92">
        <w:rPr>
          <w:bdr w:val="none" w:sz="0" w:space="0" w:color="auto"/>
          <w:lang w:val="lt-LT"/>
        </w:rPr>
        <w:t xml:space="preserve">zėse. Atsigavimo pagreitis VN bus skirtingas: vienų VN ekonomikos iki 2021 m. III </w:t>
      </w:r>
      <w:proofErr w:type="spellStart"/>
      <w:r w:rsidR="00A93E92" w:rsidRPr="00A93E92">
        <w:rPr>
          <w:bdr w:val="none" w:sz="0" w:space="0" w:color="auto"/>
          <w:lang w:val="lt-LT"/>
        </w:rPr>
        <w:t>ketv</w:t>
      </w:r>
      <w:proofErr w:type="spellEnd"/>
      <w:r w:rsidR="00A93E92" w:rsidRPr="00A93E92">
        <w:rPr>
          <w:bdr w:val="none" w:sz="0" w:space="0" w:color="auto"/>
          <w:lang w:val="lt-LT"/>
        </w:rPr>
        <w:t xml:space="preserve">. grįš į </w:t>
      </w:r>
      <w:proofErr w:type="spellStart"/>
      <w:r w:rsidR="00A93E92" w:rsidRPr="00A93E92">
        <w:rPr>
          <w:bdr w:val="none" w:sz="0" w:space="0" w:color="auto"/>
          <w:lang w:val="lt-LT"/>
        </w:rPr>
        <w:t>priešpandeminį</w:t>
      </w:r>
      <w:proofErr w:type="spellEnd"/>
      <w:r w:rsidR="00A93E92" w:rsidRPr="00A93E92">
        <w:rPr>
          <w:bdr w:val="none" w:sz="0" w:space="0" w:color="auto"/>
          <w:lang w:val="lt-LT"/>
        </w:rPr>
        <w:t xml:space="preserve"> lygį, kitų VN atsigavimas užtruks ilgiau.</w:t>
      </w:r>
    </w:p>
    <w:p w:rsidR="00A93E92" w:rsidRPr="00A93E92" w:rsidRDefault="00A93E92" w:rsidP="00A93E92">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A93E92">
        <w:rPr>
          <w:bdr w:val="none" w:sz="0" w:space="0" w:color="auto"/>
          <w:lang w:val="lt-LT"/>
        </w:rPr>
        <w:t>Kylančios energijos ir žaliavų kainos, gamybos kliūtys dėl kai kurių žaliavų komponentų ir paj</w:t>
      </w:r>
      <w:r w:rsidRPr="00A93E92">
        <w:rPr>
          <w:bdr w:val="none" w:sz="0" w:space="0" w:color="auto"/>
          <w:lang w:val="lt-LT"/>
        </w:rPr>
        <w:t>ė</w:t>
      </w:r>
      <w:r w:rsidRPr="00A93E92">
        <w:rPr>
          <w:bdr w:val="none" w:sz="0" w:space="0" w:color="auto"/>
          <w:lang w:val="lt-LT"/>
        </w:rPr>
        <w:t>gumų trūkumo, palyginti su augančia paklausa, gali didinti spaudimą kelti vartotojų kainas. Pro</w:t>
      </w:r>
      <w:r w:rsidRPr="00A93E92">
        <w:rPr>
          <w:bdr w:val="none" w:sz="0" w:space="0" w:color="auto"/>
          <w:lang w:val="lt-LT"/>
        </w:rPr>
        <w:t>g</w:t>
      </w:r>
      <w:r w:rsidRPr="00A93E92">
        <w:rPr>
          <w:bdr w:val="none" w:sz="0" w:space="0" w:color="auto"/>
          <w:lang w:val="lt-LT"/>
        </w:rPr>
        <w:t>nozuojama, kad 2022 m. spaudimas palaipsniui mažės, kai išsispręs pasiūlos apribojimai, išnyks užsakymų likučiai ir augs paklausa.</w:t>
      </w:r>
    </w:p>
    <w:p w:rsidR="00A93E92" w:rsidRPr="00A93E92" w:rsidRDefault="00A93E92" w:rsidP="00A93E92">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A93E92">
        <w:rPr>
          <w:bdr w:val="none" w:sz="0" w:space="0" w:color="auto"/>
          <w:lang w:val="lt-LT"/>
        </w:rPr>
        <w:t>Prognozuojama, kad šiais metais infliacija ES vidutiniškai sieks 2,2%, o 2022 m. – 1,6% (atiti</w:t>
      </w:r>
      <w:r w:rsidRPr="00A93E92">
        <w:rPr>
          <w:bdr w:val="none" w:sz="0" w:space="0" w:color="auto"/>
          <w:lang w:val="lt-LT"/>
        </w:rPr>
        <w:t>n</w:t>
      </w:r>
      <w:r w:rsidRPr="00A93E92">
        <w:rPr>
          <w:bdr w:val="none" w:sz="0" w:space="0" w:color="auto"/>
          <w:lang w:val="lt-LT"/>
        </w:rPr>
        <w:t>kamai +0,3 ir +0,1 procentinių punktų, lyginant su pavasario prognoze). Prognozuojama, kad EZ 2021 m. infliacija bus vidutiniškai 1,9% (+ 0,2 p. p.) ir 1,4% 2022 m. (+0,1 p. p.)</w:t>
      </w:r>
    </w:p>
    <w:p w:rsidR="00EA7709" w:rsidRPr="009A52A2" w:rsidRDefault="00A93E92" w:rsidP="00A93E92">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A93E92">
        <w:rPr>
          <w:bdr w:val="none" w:sz="0" w:space="0" w:color="auto"/>
          <w:lang w:val="lt-LT"/>
        </w:rPr>
        <w:t>Neapibrėžtumas ir rizika, susijusi su augimo perspektyvomis, išlieka didelė, tačiau yra subala</w:t>
      </w:r>
      <w:r w:rsidRPr="00A93E92">
        <w:rPr>
          <w:bdr w:val="none" w:sz="0" w:space="0" w:color="auto"/>
          <w:lang w:val="lt-LT"/>
        </w:rPr>
        <w:t>n</w:t>
      </w:r>
      <w:r w:rsidRPr="00A93E92">
        <w:rPr>
          <w:bdr w:val="none" w:sz="0" w:space="0" w:color="auto"/>
          <w:lang w:val="lt-LT"/>
        </w:rPr>
        <w:t>suota. Pabrėžiama tolesnio greito visiško skiepijimo didinimo svarba. Ekonominė rizika visų pi</w:t>
      </w:r>
      <w:r w:rsidRPr="00A93E92">
        <w:rPr>
          <w:bdr w:val="none" w:sz="0" w:space="0" w:color="auto"/>
          <w:lang w:val="lt-LT"/>
        </w:rPr>
        <w:t>r</w:t>
      </w:r>
      <w:r w:rsidRPr="00A93E92">
        <w:rPr>
          <w:bdr w:val="none" w:sz="0" w:space="0" w:color="auto"/>
          <w:lang w:val="lt-LT"/>
        </w:rPr>
        <w:t>ma susijusi su namų ūkių ir įmonių reakcija į apribojimų pasikeitimus ir neatidėliotinos politikos paramos nutraukimo poveikį.</w:t>
      </w:r>
    </w:p>
    <w:p w:rsidR="00651ACB" w:rsidRDefault="00651ACB"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bdr w:val="none" w:sz="0" w:space="0" w:color="auto"/>
          <w:lang w:val="lt-LT"/>
        </w:rPr>
      </w:pPr>
    </w:p>
    <w:p w:rsidR="00501186" w:rsidRPr="00501186" w:rsidRDefault="005A71D9" w:rsidP="00501186">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bdr w:val="none" w:sz="0" w:space="0" w:color="auto"/>
          <w:lang w:val="lt-LT"/>
        </w:rPr>
      </w:pPr>
      <w:r w:rsidRPr="005A71D9">
        <w:rPr>
          <w:b/>
          <w:u w:val="single"/>
          <w:bdr w:val="none" w:sz="0" w:space="0" w:color="auto"/>
          <w:lang w:val="lt-LT"/>
        </w:rPr>
        <w:t>Lietuvos pozicija</w:t>
      </w:r>
      <w:r w:rsidRPr="00501186">
        <w:rPr>
          <w:bdr w:val="none" w:sz="0" w:space="0" w:color="auto"/>
          <w:lang w:val="lt-LT"/>
        </w:rPr>
        <w:t>.</w:t>
      </w:r>
      <w:r w:rsidR="00501186" w:rsidRPr="00501186">
        <w:rPr>
          <w:bdr w:val="none" w:sz="0" w:space="0" w:color="auto"/>
          <w:lang w:val="lt-LT"/>
        </w:rPr>
        <w:t xml:space="preserve"> </w:t>
      </w:r>
      <w:r w:rsidR="00592A92">
        <w:rPr>
          <w:bdr w:val="none" w:sz="0" w:space="0" w:color="auto"/>
          <w:lang w:val="lt-LT"/>
        </w:rPr>
        <w:t xml:space="preserve">Sutinkame su EK vertinimu. </w:t>
      </w:r>
    </w:p>
    <w:p w:rsidR="008C41CD" w:rsidRPr="005A71D9"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rFonts w:eastAsia="Calibri"/>
          <w:b/>
          <w:bdr w:val="none" w:sz="0" w:space="0" w:color="auto"/>
          <w:lang w:val="lt-LT"/>
        </w:rPr>
      </w:pPr>
    </w:p>
    <w:p w:rsidR="005A71D9" w:rsidRPr="005A71D9"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Pr>
          <w:b/>
          <w:color w:val="202124"/>
          <w:bdr w:val="none" w:sz="0" w:space="0" w:color="auto"/>
          <w:lang w:val="lt-LT"/>
        </w:rPr>
        <w:t xml:space="preserve">2. </w:t>
      </w:r>
      <w:r w:rsidR="00EA7709" w:rsidRPr="00EA7709">
        <w:rPr>
          <w:b/>
          <w:color w:val="202124"/>
          <w:bdr w:val="none" w:sz="0" w:space="0" w:color="auto"/>
          <w:lang w:val="lt-LT"/>
        </w:rPr>
        <w:t>Pasirengimas tarptautiniams susitikimams įskaitant valiutų kursų tendencijas</w:t>
      </w:r>
    </w:p>
    <w:p w:rsidR="00EA7709" w:rsidRPr="00EA7709" w:rsidRDefault="005A71D9" w:rsidP="00EA770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EA7709" w:rsidRPr="00EA7709">
        <w:rPr>
          <w:bdr w:val="none" w:sz="0" w:space="0" w:color="auto"/>
          <w:lang w:val="lt-LT"/>
        </w:rPr>
        <w:t>Pasak Europos Komisijos</w:t>
      </w:r>
      <w:r w:rsidR="005A72B9">
        <w:rPr>
          <w:bdr w:val="none" w:sz="0" w:space="0" w:color="auto"/>
          <w:lang w:val="lt-LT"/>
        </w:rPr>
        <w:t>,</w:t>
      </w:r>
      <w:r w:rsidR="00EA7709" w:rsidRPr="00EA7709">
        <w:rPr>
          <w:bdr w:val="none" w:sz="0" w:space="0" w:color="auto"/>
          <w:lang w:val="lt-LT"/>
        </w:rPr>
        <w:t xml:space="preserve"> </w:t>
      </w:r>
      <w:r w:rsidR="005A72B9">
        <w:rPr>
          <w:bdr w:val="none" w:sz="0" w:space="0" w:color="auto"/>
          <w:lang w:val="lt-LT"/>
        </w:rPr>
        <w:t xml:space="preserve">nominalusis </w:t>
      </w:r>
      <w:r w:rsidR="00EA7709" w:rsidRPr="00EA7709">
        <w:rPr>
          <w:bdr w:val="none" w:sz="0" w:space="0" w:color="auto"/>
          <w:lang w:val="lt-LT"/>
        </w:rPr>
        <w:t xml:space="preserve">euro kursas </w:t>
      </w:r>
      <w:r w:rsidR="005A72B9">
        <w:rPr>
          <w:bdr w:val="none" w:sz="0" w:space="0" w:color="auto"/>
          <w:lang w:val="lt-LT"/>
        </w:rPr>
        <w:t xml:space="preserve">(NEER) </w:t>
      </w:r>
      <w:r w:rsidR="00EA7709" w:rsidRPr="00EA7709">
        <w:rPr>
          <w:bdr w:val="none" w:sz="0" w:space="0" w:color="auto"/>
          <w:lang w:val="lt-LT"/>
        </w:rPr>
        <w:t>2021 m. sausio– rugpjūčio mėn. nežymiai susilpnėjo JAV dolerio, Kinijos juanio, Jungtinės karalystės (JK) svaro ir kai kurių besivystančių rinkų valiutų atžvilgiu. Euro brangimas Japonijos jenos atžvilgiu tik iš d</w:t>
      </w:r>
      <w:r w:rsidR="00EA7709" w:rsidRPr="00EA7709">
        <w:rPr>
          <w:bdr w:val="none" w:sz="0" w:space="0" w:color="auto"/>
          <w:lang w:val="lt-LT"/>
        </w:rPr>
        <w:t>a</w:t>
      </w:r>
      <w:r w:rsidR="00EA7709" w:rsidRPr="00EA7709">
        <w:rPr>
          <w:bdr w:val="none" w:sz="0" w:space="0" w:color="auto"/>
          <w:lang w:val="lt-LT"/>
        </w:rPr>
        <w:t>lies kompensavo silpnėjimo tendenciją. Vertinant realųjį efektyvųjį euro kursą (REER), euras b</w:t>
      </w:r>
      <w:r w:rsidR="00EA7709" w:rsidRPr="00EA7709">
        <w:rPr>
          <w:bdr w:val="none" w:sz="0" w:space="0" w:color="auto"/>
          <w:lang w:val="lt-LT"/>
        </w:rPr>
        <w:t>u</w:t>
      </w:r>
      <w:r w:rsidR="00EA7709" w:rsidRPr="00EA7709">
        <w:rPr>
          <w:bdr w:val="none" w:sz="0" w:space="0" w:color="auto"/>
          <w:lang w:val="lt-LT"/>
        </w:rPr>
        <w:t>vo stabilus, kadangi infliacija euro zonoje (EZ) buvo didesnė nei prekybos partnerių šaly</w:t>
      </w:r>
      <w:r w:rsidR="005A72B9">
        <w:rPr>
          <w:bdr w:val="none" w:sz="0" w:space="0" w:color="auto"/>
          <w:lang w:val="lt-LT"/>
        </w:rPr>
        <w:t>se.</w:t>
      </w:r>
    </w:p>
    <w:p w:rsidR="00EA7709" w:rsidRPr="00EA7709" w:rsidRDefault="00EA7709" w:rsidP="00EA770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EA7709">
        <w:rPr>
          <w:bdr w:val="none" w:sz="0" w:space="0" w:color="auto"/>
          <w:lang w:val="lt-LT"/>
        </w:rPr>
        <w:t>Bendrojo vidaus produkto (BVP) pasaulyje augimas sulėtėjo iki maždaug 0,8% pirmąjį 2021 m. ketvirtį palyginus su prieš tai buvusiu ketvirčiu, tačiau preliminarūs antrojo ketvirčio duomenys rodo stiprius ekonominės veiklos spartėjimo požymius. EZ BVP antrąjį ketvirtį augo 2,3 proc., JAV BVP – 1,6 proc. palyginus su pirmuoju ketvirčiu. Atsigavimo stiprumas ir pagreitis šalyse skiriasi dėl sveikatos situacijos, judėjimo ribojimų ir fiskalinės bei monetarinės paramos skirtumų. Svarbus veiksnys, lėmęs valiutos kurso svyravimus peržiūros laikotarpiu, buvo finansavimo sąl</w:t>
      </w:r>
      <w:r w:rsidRPr="00EA7709">
        <w:rPr>
          <w:bdr w:val="none" w:sz="0" w:space="0" w:color="auto"/>
          <w:lang w:val="lt-LT"/>
        </w:rPr>
        <w:t>y</w:t>
      </w:r>
      <w:r w:rsidRPr="00EA7709">
        <w:rPr>
          <w:bdr w:val="none" w:sz="0" w:space="0" w:color="auto"/>
          <w:lang w:val="lt-LT"/>
        </w:rPr>
        <w:t>gų skirtumai. Komisija prognozuoja, kad pasaulio realusis BVP 2021 m. ir 2022 m. augs atitink</w:t>
      </w:r>
      <w:r w:rsidRPr="00EA7709">
        <w:rPr>
          <w:bdr w:val="none" w:sz="0" w:space="0" w:color="auto"/>
          <w:lang w:val="lt-LT"/>
        </w:rPr>
        <w:t>a</w:t>
      </w:r>
      <w:r w:rsidR="005A72B9">
        <w:rPr>
          <w:bdr w:val="none" w:sz="0" w:space="0" w:color="auto"/>
          <w:lang w:val="lt-LT"/>
        </w:rPr>
        <w:t>mai 5,9 proc. ir 4,2 proc.</w:t>
      </w:r>
    </w:p>
    <w:p w:rsidR="00682383" w:rsidRDefault="00EA7709" w:rsidP="00EA770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EA7709">
        <w:rPr>
          <w:bdr w:val="none" w:sz="0" w:space="0" w:color="auto"/>
          <w:lang w:val="lt-LT"/>
        </w:rPr>
        <w:t>Artimiausioje ateityje valiutos kursų pokyčiai greičiausiai priklausys nuo bendrų ekonomikos te</w:t>
      </w:r>
      <w:r w:rsidRPr="00EA7709">
        <w:rPr>
          <w:bdr w:val="none" w:sz="0" w:space="0" w:color="auto"/>
          <w:lang w:val="lt-LT"/>
        </w:rPr>
        <w:t>n</w:t>
      </w:r>
      <w:r w:rsidRPr="00EA7709">
        <w:rPr>
          <w:bdr w:val="none" w:sz="0" w:space="0" w:color="auto"/>
          <w:lang w:val="lt-LT"/>
        </w:rPr>
        <w:t>dencijų, įskaitant pandemijos raidą ir politines reakcijas į ją, taip pat nuo infliacijos lūkesčių. Na</w:t>
      </w:r>
      <w:r w:rsidRPr="00EA7709">
        <w:rPr>
          <w:bdr w:val="none" w:sz="0" w:space="0" w:color="auto"/>
          <w:lang w:val="lt-LT"/>
        </w:rPr>
        <w:t>u</w:t>
      </w:r>
      <w:r w:rsidRPr="00EA7709">
        <w:rPr>
          <w:bdr w:val="none" w:sz="0" w:space="0" w:color="auto"/>
          <w:lang w:val="lt-LT"/>
        </w:rPr>
        <w:t>jos COVID-19 atmainos, skiepijimo kampanijų ir politinės paramos skirtumai turės įtakos ekon</w:t>
      </w:r>
      <w:r w:rsidRPr="00EA7709">
        <w:rPr>
          <w:bdr w:val="none" w:sz="0" w:space="0" w:color="auto"/>
          <w:lang w:val="lt-LT"/>
        </w:rPr>
        <w:t>o</w:t>
      </w:r>
      <w:r w:rsidRPr="00EA7709">
        <w:rPr>
          <w:bdr w:val="none" w:sz="0" w:space="0" w:color="auto"/>
          <w:lang w:val="lt-LT"/>
        </w:rPr>
        <w:t>mikos raidai pasauliniu lygiu. Kadangi šie veiksniai sustiprina esamus ekonominės veiklos ski</w:t>
      </w:r>
      <w:r w:rsidRPr="00EA7709">
        <w:rPr>
          <w:bdr w:val="none" w:sz="0" w:space="0" w:color="auto"/>
          <w:lang w:val="lt-LT"/>
        </w:rPr>
        <w:t>r</w:t>
      </w:r>
      <w:r w:rsidRPr="00EA7709">
        <w:rPr>
          <w:bdr w:val="none" w:sz="0" w:space="0" w:color="auto"/>
          <w:lang w:val="lt-LT"/>
        </w:rPr>
        <w:t>tumus tarp regionų, jie gali įtakoti ir valiutas. EZ vidutinės ir ilgalaikės trukmės infliacijos lūke</w:t>
      </w:r>
      <w:r w:rsidRPr="00EA7709">
        <w:rPr>
          <w:bdr w:val="none" w:sz="0" w:space="0" w:color="auto"/>
          <w:lang w:val="lt-LT"/>
        </w:rPr>
        <w:t>s</w:t>
      </w:r>
      <w:r w:rsidRPr="00EA7709">
        <w:rPr>
          <w:bdr w:val="none" w:sz="0" w:space="0" w:color="auto"/>
          <w:lang w:val="lt-LT"/>
        </w:rPr>
        <w:t>čių įvertinimas taip pat gali turėti įtakos santykinėms palūkanų normoms.</w:t>
      </w:r>
    </w:p>
    <w:p w:rsidR="005A71D9" w:rsidRPr="00E52328" w:rsidRDefault="005A71D9" w:rsidP="001B199F">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hAnsi="Arial Unicode MS" w:cs="Arial Unicode MS"/>
          <w:color w:val="000000"/>
          <w:u w:color="000000"/>
          <w:bdr w:val="none" w:sz="0" w:space="0" w:color="auto"/>
          <w:lang w:val="lt-LT"/>
        </w:rPr>
      </w:pPr>
    </w:p>
    <w:p w:rsidR="005A71D9" w:rsidRPr="005A72B9"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u w:val="single"/>
          <w:bdr w:val="none" w:sz="0" w:space="0" w:color="auto"/>
        </w:rPr>
      </w:pPr>
      <w:r w:rsidRPr="00E52328">
        <w:rPr>
          <w:b/>
          <w:u w:val="single"/>
          <w:bdr w:val="none" w:sz="0" w:space="0" w:color="auto"/>
          <w:lang w:val="lt-LT"/>
        </w:rPr>
        <w:t>Lietuvos pozicija.</w:t>
      </w:r>
      <w:r w:rsidRPr="00E52328">
        <w:rPr>
          <w:b/>
          <w:bdr w:val="none" w:sz="0" w:space="0" w:color="auto"/>
          <w:lang w:val="lt-LT"/>
        </w:rPr>
        <w:t xml:space="preserve"> </w:t>
      </w:r>
      <w:r w:rsidR="00592A92">
        <w:rPr>
          <w:bdr w:val="none" w:sz="0" w:space="0" w:color="auto"/>
          <w:lang w:val="lt-LT"/>
        </w:rPr>
        <w:t>Sutinkame su EK valiutų kursų tendencijų vertinimu.</w:t>
      </w:r>
    </w:p>
    <w:p w:rsidR="005A71D9" w:rsidRPr="005A71D9"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5A71D9">
        <w:rPr>
          <w:color w:val="000000"/>
          <w:u w:color="000000"/>
          <w:bdr w:val="none" w:sz="0" w:space="0" w:color="auto"/>
          <w:lang w:val="lt-LT"/>
        </w:rPr>
        <w:t xml:space="preserve"> </w:t>
      </w:r>
    </w:p>
    <w:p w:rsidR="005A71D9" w:rsidRPr="005A71D9" w:rsidRDefault="00BD6C27"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Pr>
          <w:b/>
          <w:color w:val="202124"/>
          <w:bdr w:val="none" w:sz="0" w:space="0" w:color="auto"/>
          <w:lang w:val="lt-LT"/>
        </w:rPr>
        <w:t>3</w:t>
      </w:r>
      <w:r w:rsidR="008C41CD">
        <w:rPr>
          <w:b/>
          <w:color w:val="202124"/>
          <w:bdr w:val="none" w:sz="0" w:space="0" w:color="auto"/>
          <w:lang w:val="lt-LT"/>
        </w:rPr>
        <w:t xml:space="preserve">. </w:t>
      </w:r>
      <w:r w:rsidR="00EA7709" w:rsidRPr="00EA7709">
        <w:rPr>
          <w:b/>
          <w:color w:val="202124"/>
          <w:bdr w:val="none" w:sz="0" w:space="0" w:color="auto"/>
          <w:lang w:val="lt-LT"/>
        </w:rPr>
        <w:t>Euro zonos prioritetų įgyvendinimas RRF planuose ir ES atsako į COVID-19 krizę pam</w:t>
      </w:r>
      <w:r w:rsidR="00EA7709" w:rsidRPr="00EA7709">
        <w:rPr>
          <w:b/>
          <w:color w:val="202124"/>
          <w:bdr w:val="none" w:sz="0" w:space="0" w:color="auto"/>
          <w:lang w:val="lt-LT"/>
        </w:rPr>
        <w:t>o</w:t>
      </w:r>
      <w:r w:rsidR="00EA7709" w:rsidRPr="00EA7709">
        <w:rPr>
          <w:b/>
          <w:color w:val="202124"/>
          <w:bdr w:val="none" w:sz="0" w:space="0" w:color="auto"/>
          <w:lang w:val="lt-LT"/>
        </w:rPr>
        <w:t>kos</w:t>
      </w:r>
    </w:p>
    <w:p w:rsidR="005A72B9" w:rsidRPr="005A72B9" w:rsidRDefault="005A71D9" w:rsidP="005A72B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185FD2">
        <w:rPr>
          <w:bdr w:val="none" w:sz="0" w:space="0" w:color="auto"/>
          <w:lang w:val="lt-LT"/>
        </w:rPr>
        <w:t xml:space="preserve">EG ministrai aptars euro zonos prioritetų įgyvendinimą RRF planuose, </w:t>
      </w:r>
      <w:r w:rsidR="005A72B9" w:rsidRPr="005A72B9">
        <w:rPr>
          <w:bdr w:val="none" w:sz="0" w:space="0" w:color="auto"/>
          <w:lang w:val="lt-LT"/>
        </w:rPr>
        <w:t>Pagrind</w:t>
      </w:r>
      <w:r w:rsidR="005A72B9" w:rsidRPr="005A72B9">
        <w:rPr>
          <w:bdr w:val="none" w:sz="0" w:space="0" w:color="auto"/>
          <w:lang w:val="lt-LT"/>
        </w:rPr>
        <w:t>i</w:t>
      </w:r>
      <w:r w:rsidR="005A72B9" w:rsidRPr="005A72B9">
        <w:rPr>
          <w:bdr w:val="none" w:sz="0" w:space="0" w:color="auto"/>
          <w:lang w:val="lt-LT"/>
        </w:rPr>
        <w:t>niai prioritetai, išskirti 2021 m. Euro zonos rekomendacijose</w:t>
      </w:r>
      <w:r w:rsidR="005A72B9">
        <w:rPr>
          <w:bdr w:val="none" w:sz="0" w:space="0" w:color="auto"/>
          <w:lang w:val="lt-LT"/>
        </w:rPr>
        <w:t xml:space="preserve"> (EAR)</w:t>
      </w:r>
      <w:r w:rsidR="005A72B9" w:rsidRPr="005A72B9">
        <w:rPr>
          <w:bdr w:val="none" w:sz="0" w:space="0" w:color="auto"/>
          <w:lang w:val="lt-LT"/>
        </w:rPr>
        <w:t>:</w:t>
      </w:r>
    </w:p>
    <w:p w:rsidR="005A72B9" w:rsidRPr="005A72B9" w:rsidRDefault="005A72B9" w:rsidP="005A72B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5A72B9">
        <w:rPr>
          <w:bdr w:val="none" w:sz="0" w:space="0" w:color="auto"/>
          <w:lang w:val="lt-LT"/>
        </w:rPr>
        <w:t>1.</w:t>
      </w:r>
      <w:r w:rsidRPr="005A72B9">
        <w:rPr>
          <w:bdr w:val="none" w:sz="0" w:space="0" w:color="auto"/>
          <w:lang w:val="lt-LT"/>
        </w:rPr>
        <w:tab/>
        <w:t>Užtikrinti fiskalinę politiką, remiančią atsigavimą.</w:t>
      </w:r>
    </w:p>
    <w:p w:rsidR="005A72B9" w:rsidRPr="005A72B9" w:rsidRDefault="005A72B9" w:rsidP="005A72B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5A72B9">
        <w:rPr>
          <w:bdr w:val="none" w:sz="0" w:space="0" w:color="auto"/>
          <w:lang w:val="lt-LT"/>
        </w:rPr>
        <w:t>2.</w:t>
      </w:r>
      <w:r w:rsidRPr="005A72B9">
        <w:rPr>
          <w:bdr w:val="none" w:sz="0" w:space="0" w:color="auto"/>
          <w:lang w:val="lt-LT"/>
        </w:rPr>
        <w:tab/>
        <w:t xml:space="preserve">Toliau skatinti konvergenciją, atsparumą ir tvarų bei įtraukų augimą. </w:t>
      </w:r>
    </w:p>
    <w:p w:rsidR="005A72B9" w:rsidRPr="005A72B9" w:rsidRDefault="005A72B9" w:rsidP="005A72B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5A72B9">
        <w:rPr>
          <w:bdr w:val="none" w:sz="0" w:space="0" w:color="auto"/>
          <w:lang w:val="lt-LT"/>
        </w:rPr>
        <w:t>3.</w:t>
      </w:r>
      <w:r w:rsidRPr="005A72B9">
        <w:rPr>
          <w:bdr w:val="none" w:sz="0" w:space="0" w:color="auto"/>
          <w:lang w:val="lt-LT"/>
        </w:rPr>
        <w:tab/>
        <w:t>Stiprinti nacionalines institucines sistemas.</w:t>
      </w:r>
    </w:p>
    <w:p w:rsidR="005A72B9" w:rsidRPr="005A72B9" w:rsidRDefault="005A72B9" w:rsidP="005A72B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5A72B9">
        <w:rPr>
          <w:bdr w:val="none" w:sz="0" w:space="0" w:color="auto"/>
          <w:lang w:val="lt-LT"/>
        </w:rPr>
        <w:t>4.</w:t>
      </w:r>
      <w:r w:rsidRPr="005A72B9">
        <w:rPr>
          <w:bdr w:val="none" w:sz="0" w:space="0" w:color="auto"/>
          <w:lang w:val="lt-LT"/>
        </w:rPr>
        <w:tab/>
        <w:t>Užtikrinti makro-finansinį stabilumą.</w:t>
      </w:r>
    </w:p>
    <w:p w:rsidR="005A71D9" w:rsidRDefault="005A72B9" w:rsidP="005A72B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5A72B9">
        <w:rPr>
          <w:bdr w:val="none" w:sz="0" w:space="0" w:color="auto"/>
          <w:lang w:val="lt-LT"/>
        </w:rPr>
        <w:t>5.</w:t>
      </w:r>
      <w:r w:rsidRPr="005A72B9">
        <w:rPr>
          <w:bdr w:val="none" w:sz="0" w:space="0" w:color="auto"/>
          <w:lang w:val="lt-LT"/>
        </w:rPr>
        <w:tab/>
        <w:t>Užbaigti Ekonominę ir pinigų sąjungą (EPS) ir sustiprinti tarptautinį euro vaidmenį.</w:t>
      </w:r>
    </w:p>
    <w:p w:rsidR="005A72B9" w:rsidRDefault="005A72B9" w:rsidP="005A72B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rFonts w:eastAsia="Calibri"/>
          <w:bdr w:val="none" w:sz="0" w:space="0" w:color="auto"/>
          <w:lang w:val="lt-LT"/>
        </w:rPr>
      </w:pPr>
    </w:p>
    <w:p w:rsidR="005A72B9" w:rsidRPr="005A72B9" w:rsidRDefault="005A72B9" w:rsidP="005A72B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rFonts w:eastAsia="Calibri"/>
          <w:bdr w:val="none" w:sz="0" w:space="0" w:color="auto"/>
          <w:lang w:val="lt-LT"/>
        </w:rPr>
      </w:pPr>
      <w:r>
        <w:rPr>
          <w:rFonts w:eastAsia="Calibri"/>
          <w:bdr w:val="none" w:sz="0" w:space="0" w:color="auto"/>
          <w:lang w:val="lt-LT"/>
        </w:rPr>
        <w:lastRenderedPageBreak/>
        <w:t>EK pabrėžia, kad yra skirtis tarp EAR, kuria</w:t>
      </w:r>
      <w:r w:rsidRPr="005A72B9">
        <w:rPr>
          <w:rFonts w:eastAsia="Calibri"/>
          <w:bdr w:val="none" w:sz="0" w:space="0" w:color="auto"/>
          <w:lang w:val="lt-LT"/>
        </w:rPr>
        <w:t xml:space="preserve">s galima įgyvendinti nacionaliniu </w:t>
      </w:r>
      <w:r>
        <w:rPr>
          <w:rFonts w:eastAsia="Calibri"/>
          <w:bdr w:val="none" w:sz="0" w:space="0" w:color="auto"/>
          <w:lang w:val="lt-LT"/>
        </w:rPr>
        <w:t xml:space="preserve">ir ES lygmeniu, pastarosios yra mažiau atlieptos </w:t>
      </w:r>
      <w:r w:rsidRPr="005A72B9">
        <w:rPr>
          <w:rFonts w:eastAsia="Calibri"/>
          <w:bdr w:val="none" w:sz="0" w:space="0" w:color="auto"/>
          <w:lang w:val="lt-LT"/>
        </w:rPr>
        <w:t>RR</w:t>
      </w:r>
      <w:r>
        <w:rPr>
          <w:rFonts w:eastAsia="Calibri"/>
          <w:bdr w:val="none" w:sz="0" w:space="0" w:color="auto"/>
          <w:lang w:val="lt-LT"/>
        </w:rPr>
        <w:t>P, pvz., elementai susiję su Kapitalo rinkų sąjunga, Bankų s</w:t>
      </w:r>
      <w:r>
        <w:rPr>
          <w:rFonts w:eastAsia="Calibri"/>
          <w:bdr w:val="none" w:sz="0" w:space="0" w:color="auto"/>
          <w:lang w:val="lt-LT"/>
        </w:rPr>
        <w:t>ą</w:t>
      </w:r>
      <w:r>
        <w:rPr>
          <w:rFonts w:eastAsia="Calibri"/>
          <w:bdr w:val="none" w:sz="0" w:space="0" w:color="auto"/>
          <w:lang w:val="lt-LT"/>
        </w:rPr>
        <w:t>junga</w:t>
      </w:r>
      <w:r w:rsidRPr="005A72B9">
        <w:rPr>
          <w:rFonts w:eastAsia="Calibri"/>
          <w:bdr w:val="none" w:sz="0" w:space="0" w:color="auto"/>
          <w:lang w:val="lt-LT"/>
        </w:rPr>
        <w:t xml:space="preserve">. </w:t>
      </w:r>
      <w:r>
        <w:rPr>
          <w:rFonts w:eastAsia="Calibri"/>
          <w:bdr w:val="none" w:sz="0" w:space="0" w:color="auto"/>
          <w:lang w:val="lt-LT"/>
        </w:rPr>
        <w:t xml:space="preserve">Pažymima, kad </w:t>
      </w:r>
      <w:r w:rsidRPr="005A72B9">
        <w:rPr>
          <w:rFonts w:eastAsia="Calibri"/>
          <w:bdr w:val="none" w:sz="0" w:space="0" w:color="auto"/>
          <w:lang w:val="lt-LT"/>
        </w:rPr>
        <w:t xml:space="preserve">RRF lėšos prisidės prie </w:t>
      </w:r>
      <w:r>
        <w:rPr>
          <w:rFonts w:eastAsia="Calibri"/>
          <w:bdr w:val="none" w:sz="0" w:space="0" w:color="auto"/>
          <w:lang w:val="lt-LT"/>
        </w:rPr>
        <w:t>ekonomikos augimo ir didesnės konvergencijos Euro zonoje.</w:t>
      </w:r>
    </w:p>
    <w:p w:rsidR="00704CBF" w:rsidRDefault="00704CBF" w:rsidP="00C70F7A">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highlight w:val="yellow"/>
          <w:u w:color="000000"/>
          <w:bdr w:val="none" w:sz="0" w:space="0" w:color="auto"/>
          <w:lang w:val="lt-LT"/>
        </w:rPr>
      </w:pPr>
    </w:p>
    <w:p w:rsidR="0054616A" w:rsidRPr="00E55B50" w:rsidRDefault="00410B36" w:rsidP="000B1D35">
      <w:pPr>
        <w:pBdr>
          <w:top w:val="single" w:sz="4" w:space="1" w:color="auto"/>
          <w:left w:val="single" w:sz="4" w:space="4" w:color="auto"/>
          <w:bottom w:val="single" w:sz="4" w:space="1" w:color="auto"/>
          <w:right w:val="single" w:sz="4" w:space="4" w:color="auto"/>
          <w:between w:val="none" w:sz="0" w:space="0" w:color="auto"/>
          <w:bar w:val="none" w:sz="0" w:color="auto"/>
        </w:pBdr>
        <w:jc w:val="both"/>
        <w:rPr>
          <w:lang w:val="lt-LT"/>
        </w:rPr>
      </w:pPr>
      <w:r w:rsidRPr="00E55B50">
        <w:rPr>
          <w:b/>
          <w:color w:val="000000"/>
          <w:u w:val="single"/>
          <w:bdr w:val="none" w:sz="0" w:space="0" w:color="auto"/>
          <w:lang w:val="lt-LT"/>
        </w:rPr>
        <w:t>Lietuvos pozicija:</w:t>
      </w:r>
      <w:r w:rsidRPr="00E55B50">
        <w:rPr>
          <w:lang w:val="lt-LT"/>
        </w:rPr>
        <w:t xml:space="preserve"> </w:t>
      </w:r>
      <w:r w:rsidR="005A72B9" w:rsidRPr="00E55B50">
        <w:rPr>
          <w:lang w:val="lt-LT"/>
        </w:rPr>
        <w:t>Teigiamai vertiname tai, kad RRF planai prisidės prie Euro zonos rekomend</w:t>
      </w:r>
      <w:r w:rsidR="005A72B9" w:rsidRPr="00E55B50">
        <w:rPr>
          <w:lang w:val="lt-LT"/>
        </w:rPr>
        <w:t>a</w:t>
      </w:r>
      <w:r w:rsidR="005A72B9" w:rsidRPr="00E55B50">
        <w:rPr>
          <w:lang w:val="lt-LT"/>
        </w:rPr>
        <w:t xml:space="preserve">cijų įgyvendinimo, tačiau reikėtų daugiau dėmesio skirti Bankų sąjungos užbaigimui ir Kapitalo rinkų sąjungai. Manome, kad pažanga šiose srityse </w:t>
      </w:r>
      <w:r w:rsidR="00E55B50">
        <w:rPr>
          <w:lang w:val="lt-LT"/>
        </w:rPr>
        <w:t>paskatintų ekonomik</w:t>
      </w:r>
      <w:r w:rsidR="00E55B50" w:rsidRPr="00E55B50">
        <w:rPr>
          <w:lang w:val="lt-LT"/>
        </w:rPr>
        <w:t>os augimą, euro zonos konvergenciją ir atsparumą. Tam reikia atrasti balansą, kuris užtikrintų finansinį stabilumą kie</w:t>
      </w:r>
      <w:r w:rsidR="00E55B50" w:rsidRPr="00E55B50">
        <w:rPr>
          <w:lang w:val="lt-LT"/>
        </w:rPr>
        <w:t>k</w:t>
      </w:r>
      <w:r w:rsidR="00E55B50" w:rsidRPr="00E55B50">
        <w:rPr>
          <w:lang w:val="lt-LT"/>
        </w:rPr>
        <w:t xml:space="preserve">vienoje šalyje narėje ir visoje ES. </w:t>
      </w:r>
    </w:p>
    <w:p w:rsidR="00BD6C27" w:rsidRDefault="00BD6C27" w:rsidP="000B1D35">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p>
    <w:p w:rsidR="00BD6C27" w:rsidRPr="00BD6C27" w:rsidRDefault="00BD6C27" w:rsidP="000B1D35">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sidRPr="00202AB9">
        <w:rPr>
          <w:b/>
          <w:color w:val="000000"/>
          <w:u w:color="000000"/>
          <w:bdr w:val="none" w:sz="0" w:space="0" w:color="auto"/>
          <w:lang w:val="lt-LT"/>
        </w:rPr>
        <w:t xml:space="preserve">4. </w:t>
      </w:r>
      <w:r w:rsidR="00EA7709" w:rsidRPr="00EA7709">
        <w:rPr>
          <w:b/>
          <w:color w:val="000000"/>
          <w:u w:color="000000"/>
          <w:bdr w:val="none" w:sz="0" w:space="0" w:color="auto"/>
          <w:lang w:val="lt-LT"/>
        </w:rPr>
        <w:t>2022 m. tematinių diskusijų darbo programa</w:t>
      </w:r>
    </w:p>
    <w:p w:rsidR="00D70147" w:rsidRPr="00D70147" w:rsidRDefault="00BD6C27" w:rsidP="00D70147">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3E7D0A">
        <w:rPr>
          <w:bdr w:val="none" w:sz="0" w:space="0" w:color="auto"/>
          <w:lang w:val="lt-LT"/>
        </w:rPr>
        <w:t>Ministrai aptars kitų metų galimas tematines diskusijas</w:t>
      </w:r>
      <w:r w:rsidR="002446DC">
        <w:rPr>
          <w:bdr w:val="none" w:sz="0" w:space="0" w:color="auto"/>
          <w:lang w:val="lt-LT"/>
        </w:rPr>
        <w:t>,</w:t>
      </w:r>
      <w:r w:rsidR="003E7D0A">
        <w:rPr>
          <w:bdr w:val="none" w:sz="0" w:space="0" w:color="auto"/>
          <w:lang w:val="lt-LT"/>
        </w:rPr>
        <w:t xml:space="preserve"> skirtas EG posėdžiams.  </w:t>
      </w:r>
      <w:r w:rsidR="00D70147">
        <w:rPr>
          <w:bdr w:val="none" w:sz="0" w:space="0" w:color="auto"/>
          <w:lang w:val="lt-LT"/>
        </w:rPr>
        <w:t>2022 m. Euro grupės teminėse diskusijose siūloma akcentuoti</w:t>
      </w:r>
      <w:r w:rsidR="00D70147" w:rsidRPr="00D70147">
        <w:rPr>
          <w:bdr w:val="none" w:sz="0" w:space="0" w:color="auto"/>
          <w:lang w:val="lt-LT"/>
        </w:rPr>
        <w:t xml:space="preserve"> šias temas:</w:t>
      </w:r>
    </w:p>
    <w:p w:rsidR="00D70147" w:rsidRPr="00D70147" w:rsidRDefault="00D70147" w:rsidP="00D70147">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D70147">
        <w:rPr>
          <w:bdr w:val="none" w:sz="0" w:space="0" w:color="auto"/>
          <w:lang w:val="lt-LT"/>
        </w:rPr>
        <w:t>•</w:t>
      </w:r>
      <w:r w:rsidRPr="00D70147">
        <w:rPr>
          <w:bdr w:val="none" w:sz="0" w:space="0" w:color="auto"/>
          <w:lang w:val="lt-LT"/>
        </w:rPr>
        <w:tab/>
        <w:t>Darbo rinka pandemijos ir žaliosios bei skaitmeninės transformacijos kontekste.</w:t>
      </w:r>
    </w:p>
    <w:p w:rsidR="00D70147" w:rsidRPr="00D70147" w:rsidRDefault="00D70147" w:rsidP="00D70147">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D70147">
        <w:rPr>
          <w:bdr w:val="none" w:sz="0" w:space="0" w:color="auto"/>
          <w:lang w:val="lt-LT"/>
        </w:rPr>
        <w:t>•</w:t>
      </w:r>
      <w:r w:rsidRPr="00D70147">
        <w:rPr>
          <w:bdr w:val="none" w:sz="0" w:space="0" w:color="auto"/>
          <w:lang w:val="lt-LT"/>
        </w:rPr>
        <w:tab/>
        <w:t>Produktyvumas žaliosios bei skaitmeninės transformacijos kontekste.</w:t>
      </w:r>
    </w:p>
    <w:p w:rsidR="00D70147" w:rsidRPr="00D70147" w:rsidRDefault="00D70147" w:rsidP="00D70147">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D70147">
        <w:rPr>
          <w:bdr w:val="none" w:sz="0" w:space="0" w:color="auto"/>
          <w:lang w:val="lt-LT"/>
        </w:rPr>
        <w:t>•</w:t>
      </w:r>
      <w:r w:rsidRPr="00D70147">
        <w:rPr>
          <w:bdr w:val="none" w:sz="0" w:space="0" w:color="auto"/>
          <w:lang w:val="lt-LT"/>
        </w:rPr>
        <w:tab/>
        <w:t>Būsto rinka.</w:t>
      </w:r>
    </w:p>
    <w:p w:rsidR="00D70147" w:rsidRPr="00D70147" w:rsidRDefault="00D70147" w:rsidP="00D70147">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D70147">
        <w:rPr>
          <w:bdr w:val="none" w:sz="0" w:space="0" w:color="auto"/>
          <w:lang w:val="lt-LT"/>
        </w:rPr>
        <w:t>•</w:t>
      </w:r>
      <w:r w:rsidRPr="00D70147">
        <w:rPr>
          <w:bdr w:val="none" w:sz="0" w:space="0" w:color="auto"/>
          <w:lang w:val="lt-LT"/>
        </w:rPr>
        <w:tab/>
        <w:t>Infliacija: struktūriniai veiksniai ir energijos kainų vaidmuo.</w:t>
      </w:r>
    </w:p>
    <w:p w:rsidR="00D70147" w:rsidRPr="00D70147" w:rsidRDefault="00D70147" w:rsidP="00D70147">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D70147">
        <w:rPr>
          <w:bdr w:val="none" w:sz="0" w:space="0" w:color="auto"/>
          <w:lang w:val="lt-LT"/>
        </w:rPr>
        <w:t>•</w:t>
      </w:r>
      <w:r w:rsidRPr="00D70147">
        <w:rPr>
          <w:bdr w:val="none" w:sz="0" w:space="0" w:color="auto"/>
          <w:lang w:val="lt-LT"/>
        </w:rPr>
        <w:tab/>
        <w:t>Įmonių sektorius: finansinis pažeidžiamumas bei restruktūrizacija pandemijos ir žaliosios bei skaitmeninės transformacijos kontekste.</w:t>
      </w:r>
    </w:p>
    <w:p w:rsidR="00202AB9" w:rsidRPr="00202AB9" w:rsidRDefault="00D70147" w:rsidP="00D70147">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bdr w:val="none" w:sz="0" w:space="0" w:color="auto"/>
          <w:lang w:val="lt-LT"/>
        </w:rPr>
      </w:pPr>
      <w:r w:rsidRPr="00D70147">
        <w:rPr>
          <w:bdr w:val="none" w:sz="0" w:space="0" w:color="auto"/>
          <w:lang w:val="lt-LT"/>
        </w:rPr>
        <w:t>•</w:t>
      </w:r>
      <w:r w:rsidRPr="00D70147">
        <w:rPr>
          <w:bdr w:val="none" w:sz="0" w:space="0" w:color="auto"/>
          <w:lang w:val="lt-LT"/>
        </w:rPr>
        <w:tab/>
        <w:t>Išorinis sektorius: EZ globalioje ekonomikoje ir globalių vertės grandinių pokyčių poveikis.</w:t>
      </w:r>
    </w:p>
    <w:p w:rsidR="00202AB9" w:rsidRPr="00202AB9" w:rsidRDefault="00202AB9"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p>
    <w:p w:rsidR="00BD6C27" w:rsidRDefault="00202AB9"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E52328">
        <w:rPr>
          <w:b/>
          <w:u w:val="single"/>
          <w:bdr w:val="none" w:sz="0" w:space="0" w:color="auto"/>
          <w:lang w:val="lt-LT"/>
        </w:rPr>
        <w:t>Lietuvos pozicija.</w:t>
      </w:r>
      <w:r>
        <w:rPr>
          <w:color w:val="000000"/>
          <w:u w:color="000000"/>
          <w:bdr w:val="none" w:sz="0" w:space="0" w:color="auto"/>
          <w:lang w:val="lt-LT"/>
        </w:rPr>
        <w:t xml:space="preserve"> </w:t>
      </w:r>
      <w:r w:rsidR="00D70147">
        <w:rPr>
          <w:color w:val="000000"/>
          <w:u w:color="000000"/>
          <w:bdr w:val="none" w:sz="0" w:space="0" w:color="auto"/>
          <w:lang w:val="lt-LT"/>
        </w:rPr>
        <w:t>Pritariame siūlomoms teminių diskusijų temoms. Manome, kad prioritetinės iš jų turėtų būti privataus sektoriaus mokumas, investicijos bei inovacijos ir darbo rinkos tendenc</w:t>
      </w:r>
      <w:r w:rsidR="00D70147">
        <w:rPr>
          <w:color w:val="000000"/>
          <w:u w:color="000000"/>
          <w:bdr w:val="none" w:sz="0" w:space="0" w:color="auto"/>
          <w:lang w:val="lt-LT"/>
        </w:rPr>
        <w:t>i</w:t>
      </w:r>
      <w:r w:rsidR="00D70147">
        <w:rPr>
          <w:color w:val="000000"/>
          <w:u w:color="000000"/>
          <w:bdr w:val="none" w:sz="0" w:space="0" w:color="auto"/>
          <w:lang w:val="lt-LT"/>
        </w:rPr>
        <w:t>jos.</w:t>
      </w:r>
    </w:p>
    <w:p w:rsidR="00EA7709" w:rsidRDefault="00EA7709"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p w:rsidR="00EA7709" w:rsidRPr="00EA7709" w:rsidRDefault="00EA7709"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rPr>
      </w:pPr>
      <w:r w:rsidRPr="00EA7709">
        <w:rPr>
          <w:b/>
          <w:color w:val="000000"/>
          <w:u w:color="000000"/>
          <w:bdr w:val="none" w:sz="0" w:space="0" w:color="auto"/>
        </w:rPr>
        <w:t xml:space="preserve">5. </w:t>
      </w:r>
      <w:proofErr w:type="spellStart"/>
      <w:r w:rsidRPr="00EA7709">
        <w:rPr>
          <w:b/>
          <w:color w:val="000000"/>
          <w:u w:color="000000"/>
          <w:bdr w:val="none" w:sz="0" w:space="0" w:color="auto"/>
        </w:rPr>
        <w:t>Graikijos</w:t>
      </w:r>
      <w:proofErr w:type="spellEnd"/>
      <w:r w:rsidRPr="00EA7709">
        <w:rPr>
          <w:b/>
          <w:color w:val="000000"/>
          <w:u w:color="000000"/>
          <w:bdr w:val="none" w:sz="0" w:space="0" w:color="auto"/>
        </w:rPr>
        <w:t xml:space="preserve"> 11-oji </w:t>
      </w:r>
      <w:proofErr w:type="spellStart"/>
      <w:r w:rsidRPr="00EA7709">
        <w:rPr>
          <w:b/>
          <w:color w:val="000000"/>
          <w:u w:color="000000"/>
          <w:bdr w:val="none" w:sz="0" w:space="0" w:color="auto"/>
        </w:rPr>
        <w:t>sustiprintos</w:t>
      </w:r>
      <w:proofErr w:type="spellEnd"/>
      <w:r w:rsidRPr="00EA7709">
        <w:rPr>
          <w:b/>
          <w:color w:val="000000"/>
          <w:u w:color="000000"/>
          <w:bdr w:val="none" w:sz="0" w:space="0" w:color="auto"/>
        </w:rPr>
        <w:t xml:space="preserve"> </w:t>
      </w:r>
      <w:proofErr w:type="spellStart"/>
      <w:r w:rsidRPr="00EA7709">
        <w:rPr>
          <w:b/>
          <w:color w:val="000000"/>
          <w:u w:color="000000"/>
          <w:bdr w:val="none" w:sz="0" w:space="0" w:color="auto"/>
        </w:rPr>
        <w:t>priežiūros</w:t>
      </w:r>
      <w:proofErr w:type="spellEnd"/>
      <w:r w:rsidRPr="00EA7709">
        <w:rPr>
          <w:b/>
          <w:color w:val="000000"/>
          <w:u w:color="000000"/>
          <w:bdr w:val="none" w:sz="0" w:space="0" w:color="auto"/>
        </w:rPr>
        <w:t xml:space="preserve"> </w:t>
      </w:r>
      <w:proofErr w:type="spellStart"/>
      <w:r w:rsidRPr="00EA7709">
        <w:rPr>
          <w:b/>
          <w:color w:val="000000"/>
          <w:u w:color="000000"/>
          <w:bdr w:val="none" w:sz="0" w:space="0" w:color="auto"/>
        </w:rPr>
        <w:t>ataskaita</w:t>
      </w:r>
      <w:proofErr w:type="spellEnd"/>
    </w:p>
    <w:p w:rsidR="00A47BB8" w:rsidRPr="00A47BB8" w:rsidRDefault="00EA7709" w:rsidP="00A47BB8">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185FD2">
        <w:rPr>
          <w:bdr w:val="none" w:sz="0" w:space="0" w:color="auto"/>
          <w:lang w:val="lt-LT"/>
        </w:rPr>
        <w:t xml:space="preserve">EG Ministrai išklausys EK informaciją apie Graikijai skirtą </w:t>
      </w:r>
      <w:r w:rsidR="00185FD2" w:rsidRPr="00A47BB8">
        <w:rPr>
          <w:bdr w:val="none" w:sz="0" w:space="0" w:color="auto"/>
          <w:lang w:val="lt-LT"/>
        </w:rPr>
        <w:t>11-ąją po-programinės sustiprintos priežiū</w:t>
      </w:r>
      <w:r w:rsidR="00185FD2">
        <w:rPr>
          <w:bdr w:val="none" w:sz="0" w:space="0" w:color="auto"/>
          <w:lang w:val="lt-LT"/>
        </w:rPr>
        <w:t xml:space="preserve">ros ataskaitą, kuri buvo paskelbta </w:t>
      </w:r>
      <w:r w:rsidR="00A47BB8" w:rsidRPr="00A47BB8">
        <w:rPr>
          <w:bdr w:val="none" w:sz="0" w:space="0" w:color="auto"/>
          <w:lang w:val="lt-LT"/>
        </w:rPr>
        <w:t>2021 m. rugsėjo 22 d</w:t>
      </w:r>
      <w:r w:rsidR="00A47BB8">
        <w:rPr>
          <w:bdr w:val="none" w:sz="0" w:space="0" w:color="auto"/>
          <w:lang w:val="lt-LT"/>
        </w:rPr>
        <w:t xml:space="preserve">. </w:t>
      </w:r>
      <w:r w:rsidR="00A47BB8" w:rsidRPr="00A47BB8">
        <w:rPr>
          <w:bdr w:val="none" w:sz="0" w:space="0" w:color="auto"/>
          <w:lang w:val="lt-LT"/>
        </w:rPr>
        <w:t>Ataska</w:t>
      </w:r>
      <w:r w:rsidR="00A47BB8" w:rsidRPr="00A47BB8">
        <w:rPr>
          <w:bdr w:val="none" w:sz="0" w:space="0" w:color="auto"/>
          <w:lang w:val="lt-LT"/>
        </w:rPr>
        <w:t>i</w:t>
      </w:r>
      <w:r w:rsidR="00A47BB8" w:rsidRPr="00A47BB8">
        <w:rPr>
          <w:bdr w:val="none" w:sz="0" w:space="0" w:color="auto"/>
          <w:lang w:val="lt-LT"/>
        </w:rPr>
        <w:t>toje teigiama, kad po didelio Graikijos ekonomikos nuosmukio 2020 m. (- 8,2%) pastebima te</w:t>
      </w:r>
      <w:r w:rsidR="00A47BB8" w:rsidRPr="00A47BB8">
        <w:rPr>
          <w:bdr w:val="none" w:sz="0" w:space="0" w:color="auto"/>
          <w:lang w:val="lt-LT"/>
        </w:rPr>
        <w:t>i</w:t>
      </w:r>
      <w:r w:rsidR="00A47BB8" w:rsidRPr="00A47BB8">
        <w:rPr>
          <w:bdr w:val="none" w:sz="0" w:space="0" w:color="auto"/>
          <w:lang w:val="lt-LT"/>
        </w:rPr>
        <w:t xml:space="preserve">giama tendencija dėl BVP augimo per 2021 m. I-II </w:t>
      </w:r>
      <w:proofErr w:type="spellStart"/>
      <w:r w:rsidR="00A47BB8" w:rsidRPr="00A47BB8">
        <w:rPr>
          <w:bdr w:val="none" w:sz="0" w:space="0" w:color="auto"/>
          <w:lang w:val="lt-LT"/>
        </w:rPr>
        <w:t>ketv</w:t>
      </w:r>
      <w:proofErr w:type="spellEnd"/>
      <w:r w:rsidR="00A47BB8" w:rsidRPr="00A47BB8">
        <w:rPr>
          <w:bdr w:val="none" w:sz="0" w:space="0" w:color="auto"/>
          <w:lang w:val="lt-LT"/>
        </w:rPr>
        <w:t xml:space="preserve">. (4,5% ir 3,4% atitinkamai). </w:t>
      </w:r>
    </w:p>
    <w:p w:rsidR="00A47BB8" w:rsidRPr="00A47BB8" w:rsidRDefault="00A47BB8" w:rsidP="00A47BB8">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A47BB8">
        <w:rPr>
          <w:bdr w:val="none" w:sz="0" w:space="0" w:color="auto"/>
          <w:lang w:val="lt-LT"/>
        </w:rPr>
        <w:t>Pagal Komisijos 2021 m. vasaros tarpinę prognozę numatoma, kad 2021 m. BVP padidės 4,3% ir 2022 m. – 6,0%, atsižvelgiant į RRF plano bei vyriausybės paramos priemonių fiskalines paskatas.</w:t>
      </w:r>
    </w:p>
    <w:p w:rsidR="00A47BB8" w:rsidRPr="00A47BB8" w:rsidRDefault="00A47BB8" w:rsidP="00A47BB8">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A47BB8">
        <w:rPr>
          <w:bdr w:val="none" w:sz="0" w:space="0" w:color="auto"/>
          <w:lang w:val="lt-LT"/>
        </w:rPr>
        <w:t>Fiskalinė politika išlieka palanki, nes valdžios institucijos ir toliau teikia tikslinę ir laikiną paramą ekonomikai. ES finansinės priemonės darbo netekusiems asmenims (ypatingai SURE, Graikija gavo 5,3 mlrd. eurų) buvo veiksmingos ir nedarbo lygis sumažėjo iki 15,9% (palyginti su 17,1% per antrąjį 2020 m. ketvirtį). Vakcinacijos kampanija toliau progresuoja; tačiau neapibrėžtumas išlieka ypač didelis, nes pastaruoju metu vasarą padaugėjo COVID-19 atvejų.</w:t>
      </w:r>
    </w:p>
    <w:p w:rsidR="00A47BB8" w:rsidRPr="00A47BB8" w:rsidRDefault="00A47BB8" w:rsidP="00A47BB8">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A47BB8">
        <w:rPr>
          <w:bdr w:val="none" w:sz="0" w:space="0" w:color="auto"/>
          <w:lang w:val="lt-LT"/>
        </w:rPr>
        <w:t>Neseniai priimtas RRF planas vaidins pagrindinį vaidmenį, padedant Graikijai atsigauti po C</w:t>
      </w:r>
      <w:r w:rsidRPr="00A47BB8">
        <w:rPr>
          <w:bdr w:val="none" w:sz="0" w:space="0" w:color="auto"/>
          <w:lang w:val="lt-LT"/>
        </w:rPr>
        <w:t>O</w:t>
      </w:r>
      <w:r w:rsidRPr="00A47BB8">
        <w:rPr>
          <w:bdr w:val="none" w:sz="0" w:space="0" w:color="auto"/>
          <w:lang w:val="lt-LT"/>
        </w:rPr>
        <w:t xml:space="preserve">VID-19 pandemijos. Plane pateikiamos priemonės (17,8 mlrd. eurų dotacijų ir 12,7 mlrd. eurų paskolų) yra reikšmingos Graikijos ekonomikos atsigavimui. Planas apima daug su klimato kaita susijusių investicijų, </w:t>
      </w:r>
      <w:proofErr w:type="spellStart"/>
      <w:r w:rsidRPr="00A47BB8">
        <w:rPr>
          <w:bdr w:val="none" w:sz="0" w:space="0" w:color="auto"/>
          <w:lang w:val="lt-LT"/>
        </w:rPr>
        <w:t>skaitmeninimo</w:t>
      </w:r>
      <w:proofErr w:type="spellEnd"/>
      <w:r w:rsidRPr="00A47BB8">
        <w:rPr>
          <w:bdr w:val="none" w:sz="0" w:space="0" w:color="auto"/>
          <w:lang w:val="lt-LT"/>
        </w:rPr>
        <w:t xml:space="preserve"> skatinimu, taip pat prisidės prie jau pradėtų reformų įgyve</w:t>
      </w:r>
      <w:r w:rsidRPr="00A47BB8">
        <w:rPr>
          <w:bdr w:val="none" w:sz="0" w:space="0" w:color="auto"/>
          <w:lang w:val="lt-LT"/>
        </w:rPr>
        <w:t>n</w:t>
      </w:r>
      <w:r w:rsidRPr="00A47BB8">
        <w:rPr>
          <w:bdr w:val="none" w:sz="0" w:space="0" w:color="auto"/>
          <w:lang w:val="lt-LT"/>
        </w:rPr>
        <w:t xml:space="preserve">dinimo. </w:t>
      </w:r>
    </w:p>
    <w:p w:rsidR="00EA7709" w:rsidRPr="00202AB9" w:rsidRDefault="00A47BB8" w:rsidP="009F3E8B">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A47BB8">
        <w:rPr>
          <w:bdr w:val="none" w:sz="0" w:space="0" w:color="auto"/>
          <w:lang w:val="lt-LT"/>
        </w:rPr>
        <w:t>Vykdant 11-tąją po-programinės priežiūros misiją, buvo vertinama finansų sektoriaus reformų, žmogiškųjų išteklių reformos, nepriklausomos viešųjų pajamų insti</w:t>
      </w:r>
      <w:r w:rsidR="009F3E8B">
        <w:rPr>
          <w:bdr w:val="none" w:sz="0" w:space="0" w:color="auto"/>
          <w:lang w:val="lt-LT"/>
        </w:rPr>
        <w:t>tucijos reformos pažanga.</w:t>
      </w:r>
    </w:p>
    <w:p w:rsidR="00EA7709" w:rsidRPr="00202AB9" w:rsidRDefault="00EA7709" w:rsidP="00EA770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p>
    <w:p w:rsidR="00EA7709" w:rsidRDefault="00EA7709" w:rsidP="00EA770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E52328">
        <w:rPr>
          <w:b/>
          <w:u w:val="single"/>
          <w:bdr w:val="none" w:sz="0" w:space="0" w:color="auto"/>
          <w:lang w:val="lt-LT"/>
        </w:rPr>
        <w:t>Lietuvos pozicija.</w:t>
      </w:r>
      <w:r>
        <w:rPr>
          <w:color w:val="000000"/>
          <w:u w:color="000000"/>
          <w:bdr w:val="none" w:sz="0" w:space="0" w:color="auto"/>
          <w:lang w:val="lt-LT"/>
        </w:rPr>
        <w:t xml:space="preserve"> </w:t>
      </w:r>
      <w:r w:rsidR="009F3E8B" w:rsidRPr="009F3E8B">
        <w:rPr>
          <w:color w:val="000000"/>
          <w:u w:color="000000"/>
          <w:bdr w:val="none" w:sz="0" w:space="0" w:color="auto"/>
          <w:lang w:val="lt-LT"/>
        </w:rPr>
        <w:t>Pritariame Graikijos po-programinės politikos vertinimo misijos ataskaitai.</w:t>
      </w:r>
    </w:p>
    <w:p w:rsidR="00EA7709" w:rsidRDefault="00EA7709" w:rsidP="00EA770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p w:rsidR="00EA7709" w:rsidRPr="00EA7709" w:rsidRDefault="00EA7709" w:rsidP="00EA7709">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sidRPr="00EA7709">
        <w:rPr>
          <w:b/>
          <w:color w:val="000000"/>
          <w:u w:color="000000"/>
          <w:bdr w:val="none" w:sz="0" w:space="0" w:color="auto"/>
          <w:lang w:val="lt-LT"/>
        </w:rPr>
        <w:t>6. Esama situacija dėl Bankų sąjungos, įskaitant veiklos ataskaitas</w:t>
      </w:r>
    </w:p>
    <w:p w:rsidR="00EA7709" w:rsidRDefault="00EA7709" w:rsidP="00A47BB8">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A47BB8">
        <w:rPr>
          <w:bdr w:val="none" w:sz="0" w:space="0" w:color="auto"/>
          <w:lang w:val="lt-LT"/>
        </w:rPr>
        <w:t xml:space="preserve">Euro grupės posėdyje bus pristatyta Europos centrinio banko (ECB) priežiūros valdybos ataskaita dėl COVID-19 pandemijos įtakos </w:t>
      </w:r>
      <w:r w:rsidR="00A47BB8" w:rsidRPr="00A47BB8">
        <w:rPr>
          <w:bdr w:val="none" w:sz="0" w:space="0" w:color="auto"/>
          <w:lang w:val="lt-LT"/>
        </w:rPr>
        <w:t>kre</w:t>
      </w:r>
      <w:r w:rsidR="00A47BB8">
        <w:rPr>
          <w:bdr w:val="none" w:sz="0" w:space="0" w:color="auto"/>
          <w:lang w:val="lt-LT"/>
        </w:rPr>
        <w:t xml:space="preserve">dito rizikai, naujai atsirandančių </w:t>
      </w:r>
      <w:proofErr w:type="spellStart"/>
      <w:r w:rsidR="00A47BB8">
        <w:rPr>
          <w:bdr w:val="none" w:sz="0" w:space="0" w:color="auto"/>
          <w:lang w:val="lt-LT"/>
        </w:rPr>
        <w:t>rizikų</w:t>
      </w:r>
      <w:proofErr w:type="spellEnd"/>
      <w:r w:rsidR="00A47BB8">
        <w:rPr>
          <w:bdr w:val="none" w:sz="0" w:space="0" w:color="auto"/>
          <w:lang w:val="lt-LT"/>
        </w:rPr>
        <w:t>, s</w:t>
      </w:r>
      <w:r w:rsidR="00A47BB8" w:rsidRPr="00A47BB8">
        <w:rPr>
          <w:bdr w:val="none" w:sz="0" w:space="0" w:color="auto"/>
          <w:lang w:val="lt-LT"/>
        </w:rPr>
        <w:t>truktūrinė</w:t>
      </w:r>
      <w:r w:rsidR="00A47BB8">
        <w:rPr>
          <w:bdr w:val="none" w:sz="0" w:space="0" w:color="auto"/>
          <w:lang w:val="lt-LT"/>
        </w:rPr>
        <w:t>s</w:t>
      </w:r>
      <w:r w:rsidR="00A47BB8" w:rsidRPr="00A47BB8">
        <w:rPr>
          <w:bdr w:val="none" w:sz="0" w:space="0" w:color="auto"/>
          <w:lang w:val="lt-LT"/>
        </w:rPr>
        <w:t xml:space="preserve"> Europos ba</w:t>
      </w:r>
      <w:r w:rsidR="00A47BB8">
        <w:rPr>
          <w:bdr w:val="none" w:sz="0" w:space="0" w:color="auto"/>
          <w:lang w:val="lt-LT"/>
        </w:rPr>
        <w:t>nkinio sektoriaus transformacijos, v</w:t>
      </w:r>
      <w:r w:rsidR="00A47BB8" w:rsidRPr="00A47BB8">
        <w:rPr>
          <w:bdr w:val="none" w:sz="0" w:space="0" w:color="auto"/>
          <w:lang w:val="lt-LT"/>
        </w:rPr>
        <w:t>erslo modelių korega</w:t>
      </w:r>
      <w:r w:rsidR="00A47BB8">
        <w:rPr>
          <w:bdr w:val="none" w:sz="0" w:space="0" w:color="auto"/>
          <w:lang w:val="lt-LT"/>
        </w:rPr>
        <w:t>vimo</w:t>
      </w:r>
      <w:r w:rsidR="00A47BB8" w:rsidRPr="00A47BB8">
        <w:rPr>
          <w:bdr w:val="none" w:sz="0" w:space="0" w:color="auto"/>
          <w:lang w:val="lt-LT"/>
        </w:rPr>
        <w:t xml:space="preserve">, kurį skatina </w:t>
      </w:r>
      <w:proofErr w:type="spellStart"/>
      <w:r w:rsidR="00A47BB8" w:rsidRPr="00A47BB8">
        <w:rPr>
          <w:bdr w:val="none" w:sz="0" w:space="0" w:color="auto"/>
          <w:lang w:val="lt-LT"/>
        </w:rPr>
        <w:t>ska</w:t>
      </w:r>
      <w:r w:rsidR="00A47BB8">
        <w:rPr>
          <w:bdr w:val="none" w:sz="0" w:space="0" w:color="auto"/>
          <w:lang w:val="lt-LT"/>
        </w:rPr>
        <w:t>itmenizacija</w:t>
      </w:r>
      <w:proofErr w:type="spellEnd"/>
      <w:r w:rsidR="00A47BB8">
        <w:rPr>
          <w:bdr w:val="none" w:sz="0" w:space="0" w:color="auto"/>
          <w:lang w:val="lt-LT"/>
        </w:rPr>
        <w:t xml:space="preserve"> ir klimato rizika. pabaigoje. Pažymėtina, kad </w:t>
      </w:r>
      <w:r w:rsidR="00A47BB8" w:rsidRPr="00A47BB8">
        <w:rPr>
          <w:bdr w:val="none" w:sz="0" w:space="0" w:color="auto"/>
          <w:lang w:val="lt-LT"/>
        </w:rPr>
        <w:t xml:space="preserve">ES neveiksnių paskolų santykis per </w:t>
      </w:r>
      <w:r w:rsidR="00A47BB8" w:rsidRPr="00A47BB8">
        <w:rPr>
          <w:bdr w:val="none" w:sz="0" w:space="0" w:color="auto"/>
          <w:lang w:val="lt-LT"/>
        </w:rPr>
        <w:lastRenderedPageBreak/>
        <w:t xml:space="preserve">metus (2020 m. I </w:t>
      </w:r>
      <w:proofErr w:type="spellStart"/>
      <w:r w:rsidR="00A47BB8" w:rsidRPr="00A47BB8">
        <w:rPr>
          <w:bdr w:val="none" w:sz="0" w:space="0" w:color="auto"/>
          <w:lang w:val="lt-LT"/>
        </w:rPr>
        <w:t>ketv</w:t>
      </w:r>
      <w:proofErr w:type="spellEnd"/>
      <w:r w:rsidR="00A47BB8" w:rsidRPr="00A47BB8">
        <w:rPr>
          <w:bdr w:val="none" w:sz="0" w:space="0" w:color="auto"/>
          <w:lang w:val="lt-LT"/>
        </w:rPr>
        <w:t xml:space="preserve">. – 2021 m. I </w:t>
      </w:r>
      <w:proofErr w:type="spellStart"/>
      <w:r w:rsidR="00A47BB8" w:rsidRPr="00A47BB8">
        <w:rPr>
          <w:bdr w:val="none" w:sz="0" w:space="0" w:color="auto"/>
          <w:lang w:val="lt-LT"/>
        </w:rPr>
        <w:t>ketv</w:t>
      </w:r>
      <w:proofErr w:type="spellEnd"/>
      <w:r w:rsidR="00A47BB8" w:rsidRPr="00A47BB8">
        <w:rPr>
          <w:bdr w:val="none" w:sz="0" w:space="0" w:color="auto"/>
          <w:lang w:val="lt-LT"/>
        </w:rPr>
        <w:t xml:space="preserve">.) sumažėjo 0,16 procentinio punkto iki 2,5 proc. Nors </w:t>
      </w:r>
      <w:r w:rsidR="00A47BB8">
        <w:rPr>
          <w:bdr w:val="none" w:sz="0" w:space="0" w:color="auto"/>
          <w:lang w:val="lt-LT"/>
        </w:rPr>
        <w:t>n</w:t>
      </w:r>
      <w:r w:rsidR="00A47BB8">
        <w:rPr>
          <w:bdr w:val="none" w:sz="0" w:space="0" w:color="auto"/>
          <w:lang w:val="lt-LT"/>
        </w:rPr>
        <w:t>e</w:t>
      </w:r>
      <w:r w:rsidR="00A47BB8">
        <w:rPr>
          <w:bdr w:val="none" w:sz="0" w:space="0" w:color="auto"/>
          <w:lang w:val="lt-LT"/>
        </w:rPr>
        <w:t>veiksnių paskolų (</w:t>
      </w:r>
      <w:r w:rsidR="00A47BB8" w:rsidRPr="00A47BB8">
        <w:rPr>
          <w:bdr w:val="none" w:sz="0" w:space="0" w:color="auto"/>
          <w:lang w:val="lt-LT"/>
        </w:rPr>
        <w:t>NPL</w:t>
      </w:r>
      <w:r w:rsidR="00A47BB8">
        <w:rPr>
          <w:bdr w:val="none" w:sz="0" w:space="0" w:color="auto"/>
          <w:lang w:val="lt-LT"/>
        </w:rPr>
        <w:t>)</w:t>
      </w:r>
      <w:r w:rsidR="00A47BB8" w:rsidRPr="00A47BB8">
        <w:rPr>
          <w:bdr w:val="none" w:sz="0" w:space="0" w:color="auto"/>
          <w:lang w:val="lt-LT"/>
        </w:rPr>
        <w:t xml:space="preserve"> </w:t>
      </w:r>
      <w:r w:rsidR="00A47BB8">
        <w:rPr>
          <w:bdr w:val="none" w:sz="0" w:space="0" w:color="auto"/>
          <w:lang w:val="lt-LT"/>
        </w:rPr>
        <w:t>su</w:t>
      </w:r>
      <w:r w:rsidR="00A47BB8" w:rsidRPr="00A47BB8">
        <w:rPr>
          <w:bdr w:val="none" w:sz="0" w:space="0" w:color="auto"/>
          <w:lang w:val="lt-LT"/>
        </w:rPr>
        <w:t>mažėjo, augo restruktūrizuotų paskolų dalis. Tai rodo turto kokybės pras</w:t>
      </w:r>
      <w:r w:rsidR="00A47BB8">
        <w:rPr>
          <w:bdr w:val="none" w:sz="0" w:space="0" w:color="auto"/>
          <w:lang w:val="lt-LT"/>
        </w:rPr>
        <w:t xml:space="preserve">tėjimą. </w:t>
      </w:r>
      <w:r w:rsidR="00A47BB8" w:rsidRPr="00A47BB8">
        <w:rPr>
          <w:bdr w:val="none" w:sz="0" w:space="0" w:color="auto"/>
          <w:lang w:val="lt-LT"/>
        </w:rPr>
        <w:t xml:space="preserve">2021 m. I </w:t>
      </w:r>
      <w:proofErr w:type="spellStart"/>
      <w:r w:rsidR="00A47BB8" w:rsidRPr="00A47BB8">
        <w:rPr>
          <w:bdr w:val="none" w:sz="0" w:space="0" w:color="auto"/>
          <w:lang w:val="lt-LT"/>
        </w:rPr>
        <w:t>ketv</w:t>
      </w:r>
      <w:proofErr w:type="spellEnd"/>
      <w:r w:rsidR="00A47BB8" w:rsidRPr="00A47BB8">
        <w:rPr>
          <w:bdr w:val="none" w:sz="0" w:space="0" w:color="auto"/>
          <w:lang w:val="lt-LT"/>
        </w:rPr>
        <w:t xml:space="preserve">. padidėjo bankrotų skaičius, bet kol kas nesiekia </w:t>
      </w:r>
      <w:proofErr w:type="spellStart"/>
      <w:r w:rsidR="00A47BB8" w:rsidRPr="00A47BB8">
        <w:rPr>
          <w:bdr w:val="none" w:sz="0" w:space="0" w:color="auto"/>
          <w:lang w:val="lt-LT"/>
        </w:rPr>
        <w:t>priešpandeminio</w:t>
      </w:r>
      <w:proofErr w:type="spellEnd"/>
      <w:r w:rsidR="00A47BB8" w:rsidRPr="00A47BB8">
        <w:rPr>
          <w:bdr w:val="none" w:sz="0" w:space="0" w:color="auto"/>
          <w:lang w:val="lt-LT"/>
        </w:rPr>
        <w:t xml:space="preserve"> l</w:t>
      </w:r>
      <w:r w:rsidR="00A47BB8" w:rsidRPr="00A47BB8">
        <w:rPr>
          <w:bdr w:val="none" w:sz="0" w:space="0" w:color="auto"/>
          <w:lang w:val="lt-LT"/>
        </w:rPr>
        <w:t>y</w:t>
      </w:r>
      <w:r w:rsidR="00A47BB8" w:rsidRPr="00A47BB8">
        <w:rPr>
          <w:bdr w:val="none" w:sz="0" w:space="0" w:color="auto"/>
          <w:lang w:val="lt-LT"/>
        </w:rPr>
        <w:t>gio. Situacija gali keistis pasibaigus valstybių taikomoms pagalbos priemonėms.</w:t>
      </w:r>
    </w:p>
    <w:p w:rsidR="00A47BB8" w:rsidRPr="00202AB9" w:rsidRDefault="00A47BB8" w:rsidP="00A47BB8">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Pr>
          <w:bdr w:val="none" w:sz="0" w:space="0" w:color="auto"/>
          <w:lang w:val="lt-LT"/>
        </w:rPr>
        <w:t>Euro grupės posėdžio metu taip pat bus pristatyta bendrosios pertvarkymo valdybos</w:t>
      </w:r>
      <w:r w:rsidRPr="00A47BB8">
        <w:rPr>
          <w:bdr w:val="none" w:sz="0" w:space="0" w:color="auto"/>
          <w:lang w:val="lt-LT"/>
        </w:rPr>
        <w:t xml:space="preserve"> </w:t>
      </w:r>
      <w:r>
        <w:rPr>
          <w:bdr w:val="none" w:sz="0" w:space="0" w:color="auto"/>
          <w:lang w:val="lt-LT"/>
        </w:rPr>
        <w:t>veiklos at</w:t>
      </w:r>
      <w:r>
        <w:rPr>
          <w:bdr w:val="none" w:sz="0" w:space="0" w:color="auto"/>
          <w:lang w:val="lt-LT"/>
        </w:rPr>
        <w:t>a</w:t>
      </w:r>
      <w:r>
        <w:rPr>
          <w:bdr w:val="none" w:sz="0" w:space="0" w:color="auto"/>
          <w:lang w:val="lt-LT"/>
        </w:rPr>
        <w:t xml:space="preserve">skaita. </w:t>
      </w:r>
    </w:p>
    <w:p w:rsidR="00EA7709" w:rsidRPr="00202AB9" w:rsidRDefault="00EA7709" w:rsidP="00EA770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p>
    <w:p w:rsidR="00EA7709" w:rsidRDefault="00EA7709" w:rsidP="00EA770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E52328">
        <w:rPr>
          <w:b/>
          <w:u w:val="single"/>
          <w:bdr w:val="none" w:sz="0" w:space="0" w:color="auto"/>
          <w:lang w:val="lt-LT"/>
        </w:rPr>
        <w:t>Lietuvos pozicija.</w:t>
      </w:r>
      <w:r>
        <w:rPr>
          <w:color w:val="000000"/>
          <w:u w:color="000000"/>
          <w:bdr w:val="none" w:sz="0" w:space="0" w:color="auto"/>
          <w:lang w:val="lt-LT"/>
        </w:rPr>
        <w:t xml:space="preserve"> </w:t>
      </w:r>
      <w:r w:rsidR="00A47BB8">
        <w:rPr>
          <w:color w:val="000000"/>
          <w:u w:color="000000"/>
          <w:bdr w:val="none" w:sz="0" w:space="0" w:color="auto"/>
          <w:lang w:val="lt-LT"/>
        </w:rPr>
        <w:t>Išklausyti informaciją.</w:t>
      </w:r>
    </w:p>
    <w:p w:rsidR="00BD6C27" w:rsidRPr="00E52328" w:rsidRDefault="00BD6C27" w:rsidP="00BD6C27">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hAnsi="Arial Unicode MS" w:cs="Arial Unicode MS"/>
          <w:color w:val="000000"/>
          <w:u w:color="000000"/>
          <w:bdr w:val="none" w:sz="0" w:space="0" w:color="auto"/>
          <w:lang w:val="lt-LT"/>
        </w:rPr>
      </w:pPr>
    </w:p>
    <w:sectPr w:rsidR="00BD6C27" w:rsidRPr="00E52328" w:rsidSect="003A3602">
      <w:headerReference w:type="default" r:id="rId9"/>
      <w:footerReference w:type="default" r:id="rId10"/>
      <w:headerReference w:type="first" r:id="rId11"/>
      <w:pgSz w:w="11900" w:h="16840"/>
      <w:pgMar w:top="992" w:right="1134" w:bottom="567" w:left="1276"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3EB" w:rsidRDefault="003743EB">
      <w:r>
        <w:separator/>
      </w:r>
    </w:p>
  </w:endnote>
  <w:endnote w:type="continuationSeparator" w:id="0">
    <w:p w:rsidR="003743EB" w:rsidRDefault="0037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303930"/>
      <w:docPartObj>
        <w:docPartGallery w:val="Page Numbers (Bottom of Page)"/>
        <w:docPartUnique/>
      </w:docPartObj>
    </w:sdtPr>
    <w:sdtEndPr/>
    <w:sdtContent>
      <w:p w:rsidR="00185FD2" w:rsidRDefault="00185FD2">
        <w:pPr>
          <w:pStyle w:val="Porat"/>
          <w:jc w:val="right"/>
        </w:pPr>
        <w:r>
          <w:fldChar w:fldCharType="begin"/>
        </w:r>
        <w:r>
          <w:instrText>PAGE   \* MERGEFORMAT</w:instrText>
        </w:r>
        <w:r>
          <w:fldChar w:fldCharType="separate"/>
        </w:r>
        <w:r w:rsidR="00994D2A" w:rsidRPr="00994D2A">
          <w:rPr>
            <w:noProof/>
            <w:lang w:val="lt-LT"/>
          </w:rPr>
          <w:t>2</w:t>
        </w:r>
        <w:r>
          <w:fldChar w:fldCharType="end"/>
        </w:r>
      </w:p>
    </w:sdtContent>
  </w:sdt>
  <w:p w:rsidR="00185FD2" w:rsidRDefault="00185FD2">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3EB" w:rsidRDefault="003743EB">
      <w:r>
        <w:separator/>
      </w:r>
    </w:p>
  </w:footnote>
  <w:footnote w:type="continuationSeparator" w:id="0">
    <w:p w:rsidR="003743EB" w:rsidRDefault="003743EB">
      <w:r>
        <w:continuationSeparator/>
      </w:r>
    </w:p>
  </w:footnote>
  <w:footnote w:id="1">
    <w:p w:rsidR="00185FD2" w:rsidRDefault="00185FD2" w:rsidP="002E12C0">
      <w:pPr>
        <w:pStyle w:val="Puslapioinaostekstas"/>
      </w:pPr>
      <w:r>
        <w:rPr>
          <w:rStyle w:val="Puslapioinaosnuoroda"/>
        </w:rPr>
        <w:footnoteRef/>
      </w:r>
      <w:r>
        <w:t xml:space="preserve"> </w:t>
      </w:r>
      <w:proofErr w:type="spellStart"/>
      <w:r>
        <w:t>Palaikančios</w:t>
      </w:r>
      <w:proofErr w:type="spellEnd"/>
      <w:r>
        <w:t xml:space="preserve"> </w:t>
      </w:r>
      <w:proofErr w:type="spellStart"/>
      <w:r>
        <w:t>šią</w:t>
      </w:r>
      <w:proofErr w:type="spellEnd"/>
      <w:r>
        <w:t xml:space="preserve"> </w:t>
      </w:r>
      <w:proofErr w:type="spellStart"/>
      <w:r>
        <w:t>idėją</w:t>
      </w:r>
      <w:proofErr w:type="spellEnd"/>
      <w:r>
        <w:t xml:space="preserve"> VN </w:t>
      </w:r>
      <w:proofErr w:type="spellStart"/>
      <w:r>
        <w:t>ir</w:t>
      </w:r>
      <w:proofErr w:type="spellEnd"/>
      <w:r>
        <w:t xml:space="preserve"> </w:t>
      </w:r>
      <w:proofErr w:type="spellStart"/>
      <w:r>
        <w:t>institucijos</w:t>
      </w:r>
      <w:proofErr w:type="spellEnd"/>
      <w:r>
        <w:t xml:space="preserve">: </w:t>
      </w:r>
      <w:r w:rsidRPr="001A42A8">
        <w:t>ECB, F</w:t>
      </w:r>
      <w:r>
        <w:t>R, IT, DE, PL, NL, MT, CZ, DK.</w:t>
      </w:r>
    </w:p>
  </w:footnote>
  <w:footnote w:id="2">
    <w:p w:rsidR="00185FD2" w:rsidRDefault="00185FD2" w:rsidP="00004B94">
      <w:pPr>
        <w:pStyle w:val="Puslapioinaostekstas"/>
      </w:pPr>
      <w:r>
        <w:rPr>
          <w:rStyle w:val="Puslapioinaosnuoroda"/>
        </w:rPr>
        <w:footnoteRef/>
      </w:r>
      <w:r>
        <w:t xml:space="preserve"> </w:t>
      </w:r>
      <w:proofErr w:type="spellStart"/>
      <w:r w:rsidRPr="00CB7B8D">
        <w:rPr>
          <w:color w:val="222222"/>
          <w:sz w:val="18"/>
          <w:szCs w:val="18"/>
        </w:rPr>
        <w:t>Amerikos</w:t>
      </w:r>
      <w:proofErr w:type="spellEnd"/>
      <w:r w:rsidRPr="00CB7B8D">
        <w:rPr>
          <w:color w:val="222222"/>
          <w:sz w:val="18"/>
          <w:szCs w:val="18"/>
        </w:rPr>
        <w:t xml:space="preserve"> Samoa</w:t>
      </w:r>
      <w:r>
        <w:rPr>
          <w:color w:val="222222"/>
          <w:sz w:val="18"/>
          <w:szCs w:val="18"/>
        </w:rPr>
        <w:t xml:space="preserve">, </w:t>
      </w:r>
      <w:proofErr w:type="spellStart"/>
      <w:r>
        <w:rPr>
          <w:color w:val="222222"/>
          <w:sz w:val="18"/>
          <w:szCs w:val="18"/>
        </w:rPr>
        <w:t>Angilija</w:t>
      </w:r>
      <w:proofErr w:type="spellEnd"/>
      <w:r>
        <w:rPr>
          <w:color w:val="222222"/>
          <w:sz w:val="18"/>
          <w:szCs w:val="18"/>
        </w:rPr>
        <w:t xml:space="preserve">, Dominika, </w:t>
      </w:r>
      <w:proofErr w:type="spellStart"/>
      <w:r w:rsidRPr="00CB7B8D">
        <w:rPr>
          <w:color w:val="222222"/>
          <w:sz w:val="18"/>
          <w:szCs w:val="18"/>
        </w:rPr>
        <w:t>Fidžis</w:t>
      </w:r>
      <w:proofErr w:type="spellEnd"/>
      <w:r w:rsidRPr="00CB7B8D">
        <w:rPr>
          <w:color w:val="222222"/>
          <w:sz w:val="18"/>
          <w:szCs w:val="18"/>
        </w:rPr>
        <w:t xml:space="preserve">, </w:t>
      </w:r>
      <w:proofErr w:type="spellStart"/>
      <w:r w:rsidRPr="00CB7B8D">
        <w:rPr>
          <w:color w:val="222222"/>
          <w:sz w:val="18"/>
          <w:szCs w:val="18"/>
        </w:rPr>
        <w:t>Guamas</w:t>
      </w:r>
      <w:proofErr w:type="spellEnd"/>
      <w:r w:rsidRPr="00CB7B8D">
        <w:rPr>
          <w:color w:val="222222"/>
          <w:sz w:val="18"/>
          <w:szCs w:val="18"/>
        </w:rPr>
        <w:t xml:space="preserve">, Palau, Panama, Samoa, </w:t>
      </w:r>
      <w:proofErr w:type="spellStart"/>
      <w:r w:rsidRPr="00CB7B8D">
        <w:rPr>
          <w:color w:val="222222"/>
          <w:sz w:val="18"/>
          <w:szCs w:val="18"/>
        </w:rPr>
        <w:t>Trinidadas</w:t>
      </w:r>
      <w:proofErr w:type="spellEnd"/>
      <w:r w:rsidRPr="00CB7B8D">
        <w:rPr>
          <w:color w:val="222222"/>
          <w:sz w:val="18"/>
          <w:szCs w:val="18"/>
        </w:rPr>
        <w:t xml:space="preserve"> </w:t>
      </w:r>
      <w:proofErr w:type="spellStart"/>
      <w:r w:rsidRPr="00CB7B8D">
        <w:rPr>
          <w:color w:val="222222"/>
          <w:sz w:val="18"/>
          <w:szCs w:val="18"/>
        </w:rPr>
        <w:t>ir</w:t>
      </w:r>
      <w:proofErr w:type="spellEnd"/>
      <w:r w:rsidRPr="00CB7B8D">
        <w:rPr>
          <w:color w:val="222222"/>
          <w:sz w:val="18"/>
          <w:szCs w:val="18"/>
        </w:rPr>
        <w:t xml:space="preserve"> </w:t>
      </w:r>
      <w:proofErr w:type="spellStart"/>
      <w:r w:rsidRPr="00CB7B8D">
        <w:rPr>
          <w:color w:val="222222"/>
          <w:sz w:val="18"/>
          <w:szCs w:val="18"/>
        </w:rPr>
        <w:t>Tobagas</w:t>
      </w:r>
      <w:proofErr w:type="spellEnd"/>
      <w:r w:rsidRPr="00CB7B8D">
        <w:rPr>
          <w:color w:val="222222"/>
          <w:sz w:val="18"/>
          <w:szCs w:val="18"/>
        </w:rPr>
        <w:t xml:space="preserve">, JAV </w:t>
      </w:r>
      <w:proofErr w:type="spellStart"/>
      <w:r w:rsidRPr="00CB7B8D">
        <w:rPr>
          <w:color w:val="222222"/>
          <w:sz w:val="18"/>
          <w:szCs w:val="18"/>
        </w:rPr>
        <w:t>Mergelių</w:t>
      </w:r>
      <w:proofErr w:type="spellEnd"/>
      <w:r w:rsidRPr="00CB7B8D">
        <w:rPr>
          <w:color w:val="222222"/>
          <w:sz w:val="18"/>
          <w:szCs w:val="18"/>
        </w:rPr>
        <w:t xml:space="preserve"> </w:t>
      </w:r>
      <w:proofErr w:type="spellStart"/>
      <w:r w:rsidRPr="00CB7B8D">
        <w:rPr>
          <w:color w:val="222222"/>
          <w:sz w:val="18"/>
          <w:szCs w:val="18"/>
        </w:rPr>
        <w:t>salos</w:t>
      </w:r>
      <w:proofErr w:type="spellEnd"/>
      <w:r w:rsidRPr="00CB7B8D">
        <w:rPr>
          <w:color w:val="222222"/>
          <w:sz w:val="18"/>
          <w:szCs w:val="18"/>
        </w:rPr>
        <w:t>, V</w:t>
      </w:r>
      <w:r w:rsidRPr="00CB7B8D">
        <w:rPr>
          <w:color w:val="222222"/>
          <w:sz w:val="18"/>
          <w:szCs w:val="18"/>
        </w:rPr>
        <w:t>a</w:t>
      </w:r>
      <w:r w:rsidRPr="00CB7B8D">
        <w:rPr>
          <w:color w:val="222222"/>
          <w:sz w:val="18"/>
          <w:szCs w:val="18"/>
        </w:rPr>
        <w:t xml:space="preserve">nuatu, </w:t>
      </w:r>
      <w:proofErr w:type="spellStart"/>
      <w:r w:rsidRPr="00CB7B8D">
        <w:rPr>
          <w:color w:val="222222"/>
          <w:sz w:val="18"/>
          <w:szCs w:val="18"/>
        </w:rPr>
        <w:t>Seišeliai</w:t>
      </w:r>
      <w:proofErr w:type="spellEnd"/>
      <w:r>
        <w:rPr>
          <w:color w:val="222222"/>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FD2" w:rsidRDefault="00185FD2" w:rsidP="00EF0DF3">
    <w:pPr>
      <w:pStyle w:val="BodyA"/>
      <w:tabs>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FD2" w:rsidRPr="0032625D" w:rsidRDefault="00185FD2" w:rsidP="00B03FB8">
    <w:pPr>
      <w:pStyle w:val="BodyA"/>
      <w:tabs>
        <w:tab w:val="center" w:pos="4153"/>
        <w:tab w:val="right" w:pos="8306"/>
      </w:tabs>
      <w:jc w:val="right"/>
      <w:rPr>
        <w:rFonts w:hAnsi="Times New Roman" w:cs="Times New Roman"/>
        <w:i/>
        <w:iCs/>
        <w:lang w:val="lt-LT"/>
      </w:rPr>
    </w:pPr>
    <w:r w:rsidRPr="009A0A41">
      <w:rPr>
        <w:rFonts w:hAnsi="Times New Roman" w:cs="Times New Roman"/>
        <w:i/>
        <w:iCs/>
        <w:lang w:val="fr-FR"/>
      </w:rPr>
      <w:t>Finans</w:t>
    </w:r>
    <w:r w:rsidRPr="0032625D">
      <w:rPr>
        <w:rFonts w:hAnsi="Times New Roman" w:cs="Times New Roman"/>
        <w:i/>
        <w:iCs/>
        <w:lang w:val="lt-LT"/>
      </w:rPr>
      <w:t>ų ministerijos</w:t>
    </w:r>
    <w:r>
      <w:rPr>
        <w:rFonts w:hAnsi="Times New Roman" w:cs="Times New Roman"/>
        <w:i/>
        <w:iCs/>
        <w:lang w:val="lt-LT"/>
      </w:rPr>
      <w:t xml:space="preserve"> ES ir tarptautinių reikalų departamentas</w:t>
    </w:r>
  </w:p>
  <w:p w:rsidR="00185FD2" w:rsidRPr="002677AA" w:rsidRDefault="00185FD2" w:rsidP="00B03FB8">
    <w:pPr>
      <w:pStyle w:val="BodyA"/>
      <w:tabs>
        <w:tab w:val="center" w:pos="4153"/>
        <w:tab w:val="right" w:pos="8306"/>
      </w:tabs>
      <w:jc w:val="right"/>
      <w:rPr>
        <w:rFonts w:hAnsi="Times New Roman" w:cs="Times New Roman"/>
        <w:i/>
        <w:iCs/>
      </w:rPr>
    </w:pPr>
    <w:r>
      <w:rPr>
        <w:rFonts w:hAnsi="Times New Roman" w:cs="Times New Roman"/>
        <w:i/>
        <w:iCs/>
      </w:rPr>
      <w:t>2021-09-27</w:t>
    </w:r>
  </w:p>
  <w:p w:rsidR="00185FD2" w:rsidRDefault="00185FD2" w:rsidP="00EF0DF3">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8A1F7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nsid w:val="099D777C"/>
    <w:multiLevelType w:val="hybridMultilevel"/>
    <w:tmpl w:val="9328E9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ACA16C0"/>
    <w:multiLevelType w:val="hybridMultilevel"/>
    <w:tmpl w:val="D430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6">
    <w:nsid w:val="13E97D1B"/>
    <w:multiLevelType w:val="hybridMultilevel"/>
    <w:tmpl w:val="8A4E5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4BE7107"/>
    <w:multiLevelType w:val="hybridMultilevel"/>
    <w:tmpl w:val="B0566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9">
    <w:nsid w:val="1F499822"/>
    <w:multiLevelType w:val="hybridMultilevel"/>
    <w:tmpl w:val="5DBC5CFC"/>
    <w:lvl w:ilvl="0" w:tplc="04FC1316">
      <w:start w:val="1"/>
      <w:numFmt w:val="decimal"/>
      <w:lvlText w:val="%1."/>
      <w:lvlJc w:val="left"/>
      <w:pPr>
        <w:ind w:left="720" w:hanging="360"/>
      </w:p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1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1">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2">
    <w:nsid w:val="2D1A71B7"/>
    <w:multiLevelType w:val="multilevel"/>
    <w:tmpl w:val="8416B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E38531B"/>
    <w:multiLevelType w:val="hybridMultilevel"/>
    <w:tmpl w:val="F4EA69F2"/>
    <w:lvl w:ilvl="0" w:tplc="FD985B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A733BB"/>
    <w:multiLevelType w:val="hybridMultilevel"/>
    <w:tmpl w:val="83C8F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17">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18">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17A2BED"/>
    <w:multiLevelType w:val="hybridMultilevel"/>
    <w:tmpl w:val="A1F81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1">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2">
    <w:nsid w:val="4A335DF8"/>
    <w:multiLevelType w:val="hybridMultilevel"/>
    <w:tmpl w:val="044ACB24"/>
    <w:lvl w:ilvl="0" w:tplc="0C96469A">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9DC1A83"/>
    <w:multiLevelType w:val="hybridMultilevel"/>
    <w:tmpl w:val="DCFC30F2"/>
    <w:lvl w:ilvl="0" w:tplc="A2E8255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nsid w:val="60974EC9"/>
    <w:multiLevelType w:val="hybridMultilevel"/>
    <w:tmpl w:val="9944690C"/>
    <w:lvl w:ilvl="0" w:tplc="5E64B030">
      <w:start w:val="2020"/>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2D9631B"/>
    <w:multiLevelType w:val="multilevel"/>
    <w:tmpl w:val="A29606E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6">
    <w:nsid w:val="68A138C1"/>
    <w:multiLevelType w:val="hybridMultilevel"/>
    <w:tmpl w:val="31B69DB8"/>
    <w:lvl w:ilvl="0" w:tplc="B4662E1C">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28">
    <w:nsid w:val="718E307D"/>
    <w:multiLevelType w:val="hybridMultilevel"/>
    <w:tmpl w:val="AC2C8B90"/>
    <w:lvl w:ilvl="0" w:tplc="5E64B030">
      <w:start w:val="2020"/>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B5E0DBD"/>
    <w:multiLevelType w:val="hybridMultilevel"/>
    <w:tmpl w:val="99F24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5"/>
  </w:num>
  <w:num w:numId="4">
    <w:abstractNumId w:val="17"/>
  </w:num>
  <w:num w:numId="5">
    <w:abstractNumId w:val="20"/>
  </w:num>
  <w:num w:numId="6">
    <w:abstractNumId w:val="21"/>
  </w:num>
  <w:num w:numId="7">
    <w:abstractNumId w:val="5"/>
  </w:num>
  <w:num w:numId="8">
    <w:abstractNumId w:val="1"/>
  </w:num>
  <w:num w:numId="9">
    <w:abstractNumId w:val="2"/>
  </w:num>
  <w:num w:numId="10">
    <w:abstractNumId w:val="16"/>
  </w:num>
  <w:num w:numId="11">
    <w:abstractNumId w:val="10"/>
  </w:num>
  <w:num w:numId="12">
    <w:abstractNumId w:val="27"/>
  </w:num>
  <w:num w:numId="13">
    <w:abstractNumId w:val="9"/>
  </w:num>
  <w:num w:numId="14">
    <w:abstractNumId w:val="18"/>
  </w:num>
  <w:num w:numId="15">
    <w:abstractNumId w:val="26"/>
  </w:num>
  <w:num w:numId="16">
    <w:abstractNumId w:val="0"/>
  </w:num>
  <w:num w:numId="17">
    <w:abstractNumId w:val="4"/>
  </w:num>
  <w:num w:numId="18">
    <w:abstractNumId w:val="6"/>
  </w:num>
  <w:num w:numId="19">
    <w:abstractNumId w:val="3"/>
  </w:num>
  <w:num w:numId="20">
    <w:abstractNumId w:val="19"/>
  </w:num>
  <w:num w:numId="21">
    <w:abstractNumId w:val="29"/>
  </w:num>
  <w:num w:numId="22">
    <w:abstractNumId w:val="28"/>
  </w:num>
  <w:num w:numId="23">
    <w:abstractNumId w:val="13"/>
  </w:num>
  <w:num w:numId="24">
    <w:abstractNumId w:val="24"/>
  </w:num>
  <w:num w:numId="25">
    <w:abstractNumId w:val="14"/>
  </w:num>
  <w:num w:numId="26">
    <w:abstractNumId w:val="12"/>
  </w:num>
  <w:num w:numId="27">
    <w:abstractNumId w:val="25"/>
  </w:num>
  <w:num w:numId="28">
    <w:abstractNumId w:val="23"/>
  </w:num>
  <w:num w:numId="29">
    <w:abstractNumId w:val="22"/>
  </w:num>
  <w:num w:numId="3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autoHyphenation/>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7F"/>
    <w:rsid w:val="00004B94"/>
    <w:rsid w:val="00007F46"/>
    <w:rsid w:val="00013CD2"/>
    <w:rsid w:val="00013E03"/>
    <w:rsid w:val="000355E8"/>
    <w:rsid w:val="000372A7"/>
    <w:rsid w:val="00042697"/>
    <w:rsid w:val="00043E24"/>
    <w:rsid w:val="000573E9"/>
    <w:rsid w:val="0007211E"/>
    <w:rsid w:val="00072EDE"/>
    <w:rsid w:val="000742B3"/>
    <w:rsid w:val="00085F32"/>
    <w:rsid w:val="00091F65"/>
    <w:rsid w:val="000B1D35"/>
    <w:rsid w:val="000B28F9"/>
    <w:rsid w:val="000B653F"/>
    <w:rsid w:val="000C1EFA"/>
    <w:rsid w:val="000D6DCF"/>
    <w:rsid w:val="000E1AFB"/>
    <w:rsid w:val="000F05F0"/>
    <w:rsid w:val="00103D35"/>
    <w:rsid w:val="00105437"/>
    <w:rsid w:val="00106963"/>
    <w:rsid w:val="00117121"/>
    <w:rsid w:val="001546C1"/>
    <w:rsid w:val="00155D7C"/>
    <w:rsid w:val="0015792A"/>
    <w:rsid w:val="00160063"/>
    <w:rsid w:val="00161D1D"/>
    <w:rsid w:val="00162D47"/>
    <w:rsid w:val="00175DFA"/>
    <w:rsid w:val="00177F7C"/>
    <w:rsid w:val="0018542E"/>
    <w:rsid w:val="00185FD2"/>
    <w:rsid w:val="001911B9"/>
    <w:rsid w:val="00193BC3"/>
    <w:rsid w:val="00195B59"/>
    <w:rsid w:val="00195F60"/>
    <w:rsid w:val="001A5199"/>
    <w:rsid w:val="001B199F"/>
    <w:rsid w:val="001B387D"/>
    <w:rsid w:val="001B6C4D"/>
    <w:rsid w:val="001B7FB9"/>
    <w:rsid w:val="001C1DFB"/>
    <w:rsid w:val="001C48BB"/>
    <w:rsid w:val="001D0192"/>
    <w:rsid w:val="001D4843"/>
    <w:rsid w:val="001D54D3"/>
    <w:rsid w:val="001E5D73"/>
    <w:rsid w:val="001F4EB7"/>
    <w:rsid w:val="001F6FB2"/>
    <w:rsid w:val="00202AB9"/>
    <w:rsid w:val="00204492"/>
    <w:rsid w:val="00206969"/>
    <w:rsid w:val="0021420F"/>
    <w:rsid w:val="0022359E"/>
    <w:rsid w:val="00223A8C"/>
    <w:rsid w:val="00225CBA"/>
    <w:rsid w:val="00230167"/>
    <w:rsid w:val="00231801"/>
    <w:rsid w:val="002446DC"/>
    <w:rsid w:val="00246A52"/>
    <w:rsid w:val="002471F9"/>
    <w:rsid w:val="00252CC5"/>
    <w:rsid w:val="00265A54"/>
    <w:rsid w:val="002677AA"/>
    <w:rsid w:val="0027305F"/>
    <w:rsid w:val="00273F0F"/>
    <w:rsid w:val="00274F66"/>
    <w:rsid w:val="00293998"/>
    <w:rsid w:val="00296AC0"/>
    <w:rsid w:val="002A0B19"/>
    <w:rsid w:val="002A7046"/>
    <w:rsid w:val="002B0C7E"/>
    <w:rsid w:val="002B4A83"/>
    <w:rsid w:val="002C15B7"/>
    <w:rsid w:val="002C1B25"/>
    <w:rsid w:val="002E12C0"/>
    <w:rsid w:val="002F39D0"/>
    <w:rsid w:val="00312DD1"/>
    <w:rsid w:val="0031328A"/>
    <w:rsid w:val="00314CC7"/>
    <w:rsid w:val="00322DEB"/>
    <w:rsid w:val="0032625D"/>
    <w:rsid w:val="00326924"/>
    <w:rsid w:val="00330DCD"/>
    <w:rsid w:val="003339B9"/>
    <w:rsid w:val="00333A2E"/>
    <w:rsid w:val="00333A70"/>
    <w:rsid w:val="00334450"/>
    <w:rsid w:val="003346D0"/>
    <w:rsid w:val="00335ED8"/>
    <w:rsid w:val="00336353"/>
    <w:rsid w:val="00345657"/>
    <w:rsid w:val="0035318E"/>
    <w:rsid w:val="00357286"/>
    <w:rsid w:val="00371E7A"/>
    <w:rsid w:val="00373BAD"/>
    <w:rsid w:val="003743EB"/>
    <w:rsid w:val="00392437"/>
    <w:rsid w:val="0039254C"/>
    <w:rsid w:val="00395A7A"/>
    <w:rsid w:val="003A34D7"/>
    <w:rsid w:val="003A3602"/>
    <w:rsid w:val="003B37F3"/>
    <w:rsid w:val="003B616C"/>
    <w:rsid w:val="003C6810"/>
    <w:rsid w:val="003E2F37"/>
    <w:rsid w:val="003E7D0A"/>
    <w:rsid w:val="003F3A8E"/>
    <w:rsid w:val="003F4233"/>
    <w:rsid w:val="003F4CE0"/>
    <w:rsid w:val="003F58E0"/>
    <w:rsid w:val="00400A9A"/>
    <w:rsid w:val="004053CB"/>
    <w:rsid w:val="00406FB1"/>
    <w:rsid w:val="00410B36"/>
    <w:rsid w:val="00415C08"/>
    <w:rsid w:val="004226F1"/>
    <w:rsid w:val="00426EF5"/>
    <w:rsid w:val="00427247"/>
    <w:rsid w:val="004339F6"/>
    <w:rsid w:val="0043443E"/>
    <w:rsid w:val="00435181"/>
    <w:rsid w:val="00441440"/>
    <w:rsid w:val="004450FB"/>
    <w:rsid w:val="0044636B"/>
    <w:rsid w:val="00452B2A"/>
    <w:rsid w:val="00466E3A"/>
    <w:rsid w:val="00481C41"/>
    <w:rsid w:val="00487239"/>
    <w:rsid w:val="004900E0"/>
    <w:rsid w:val="0049509B"/>
    <w:rsid w:val="00495B70"/>
    <w:rsid w:val="004A0199"/>
    <w:rsid w:val="004A21F3"/>
    <w:rsid w:val="004A3298"/>
    <w:rsid w:val="004B0780"/>
    <w:rsid w:val="004B14B1"/>
    <w:rsid w:val="004B217F"/>
    <w:rsid w:val="004B3A64"/>
    <w:rsid w:val="004B5739"/>
    <w:rsid w:val="004B745F"/>
    <w:rsid w:val="004C1051"/>
    <w:rsid w:val="004C2FDC"/>
    <w:rsid w:val="004C5342"/>
    <w:rsid w:val="004D0CA6"/>
    <w:rsid w:val="004D2D5B"/>
    <w:rsid w:val="004F4076"/>
    <w:rsid w:val="00500E5C"/>
    <w:rsid w:val="00501186"/>
    <w:rsid w:val="00501CE5"/>
    <w:rsid w:val="005107B8"/>
    <w:rsid w:val="0051792A"/>
    <w:rsid w:val="00517C6F"/>
    <w:rsid w:val="00526A83"/>
    <w:rsid w:val="00530736"/>
    <w:rsid w:val="00543C22"/>
    <w:rsid w:val="0054616A"/>
    <w:rsid w:val="005515EF"/>
    <w:rsid w:val="00552CF7"/>
    <w:rsid w:val="00555975"/>
    <w:rsid w:val="00557D5B"/>
    <w:rsid w:val="00561886"/>
    <w:rsid w:val="005721A0"/>
    <w:rsid w:val="0058519B"/>
    <w:rsid w:val="00585312"/>
    <w:rsid w:val="00587B54"/>
    <w:rsid w:val="00592806"/>
    <w:rsid w:val="00592A92"/>
    <w:rsid w:val="00592EE3"/>
    <w:rsid w:val="0059354C"/>
    <w:rsid w:val="005A5C3B"/>
    <w:rsid w:val="005A71D9"/>
    <w:rsid w:val="005A72B9"/>
    <w:rsid w:val="005B3FB0"/>
    <w:rsid w:val="005D2460"/>
    <w:rsid w:val="005D3625"/>
    <w:rsid w:val="005D3A86"/>
    <w:rsid w:val="005E025B"/>
    <w:rsid w:val="005E2479"/>
    <w:rsid w:val="005E3C27"/>
    <w:rsid w:val="005E52A5"/>
    <w:rsid w:val="005F2600"/>
    <w:rsid w:val="005F59B2"/>
    <w:rsid w:val="00604E4D"/>
    <w:rsid w:val="00614DBA"/>
    <w:rsid w:val="0062431D"/>
    <w:rsid w:val="00625288"/>
    <w:rsid w:val="00627C8B"/>
    <w:rsid w:val="006314EB"/>
    <w:rsid w:val="00633095"/>
    <w:rsid w:val="00633882"/>
    <w:rsid w:val="006404C7"/>
    <w:rsid w:val="0064515B"/>
    <w:rsid w:val="0064611F"/>
    <w:rsid w:val="00646F02"/>
    <w:rsid w:val="006471C4"/>
    <w:rsid w:val="0064735F"/>
    <w:rsid w:val="00651ACB"/>
    <w:rsid w:val="0065356B"/>
    <w:rsid w:val="00661618"/>
    <w:rsid w:val="00664A68"/>
    <w:rsid w:val="00665736"/>
    <w:rsid w:val="00672A7F"/>
    <w:rsid w:val="00675DEA"/>
    <w:rsid w:val="00682188"/>
    <w:rsid w:val="00682368"/>
    <w:rsid w:val="00682383"/>
    <w:rsid w:val="00690882"/>
    <w:rsid w:val="0069629B"/>
    <w:rsid w:val="006A44FA"/>
    <w:rsid w:val="006B7251"/>
    <w:rsid w:val="006D01D0"/>
    <w:rsid w:val="006D395F"/>
    <w:rsid w:val="006D53C3"/>
    <w:rsid w:val="006E6FE9"/>
    <w:rsid w:val="007043A1"/>
    <w:rsid w:val="00704C38"/>
    <w:rsid w:val="00704CBF"/>
    <w:rsid w:val="00710ADC"/>
    <w:rsid w:val="00721D4B"/>
    <w:rsid w:val="00724748"/>
    <w:rsid w:val="00724D05"/>
    <w:rsid w:val="00731227"/>
    <w:rsid w:val="00734DFA"/>
    <w:rsid w:val="00752F42"/>
    <w:rsid w:val="00757E6B"/>
    <w:rsid w:val="0076574D"/>
    <w:rsid w:val="00772A9F"/>
    <w:rsid w:val="0077723B"/>
    <w:rsid w:val="007852FE"/>
    <w:rsid w:val="00790FF5"/>
    <w:rsid w:val="00794FFB"/>
    <w:rsid w:val="00795E46"/>
    <w:rsid w:val="00796238"/>
    <w:rsid w:val="007A0061"/>
    <w:rsid w:val="007A2008"/>
    <w:rsid w:val="007B0CBF"/>
    <w:rsid w:val="007B14DC"/>
    <w:rsid w:val="007B6B80"/>
    <w:rsid w:val="007B6FDE"/>
    <w:rsid w:val="007C0E1D"/>
    <w:rsid w:val="007C16E0"/>
    <w:rsid w:val="007C752A"/>
    <w:rsid w:val="007D2553"/>
    <w:rsid w:val="007D2C2B"/>
    <w:rsid w:val="007D724A"/>
    <w:rsid w:val="007D7FCE"/>
    <w:rsid w:val="007F27FA"/>
    <w:rsid w:val="007F5B19"/>
    <w:rsid w:val="00811E87"/>
    <w:rsid w:val="0081679C"/>
    <w:rsid w:val="00816959"/>
    <w:rsid w:val="0082066C"/>
    <w:rsid w:val="008251D0"/>
    <w:rsid w:val="00827730"/>
    <w:rsid w:val="00830485"/>
    <w:rsid w:val="00836630"/>
    <w:rsid w:val="00840B13"/>
    <w:rsid w:val="008419A6"/>
    <w:rsid w:val="00843EAA"/>
    <w:rsid w:val="00844B61"/>
    <w:rsid w:val="0085129B"/>
    <w:rsid w:val="0085316D"/>
    <w:rsid w:val="00856CFA"/>
    <w:rsid w:val="008618CC"/>
    <w:rsid w:val="00862572"/>
    <w:rsid w:val="00864AF3"/>
    <w:rsid w:val="00872C2A"/>
    <w:rsid w:val="00876E32"/>
    <w:rsid w:val="00895BBA"/>
    <w:rsid w:val="00897D86"/>
    <w:rsid w:val="008B2D75"/>
    <w:rsid w:val="008B6A7B"/>
    <w:rsid w:val="008C07C3"/>
    <w:rsid w:val="008C2331"/>
    <w:rsid w:val="008C3531"/>
    <w:rsid w:val="008C41CD"/>
    <w:rsid w:val="008D674A"/>
    <w:rsid w:val="008E3D5A"/>
    <w:rsid w:val="008E4ECC"/>
    <w:rsid w:val="008E5A20"/>
    <w:rsid w:val="008F3873"/>
    <w:rsid w:val="008F726D"/>
    <w:rsid w:val="00901AF5"/>
    <w:rsid w:val="009029E5"/>
    <w:rsid w:val="00902CF9"/>
    <w:rsid w:val="00907CB4"/>
    <w:rsid w:val="0091393B"/>
    <w:rsid w:val="00925EB4"/>
    <w:rsid w:val="009329D1"/>
    <w:rsid w:val="00934773"/>
    <w:rsid w:val="00937DF4"/>
    <w:rsid w:val="009421E7"/>
    <w:rsid w:val="009469ED"/>
    <w:rsid w:val="009518B5"/>
    <w:rsid w:val="00956D02"/>
    <w:rsid w:val="00956EC2"/>
    <w:rsid w:val="00957A35"/>
    <w:rsid w:val="00957F3F"/>
    <w:rsid w:val="0096216E"/>
    <w:rsid w:val="009646B3"/>
    <w:rsid w:val="0096658E"/>
    <w:rsid w:val="00970FB0"/>
    <w:rsid w:val="0098163A"/>
    <w:rsid w:val="00987B6A"/>
    <w:rsid w:val="00992EA2"/>
    <w:rsid w:val="00994D2A"/>
    <w:rsid w:val="0099655E"/>
    <w:rsid w:val="0099668A"/>
    <w:rsid w:val="00997764"/>
    <w:rsid w:val="009A0353"/>
    <w:rsid w:val="009A0A41"/>
    <w:rsid w:val="009A1AD9"/>
    <w:rsid w:val="009A52A2"/>
    <w:rsid w:val="009A66CC"/>
    <w:rsid w:val="009A7FD0"/>
    <w:rsid w:val="009B0378"/>
    <w:rsid w:val="009B2048"/>
    <w:rsid w:val="009C14C5"/>
    <w:rsid w:val="009C6662"/>
    <w:rsid w:val="009D2464"/>
    <w:rsid w:val="009D446E"/>
    <w:rsid w:val="009E659A"/>
    <w:rsid w:val="009E6C26"/>
    <w:rsid w:val="009F1D77"/>
    <w:rsid w:val="009F3E8B"/>
    <w:rsid w:val="00A01382"/>
    <w:rsid w:val="00A0588B"/>
    <w:rsid w:val="00A06580"/>
    <w:rsid w:val="00A15DF7"/>
    <w:rsid w:val="00A33567"/>
    <w:rsid w:val="00A43544"/>
    <w:rsid w:val="00A44441"/>
    <w:rsid w:val="00A45218"/>
    <w:rsid w:val="00A45CF8"/>
    <w:rsid w:val="00A46E6E"/>
    <w:rsid w:val="00A47BB8"/>
    <w:rsid w:val="00A600FE"/>
    <w:rsid w:val="00A61189"/>
    <w:rsid w:val="00A63AD0"/>
    <w:rsid w:val="00A65258"/>
    <w:rsid w:val="00A84354"/>
    <w:rsid w:val="00A93E92"/>
    <w:rsid w:val="00AA492E"/>
    <w:rsid w:val="00AB07FA"/>
    <w:rsid w:val="00AC2110"/>
    <w:rsid w:val="00AD70B1"/>
    <w:rsid w:val="00AD7E3A"/>
    <w:rsid w:val="00AE4846"/>
    <w:rsid w:val="00AE7F1E"/>
    <w:rsid w:val="00AF16A9"/>
    <w:rsid w:val="00AF1B36"/>
    <w:rsid w:val="00AF7A2A"/>
    <w:rsid w:val="00B03FB8"/>
    <w:rsid w:val="00B0541A"/>
    <w:rsid w:val="00B22A5E"/>
    <w:rsid w:val="00B260BC"/>
    <w:rsid w:val="00B51EE3"/>
    <w:rsid w:val="00B521BE"/>
    <w:rsid w:val="00B54308"/>
    <w:rsid w:val="00B57724"/>
    <w:rsid w:val="00B60006"/>
    <w:rsid w:val="00B6006E"/>
    <w:rsid w:val="00B67F14"/>
    <w:rsid w:val="00B70894"/>
    <w:rsid w:val="00B734F9"/>
    <w:rsid w:val="00B736E4"/>
    <w:rsid w:val="00B841E3"/>
    <w:rsid w:val="00B869E8"/>
    <w:rsid w:val="00B90C15"/>
    <w:rsid w:val="00B94E3A"/>
    <w:rsid w:val="00BA186A"/>
    <w:rsid w:val="00BB73F2"/>
    <w:rsid w:val="00BD168E"/>
    <w:rsid w:val="00BD2968"/>
    <w:rsid w:val="00BD3FF3"/>
    <w:rsid w:val="00BD4688"/>
    <w:rsid w:val="00BD6C27"/>
    <w:rsid w:val="00BE1AD4"/>
    <w:rsid w:val="00BE299C"/>
    <w:rsid w:val="00BE594D"/>
    <w:rsid w:val="00BF1071"/>
    <w:rsid w:val="00BF4A3E"/>
    <w:rsid w:val="00BF5A28"/>
    <w:rsid w:val="00BF701E"/>
    <w:rsid w:val="00C05559"/>
    <w:rsid w:val="00C132DF"/>
    <w:rsid w:val="00C201F5"/>
    <w:rsid w:val="00C22532"/>
    <w:rsid w:val="00C23CD5"/>
    <w:rsid w:val="00C24B3F"/>
    <w:rsid w:val="00C31389"/>
    <w:rsid w:val="00C33F60"/>
    <w:rsid w:val="00C4623F"/>
    <w:rsid w:val="00C52BEC"/>
    <w:rsid w:val="00C56B43"/>
    <w:rsid w:val="00C56C82"/>
    <w:rsid w:val="00C61052"/>
    <w:rsid w:val="00C648AF"/>
    <w:rsid w:val="00C65A66"/>
    <w:rsid w:val="00C70241"/>
    <w:rsid w:val="00C70F7A"/>
    <w:rsid w:val="00C72D3C"/>
    <w:rsid w:val="00C842BA"/>
    <w:rsid w:val="00C90D76"/>
    <w:rsid w:val="00C94C3C"/>
    <w:rsid w:val="00CA1F7E"/>
    <w:rsid w:val="00CB3F37"/>
    <w:rsid w:val="00CC48F1"/>
    <w:rsid w:val="00CC7175"/>
    <w:rsid w:val="00CD1F1F"/>
    <w:rsid w:val="00CD6507"/>
    <w:rsid w:val="00CE45B0"/>
    <w:rsid w:val="00CE71D0"/>
    <w:rsid w:val="00CF2346"/>
    <w:rsid w:val="00CF6326"/>
    <w:rsid w:val="00D06073"/>
    <w:rsid w:val="00D06EF6"/>
    <w:rsid w:val="00D07E6A"/>
    <w:rsid w:val="00D20000"/>
    <w:rsid w:val="00D2769F"/>
    <w:rsid w:val="00D30124"/>
    <w:rsid w:val="00D315D6"/>
    <w:rsid w:val="00D33BCF"/>
    <w:rsid w:val="00D34348"/>
    <w:rsid w:val="00D465B8"/>
    <w:rsid w:val="00D57067"/>
    <w:rsid w:val="00D652D9"/>
    <w:rsid w:val="00D65D3A"/>
    <w:rsid w:val="00D67DDF"/>
    <w:rsid w:val="00D70147"/>
    <w:rsid w:val="00D73DC0"/>
    <w:rsid w:val="00D767B6"/>
    <w:rsid w:val="00D8006B"/>
    <w:rsid w:val="00D80DED"/>
    <w:rsid w:val="00D9296E"/>
    <w:rsid w:val="00DB4E6F"/>
    <w:rsid w:val="00DC1F4E"/>
    <w:rsid w:val="00DC6502"/>
    <w:rsid w:val="00DD2F9F"/>
    <w:rsid w:val="00DE4D5E"/>
    <w:rsid w:val="00DE6884"/>
    <w:rsid w:val="00DF2CDB"/>
    <w:rsid w:val="00DF5114"/>
    <w:rsid w:val="00DF5C7C"/>
    <w:rsid w:val="00E0474B"/>
    <w:rsid w:val="00E1240D"/>
    <w:rsid w:val="00E17C1D"/>
    <w:rsid w:val="00E24F35"/>
    <w:rsid w:val="00E45C2F"/>
    <w:rsid w:val="00E47362"/>
    <w:rsid w:val="00E50056"/>
    <w:rsid w:val="00E52328"/>
    <w:rsid w:val="00E55B50"/>
    <w:rsid w:val="00E612E0"/>
    <w:rsid w:val="00E66528"/>
    <w:rsid w:val="00E70A31"/>
    <w:rsid w:val="00E84E3C"/>
    <w:rsid w:val="00E91FEC"/>
    <w:rsid w:val="00E949DE"/>
    <w:rsid w:val="00EA3DB2"/>
    <w:rsid w:val="00EA7709"/>
    <w:rsid w:val="00EB5F90"/>
    <w:rsid w:val="00EB6A16"/>
    <w:rsid w:val="00EC2021"/>
    <w:rsid w:val="00ED2869"/>
    <w:rsid w:val="00ED523A"/>
    <w:rsid w:val="00ED5B56"/>
    <w:rsid w:val="00EE0782"/>
    <w:rsid w:val="00EE0A8F"/>
    <w:rsid w:val="00EE1216"/>
    <w:rsid w:val="00EF0DF3"/>
    <w:rsid w:val="00EF3536"/>
    <w:rsid w:val="00EF39C4"/>
    <w:rsid w:val="00F0025C"/>
    <w:rsid w:val="00F017FA"/>
    <w:rsid w:val="00F13EFA"/>
    <w:rsid w:val="00F1429B"/>
    <w:rsid w:val="00F1580F"/>
    <w:rsid w:val="00F15F69"/>
    <w:rsid w:val="00F225D5"/>
    <w:rsid w:val="00F40E6E"/>
    <w:rsid w:val="00F54874"/>
    <w:rsid w:val="00F631C4"/>
    <w:rsid w:val="00F6555B"/>
    <w:rsid w:val="00F67B44"/>
    <w:rsid w:val="00F73B42"/>
    <w:rsid w:val="00F95313"/>
    <w:rsid w:val="00F97DFD"/>
    <w:rsid w:val="00FB0EDF"/>
    <w:rsid w:val="00FB366D"/>
    <w:rsid w:val="00FB3B4C"/>
    <w:rsid w:val="00FB5FC9"/>
    <w:rsid w:val="00FC00D9"/>
    <w:rsid w:val="00FC3B44"/>
    <w:rsid w:val="00FC6C35"/>
    <w:rsid w:val="00FD20F3"/>
    <w:rsid w:val="00FD34ED"/>
    <w:rsid w:val="00FD429F"/>
    <w:rsid w:val="00FD757A"/>
    <w:rsid w:val="00FE389A"/>
    <w:rsid w:val="00FF138C"/>
    <w:rsid w:val="00FF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EA7709"/>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aliases w:val="Su numeracija,Akapit z listą,Dot pt,F5 List Paragraph,List Paragraph1,Recommendation,List Paragraph11,Numerowanie,Kolorowa lista — akcent 11,Akapit z listą1,Listaszerű bekezdés1,List Paragraph à moi,List Paragraph (numbered (a)),L"/>
    <w:link w:val="SraopastraipaDiagrama"/>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 w:type="character" w:customStyle="1" w:styleId="SraopastraipaDiagrama">
    <w:name w:val="Sąrašo pastraipa Diagrama"/>
    <w:aliases w:val="Su numeracija Diagrama,Akapit z listą Diagrama,Dot pt Diagrama,F5 List Paragraph Diagrama,List Paragraph1 Diagrama,Recommendation Diagrama,List Paragraph11 Diagrama,Numerowanie Diagrama,Kolorowa lista — akcent 11 Diagrama"/>
    <w:link w:val="Sraopastraipa"/>
    <w:uiPriority w:val="34"/>
    <w:qFormat/>
    <w:rsid w:val="00AB07FA"/>
    <w:rPr>
      <w:rFonts w:hAnsi="Arial Unicode MS" w:cs="Arial Unicode MS"/>
      <w:color w:val="000000"/>
      <w:sz w:val="24"/>
      <w:szCs w:val="24"/>
      <w:u w:color="000000"/>
    </w:rPr>
  </w:style>
  <w:style w:type="paragraph" w:customStyle="1" w:styleId="ManualNumPar1">
    <w:name w:val="Manual NumPar 1"/>
    <w:basedOn w:val="prastasis"/>
    <w:next w:val="prastasis"/>
    <w:rsid w:val="00FB3B4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hanging="850"/>
      <w:jc w:val="both"/>
    </w:pPr>
    <w:rPr>
      <w:rFonts w:eastAsiaTheme="minorHAnsi"/>
      <w:szCs w:val="22"/>
      <w:bdr w:val="none" w:sz="0" w:space="0" w:color="auto"/>
      <w:lang w:val="en-GB"/>
    </w:rPr>
  </w:style>
  <w:style w:type="paragraph" w:customStyle="1" w:styleId="Fait">
    <w:name w:val="Fait à"/>
    <w:basedOn w:val="prastasis"/>
    <w:next w:val="Institutionquisigne"/>
    <w:rsid w:val="00FB3B4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jc w:val="both"/>
    </w:pPr>
    <w:rPr>
      <w:rFonts w:eastAsiaTheme="minorHAnsi"/>
      <w:szCs w:val="22"/>
      <w:bdr w:val="none" w:sz="0" w:space="0" w:color="auto"/>
      <w:lang w:val="en-GB"/>
    </w:rPr>
  </w:style>
  <w:style w:type="paragraph" w:customStyle="1" w:styleId="Institutionquisigne">
    <w:name w:val="Institution qui signe"/>
    <w:basedOn w:val="prastasis"/>
    <w:next w:val="prastasis"/>
    <w:rsid w:val="00FB3B4C"/>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4252"/>
      </w:tabs>
      <w:spacing w:before="720"/>
      <w:jc w:val="both"/>
    </w:pPr>
    <w:rPr>
      <w:rFonts w:eastAsiaTheme="minorHAnsi"/>
      <w:i/>
      <w:szCs w:val="22"/>
      <w:bdr w:val="none" w:sz="0" w:space="0" w:color="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EA7709"/>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aliases w:val="Su numeracija,Akapit z listą,Dot pt,F5 List Paragraph,List Paragraph1,Recommendation,List Paragraph11,Numerowanie,Kolorowa lista — akcent 11,Akapit z listą1,Listaszerű bekezdés1,List Paragraph à moi,List Paragraph (numbered (a)),L"/>
    <w:link w:val="SraopastraipaDiagrama"/>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 w:type="character" w:customStyle="1" w:styleId="SraopastraipaDiagrama">
    <w:name w:val="Sąrašo pastraipa Diagrama"/>
    <w:aliases w:val="Su numeracija Diagrama,Akapit z listą Diagrama,Dot pt Diagrama,F5 List Paragraph Diagrama,List Paragraph1 Diagrama,Recommendation Diagrama,List Paragraph11 Diagrama,Numerowanie Diagrama,Kolorowa lista — akcent 11 Diagrama"/>
    <w:link w:val="Sraopastraipa"/>
    <w:uiPriority w:val="34"/>
    <w:qFormat/>
    <w:rsid w:val="00AB07FA"/>
    <w:rPr>
      <w:rFonts w:hAnsi="Arial Unicode MS" w:cs="Arial Unicode MS"/>
      <w:color w:val="000000"/>
      <w:sz w:val="24"/>
      <w:szCs w:val="24"/>
      <w:u w:color="000000"/>
    </w:rPr>
  </w:style>
  <w:style w:type="paragraph" w:customStyle="1" w:styleId="ManualNumPar1">
    <w:name w:val="Manual NumPar 1"/>
    <w:basedOn w:val="prastasis"/>
    <w:next w:val="prastasis"/>
    <w:rsid w:val="00FB3B4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hanging="850"/>
      <w:jc w:val="both"/>
    </w:pPr>
    <w:rPr>
      <w:rFonts w:eastAsiaTheme="minorHAnsi"/>
      <w:szCs w:val="22"/>
      <w:bdr w:val="none" w:sz="0" w:space="0" w:color="auto"/>
      <w:lang w:val="en-GB"/>
    </w:rPr>
  </w:style>
  <w:style w:type="paragraph" w:customStyle="1" w:styleId="Fait">
    <w:name w:val="Fait à"/>
    <w:basedOn w:val="prastasis"/>
    <w:next w:val="Institutionquisigne"/>
    <w:rsid w:val="00FB3B4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jc w:val="both"/>
    </w:pPr>
    <w:rPr>
      <w:rFonts w:eastAsiaTheme="minorHAnsi"/>
      <w:szCs w:val="22"/>
      <w:bdr w:val="none" w:sz="0" w:space="0" w:color="auto"/>
      <w:lang w:val="en-GB"/>
    </w:rPr>
  </w:style>
  <w:style w:type="paragraph" w:customStyle="1" w:styleId="Institutionquisigne">
    <w:name w:val="Institution qui signe"/>
    <w:basedOn w:val="prastasis"/>
    <w:next w:val="prastasis"/>
    <w:rsid w:val="00FB3B4C"/>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4252"/>
      </w:tabs>
      <w:spacing w:before="720"/>
      <w:jc w:val="both"/>
    </w:pPr>
    <w:rPr>
      <w:rFonts w:eastAsiaTheme="minorHAnsi"/>
      <w:i/>
      <w:szCs w:val="22"/>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37F20-190C-4FDD-A14F-D13D1CF9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19387</Words>
  <Characters>11052</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Antanaitė</dc:creator>
  <cp:lastModifiedBy>Simona Narkevičienė</cp:lastModifiedBy>
  <cp:revision>2</cp:revision>
  <dcterms:created xsi:type="dcterms:W3CDTF">2021-09-27T12:14:00Z</dcterms:created>
  <dcterms:modified xsi:type="dcterms:W3CDTF">2021-09-27T12:14:00Z</dcterms:modified>
</cp:coreProperties>
</file>